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537AE">
      <w:pPr>
        <w:rPr>
          <w:rFonts w:hint="eastAsia" w:eastAsia="仿宋_GB2312"/>
          <w:color w:val="auto"/>
          <w:sz w:val="36"/>
          <w:szCs w:val="36"/>
          <w:lang w:eastAsia="zh-CN"/>
        </w:rPr>
      </w:pPr>
      <w:r>
        <w:rPr>
          <w:rFonts w:hint="eastAsia" w:eastAsia="仿宋_GB2312"/>
          <w:color w:val="auto"/>
          <w:sz w:val="36"/>
          <w:szCs w:val="36"/>
          <w:lang w:eastAsia="zh-CN"/>
        </w:rPr>
        <w:drawing>
          <wp:inline distT="0" distB="0" distL="114300" distR="114300">
            <wp:extent cx="5612765" cy="7920990"/>
            <wp:effectExtent l="0" t="0" r="6985" b="3810"/>
            <wp:docPr id="18" name="图片 18" descr="封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封皮"/>
                    <pic:cNvPicPr>
                      <a:picLocks noChangeAspect="1"/>
                    </pic:cNvPicPr>
                  </pic:nvPicPr>
                  <pic:blipFill>
                    <a:blip r:embed="rId10"/>
                    <a:stretch>
                      <a:fillRect/>
                    </a:stretch>
                  </pic:blipFill>
                  <pic:spPr>
                    <a:xfrm>
                      <a:off x="0" y="0"/>
                      <a:ext cx="5612765" cy="7920990"/>
                    </a:xfrm>
                    <a:prstGeom prst="rect">
                      <a:avLst/>
                    </a:prstGeom>
                  </pic:spPr>
                </pic:pic>
              </a:graphicData>
            </a:graphic>
          </wp:inline>
        </w:drawing>
      </w:r>
    </w:p>
    <w:p w14:paraId="6FD08B5A">
      <w:pPr>
        <w:rPr>
          <w:rFonts w:eastAsia="仿宋_GB2312"/>
          <w:color w:val="auto"/>
          <w:sz w:val="36"/>
          <w:szCs w:val="36"/>
        </w:rPr>
      </w:pPr>
    </w:p>
    <w:p w14:paraId="773456C5">
      <w:pPr>
        <w:rPr>
          <w:rFonts w:eastAsia="仿宋_GB2312"/>
          <w:color w:val="auto"/>
          <w:sz w:val="36"/>
          <w:szCs w:val="36"/>
        </w:rPr>
      </w:pPr>
    </w:p>
    <w:p w14:paraId="27382514">
      <w:pPr>
        <w:jc w:val="center"/>
        <w:rPr>
          <w:b/>
          <w:bCs/>
          <w:sz w:val="44"/>
          <w:szCs w:val="44"/>
        </w:rPr>
      </w:pPr>
      <w:r>
        <w:rPr>
          <w:b/>
          <w:bCs/>
          <w:sz w:val="44"/>
          <w:szCs w:val="44"/>
        </w:rPr>
        <w:t>现场照片</w:t>
      </w:r>
    </w:p>
    <w:p w14:paraId="0E754D41">
      <w:pPr>
        <w:jc w:val="center"/>
        <w:rPr>
          <w:bCs/>
          <w:sz w:val="32"/>
          <w:szCs w:val="32"/>
        </w:rPr>
      </w:pPr>
      <w:r>
        <w:rPr>
          <w:rFonts w:hint="eastAsia"/>
          <w:b/>
          <w:bCs/>
          <w:sz w:val="44"/>
          <w:szCs w:val="44"/>
        </w:rPr>
        <w:t xml:space="preserve"> </w:t>
      </w:r>
    </w:p>
    <w:p w14:paraId="6A878E61">
      <w:pPr>
        <w:jc w:val="center"/>
        <w:rPr>
          <w:rFonts w:hint="eastAsia" w:eastAsia="宋体"/>
          <w:bCs/>
          <w:sz w:val="32"/>
          <w:szCs w:val="32"/>
          <w:lang w:eastAsia="zh-CN"/>
        </w:rPr>
      </w:pPr>
      <w:r>
        <w:rPr>
          <w:rFonts w:hint="eastAsia" w:eastAsia="宋体"/>
          <w:bCs/>
          <w:sz w:val="32"/>
          <w:szCs w:val="32"/>
          <w:lang w:eastAsia="zh-CN"/>
        </w:rPr>
        <w:drawing>
          <wp:inline distT="0" distB="0" distL="114300" distR="114300">
            <wp:extent cx="2835275" cy="2019935"/>
            <wp:effectExtent l="0" t="0" r="3175" b="18415"/>
            <wp:docPr id="12" name="图片 12" descr="微信图片_20260921143101_207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60921143101_207_12"/>
                    <pic:cNvPicPr>
                      <a:picLocks noChangeAspect="1"/>
                    </pic:cNvPicPr>
                  </pic:nvPicPr>
                  <pic:blipFill>
                    <a:blip r:embed="rId11"/>
                    <a:stretch>
                      <a:fillRect/>
                    </a:stretch>
                  </pic:blipFill>
                  <pic:spPr>
                    <a:xfrm>
                      <a:off x="0" y="0"/>
                      <a:ext cx="2835275" cy="2019935"/>
                    </a:xfrm>
                    <a:prstGeom prst="rect">
                      <a:avLst/>
                    </a:prstGeom>
                  </pic:spPr>
                </pic:pic>
              </a:graphicData>
            </a:graphic>
          </wp:inline>
        </w:drawing>
      </w:r>
      <w:r>
        <w:drawing>
          <wp:inline distT="0" distB="0" distL="114300" distR="114300">
            <wp:extent cx="2630170" cy="2033905"/>
            <wp:effectExtent l="0" t="0" r="17780" b="444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2"/>
                    <a:stretch>
                      <a:fillRect/>
                    </a:stretch>
                  </pic:blipFill>
                  <pic:spPr>
                    <a:xfrm>
                      <a:off x="0" y="0"/>
                      <a:ext cx="2630170" cy="2033905"/>
                    </a:xfrm>
                    <a:prstGeom prst="rect">
                      <a:avLst/>
                    </a:prstGeom>
                    <a:noFill/>
                    <a:ln>
                      <a:noFill/>
                    </a:ln>
                  </pic:spPr>
                </pic:pic>
              </a:graphicData>
            </a:graphic>
          </wp:inline>
        </w:drawing>
      </w:r>
    </w:p>
    <w:p w14:paraId="47901930">
      <w:pPr>
        <w:jc w:val="center"/>
        <w:rPr>
          <w:bCs/>
          <w:szCs w:val="21"/>
        </w:rPr>
      </w:pPr>
      <w:r>
        <w:rPr>
          <w:bCs/>
          <w:szCs w:val="21"/>
        </w:rPr>
        <w:t>项目区西侧</w:t>
      </w:r>
      <w:r>
        <w:rPr>
          <w:rFonts w:hint="eastAsia"/>
          <w:bCs/>
          <w:szCs w:val="21"/>
        </w:rPr>
        <w:t xml:space="preserve">                                 项目区北侧</w:t>
      </w:r>
    </w:p>
    <w:p w14:paraId="0EBF2919">
      <w:pPr>
        <w:jc w:val="center"/>
        <w:rPr>
          <w:bCs/>
          <w:sz w:val="32"/>
          <w:szCs w:val="32"/>
        </w:rPr>
      </w:pPr>
    </w:p>
    <w:p w14:paraId="019DF3FD">
      <w:pPr>
        <w:jc w:val="center"/>
      </w:pPr>
      <w:r>
        <w:rPr>
          <w:rFonts w:hint="eastAsia"/>
        </w:rPr>
        <w:drawing>
          <wp:inline distT="0" distB="0" distL="114300" distR="114300">
            <wp:extent cx="2741295" cy="2245360"/>
            <wp:effectExtent l="0" t="0" r="1905" b="2540"/>
            <wp:docPr id="14" name="图片 14" descr="微信图片_20260921143116_212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921143116_212_12"/>
                    <pic:cNvPicPr>
                      <a:picLocks noChangeAspect="1"/>
                    </pic:cNvPicPr>
                  </pic:nvPicPr>
                  <pic:blipFill>
                    <a:blip r:embed="rId13"/>
                    <a:stretch>
                      <a:fillRect/>
                    </a:stretch>
                  </pic:blipFill>
                  <pic:spPr>
                    <a:xfrm>
                      <a:off x="0" y="0"/>
                      <a:ext cx="2741295" cy="2245360"/>
                    </a:xfrm>
                    <a:prstGeom prst="rect">
                      <a:avLst/>
                    </a:prstGeom>
                  </pic:spPr>
                </pic:pic>
              </a:graphicData>
            </a:graphic>
          </wp:inline>
        </w:drawing>
      </w:r>
      <w:r>
        <w:drawing>
          <wp:inline distT="0" distB="0" distL="114300" distR="114300">
            <wp:extent cx="2740025" cy="2252980"/>
            <wp:effectExtent l="0" t="0" r="3175" b="1397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4"/>
                    <a:stretch>
                      <a:fillRect/>
                    </a:stretch>
                  </pic:blipFill>
                  <pic:spPr>
                    <a:xfrm>
                      <a:off x="0" y="0"/>
                      <a:ext cx="2740025" cy="2252980"/>
                    </a:xfrm>
                    <a:prstGeom prst="rect">
                      <a:avLst/>
                    </a:prstGeom>
                    <a:noFill/>
                    <a:ln>
                      <a:noFill/>
                    </a:ln>
                  </pic:spPr>
                </pic:pic>
              </a:graphicData>
            </a:graphic>
          </wp:inline>
        </w:drawing>
      </w:r>
    </w:p>
    <w:p w14:paraId="14159402">
      <w:pPr>
        <w:jc w:val="center"/>
      </w:pPr>
    </w:p>
    <w:p w14:paraId="1C9E5828">
      <w:pPr>
        <w:jc w:val="center"/>
        <w:rPr>
          <w:bCs/>
          <w:szCs w:val="21"/>
        </w:rPr>
      </w:pPr>
      <w:r>
        <w:rPr>
          <w:bCs/>
          <w:szCs w:val="21"/>
        </w:rPr>
        <w:t>项目区</w:t>
      </w:r>
      <w:r>
        <w:rPr>
          <w:rFonts w:hint="eastAsia"/>
          <w:bCs/>
          <w:szCs w:val="21"/>
        </w:rPr>
        <w:t>东</w:t>
      </w:r>
      <w:r>
        <w:rPr>
          <w:bCs/>
          <w:szCs w:val="21"/>
        </w:rPr>
        <w:t>侧</w:t>
      </w:r>
      <w:r>
        <w:rPr>
          <w:rFonts w:hint="eastAsia"/>
          <w:bCs/>
          <w:szCs w:val="21"/>
        </w:rPr>
        <w:t xml:space="preserve">                                 项目区南侧</w:t>
      </w:r>
    </w:p>
    <w:p w14:paraId="4D1F2E0F">
      <w:pPr>
        <w:pStyle w:val="45"/>
        <w:ind w:left="0" w:leftChars="0" w:firstLine="0" w:firstLineChars="0"/>
        <w:jc w:val="center"/>
        <w:rPr>
          <w:rFonts w:hint="default" w:eastAsia="宋体"/>
          <w:color w:val="auto"/>
          <w:sz w:val="28"/>
          <w:szCs w:val="28"/>
          <w:lang w:val="en-US" w:eastAsia="zh-CN"/>
        </w:rPr>
      </w:pPr>
      <w:r>
        <w:drawing>
          <wp:inline distT="0" distB="0" distL="114300" distR="114300">
            <wp:extent cx="5615940" cy="2402205"/>
            <wp:effectExtent l="0" t="0" r="3810" b="1714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5"/>
                    <a:stretch>
                      <a:fillRect/>
                    </a:stretch>
                  </pic:blipFill>
                  <pic:spPr>
                    <a:xfrm>
                      <a:off x="0" y="0"/>
                      <a:ext cx="5615940" cy="2402205"/>
                    </a:xfrm>
                    <a:prstGeom prst="rect">
                      <a:avLst/>
                    </a:prstGeom>
                    <a:noFill/>
                    <a:ln>
                      <a:noFill/>
                    </a:ln>
                  </pic:spPr>
                </pic:pic>
              </a:graphicData>
            </a:graphic>
          </wp:inline>
        </w:drawing>
      </w:r>
    </w:p>
    <w:p w14:paraId="69F833CB">
      <w:pPr>
        <w:adjustRightInd w:val="0"/>
        <w:snapToGrid w:val="0"/>
        <w:spacing w:line="288" w:lineRule="auto"/>
        <w:jc w:val="center"/>
        <w:rPr>
          <w:rFonts w:eastAsia="仿宋_GB2312"/>
          <w:color w:val="auto"/>
          <w:sz w:val="36"/>
          <w:szCs w:val="36"/>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rPr>
          <w:rFonts w:hint="eastAsia"/>
          <w:lang w:val="en-US" w:eastAsia="zh-CN"/>
        </w:rPr>
        <w:t>项目区占地情况</w:t>
      </w:r>
    </w:p>
    <w:p w14:paraId="1554E25E">
      <w:pPr>
        <w:pStyle w:val="40"/>
        <w:jc w:val="center"/>
        <w:outlineLvl w:val="0"/>
        <w:rPr>
          <w:rFonts w:ascii="Times New Roman" w:hAnsi="Times New Roman" w:eastAsia="黑体"/>
          <w:snapToGrid w:val="0"/>
          <w:color w:val="auto"/>
          <w:sz w:val="30"/>
          <w:szCs w:val="30"/>
        </w:rPr>
      </w:pPr>
      <w:r>
        <w:rPr>
          <w:rFonts w:ascii="Times New Roman" w:hAnsi="黑体" w:eastAsia="黑体"/>
          <w:snapToGrid w:val="0"/>
          <w:color w:val="auto"/>
          <w:sz w:val="30"/>
          <w:szCs w:val="30"/>
        </w:rPr>
        <w:t>一、建设项目基本情况</w:t>
      </w:r>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82"/>
        <w:gridCol w:w="1637"/>
        <w:gridCol w:w="2212"/>
        <w:gridCol w:w="2639"/>
      </w:tblGrid>
      <w:tr w14:paraId="48902B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CF00F5F">
            <w:pPr>
              <w:adjustRightInd w:val="0"/>
              <w:snapToGrid w:val="0"/>
              <w:jc w:val="center"/>
              <w:rPr>
                <w:color w:val="auto"/>
                <w:szCs w:val="21"/>
              </w:rPr>
            </w:pPr>
            <w:r>
              <w:rPr>
                <w:rFonts w:hAnsi="宋体"/>
                <w:color w:val="auto"/>
                <w:szCs w:val="21"/>
              </w:rPr>
              <w:t>建设项目名称</w:t>
            </w:r>
          </w:p>
        </w:tc>
        <w:tc>
          <w:tcPr>
            <w:tcW w:w="6488" w:type="dxa"/>
            <w:gridSpan w:val="3"/>
            <w:vAlign w:val="center"/>
          </w:tcPr>
          <w:p w14:paraId="727D74E7">
            <w:pPr>
              <w:adjustRightInd w:val="0"/>
              <w:snapToGrid w:val="0"/>
              <w:jc w:val="center"/>
              <w:rPr>
                <w:rFonts w:hint="eastAsia" w:eastAsia="宋体"/>
                <w:color w:val="auto"/>
                <w:szCs w:val="21"/>
                <w:lang w:eastAsia="zh-CN"/>
              </w:rPr>
            </w:pPr>
            <w:r>
              <w:rPr>
                <w:rFonts w:hint="eastAsia" w:hAnsi="宋体"/>
                <w:color w:val="auto"/>
                <w:szCs w:val="21"/>
                <w:lang w:eastAsia="zh-CN"/>
              </w:rPr>
              <w:t>古建筑产业园项目</w:t>
            </w:r>
          </w:p>
        </w:tc>
      </w:tr>
      <w:tr w14:paraId="373185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73F8333">
            <w:pPr>
              <w:adjustRightInd w:val="0"/>
              <w:snapToGrid w:val="0"/>
              <w:jc w:val="center"/>
              <w:rPr>
                <w:color w:val="auto"/>
                <w:szCs w:val="21"/>
              </w:rPr>
            </w:pPr>
            <w:r>
              <w:rPr>
                <w:rFonts w:hAnsi="宋体"/>
                <w:color w:val="auto"/>
                <w:szCs w:val="21"/>
              </w:rPr>
              <w:t>项目代码</w:t>
            </w:r>
          </w:p>
        </w:tc>
        <w:tc>
          <w:tcPr>
            <w:tcW w:w="6488" w:type="dxa"/>
            <w:gridSpan w:val="3"/>
            <w:vAlign w:val="center"/>
          </w:tcPr>
          <w:p w14:paraId="4CF08308">
            <w:pPr>
              <w:adjustRightInd w:val="0"/>
              <w:snapToGrid w:val="0"/>
              <w:jc w:val="center"/>
              <w:rPr>
                <w:color w:val="auto"/>
                <w:szCs w:val="21"/>
              </w:rPr>
            </w:pPr>
            <w:r>
              <w:rPr>
                <w:rFonts w:hint="eastAsia"/>
                <w:szCs w:val="21"/>
              </w:rPr>
              <w:t>2209-140251-89-01-108162</w:t>
            </w:r>
          </w:p>
        </w:tc>
      </w:tr>
      <w:tr w14:paraId="7CAC0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495DAA39">
            <w:pPr>
              <w:adjustRightInd w:val="0"/>
              <w:snapToGrid w:val="0"/>
              <w:jc w:val="center"/>
              <w:rPr>
                <w:color w:val="auto"/>
                <w:szCs w:val="21"/>
              </w:rPr>
            </w:pPr>
            <w:r>
              <w:rPr>
                <w:rFonts w:hAnsi="宋体"/>
                <w:color w:val="auto"/>
                <w:szCs w:val="21"/>
              </w:rPr>
              <w:t>建设单位联系人</w:t>
            </w:r>
          </w:p>
        </w:tc>
        <w:tc>
          <w:tcPr>
            <w:tcW w:w="1637" w:type="dxa"/>
            <w:vAlign w:val="center"/>
          </w:tcPr>
          <w:p w14:paraId="5F61C50C">
            <w:pPr>
              <w:adjustRightInd w:val="0"/>
              <w:snapToGrid w:val="0"/>
              <w:jc w:val="center"/>
              <w:rPr>
                <w:rFonts w:hint="default"/>
                <w:szCs w:val="21"/>
                <w:lang w:val="en-US" w:eastAsia="zh-CN"/>
              </w:rPr>
            </w:pPr>
            <w:r>
              <w:rPr>
                <w:rFonts w:hint="eastAsia"/>
                <w:szCs w:val="21"/>
                <w:lang w:val="en-US" w:eastAsia="zh-CN"/>
              </w:rPr>
              <w:t>杨永康</w:t>
            </w:r>
          </w:p>
        </w:tc>
        <w:tc>
          <w:tcPr>
            <w:tcW w:w="2212" w:type="dxa"/>
            <w:vAlign w:val="center"/>
          </w:tcPr>
          <w:p w14:paraId="0788E3F1">
            <w:pPr>
              <w:adjustRightInd w:val="0"/>
              <w:snapToGrid w:val="0"/>
              <w:jc w:val="center"/>
              <w:rPr>
                <w:rFonts w:hint="eastAsia"/>
                <w:szCs w:val="21"/>
              </w:rPr>
            </w:pPr>
            <w:r>
              <w:rPr>
                <w:rFonts w:hint="eastAsia"/>
                <w:szCs w:val="21"/>
              </w:rPr>
              <w:t>联系方式</w:t>
            </w:r>
          </w:p>
        </w:tc>
        <w:tc>
          <w:tcPr>
            <w:tcW w:w="2639" w:type="dxa"/>
            <w:vAlign w:val="center"/>
          </w:tcPr>
          <w:p w14:paraId="4B723DD0">
            <w:pPr>
              <w:adjustRightInd w:val="0"/>
              <w:snapToGrid w:val="0"/>
              <w:jc w:val="center"/>
              <w:rPr>
                <w:rFonts w:hint="eastAsia"/>
                <w:szCs w:val="21"/>
              </w:rPr>
            </w:pPr>
            <w:r>
              <w:rPr>
                <w:rFonts w:hint="eastAsia"/>
                <w:szCs w:val="21"/>
                <w:lang w:val="en-US" w:eastAsia="zh-CN"/>
              </w:rPr>
              <w:t>18003514312</w:t>
            </w:r>
          </w:p>
        </w:tc>
      </w:tr>
      <w:tr w14:paraId="308B6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46450D95">
            <w:pPr>
              <w:adjustRightInd w:val="0"/>
              <w:snapToGrid w:val="0"/>
              <w:jc w:val="center"/>
              <w:rPr>
                <w:color w:val="auto"/>
                <w:szCs w:val="21"/>
              </w:rPr>
            </w:pPr>
            <w:r>
              <w:rPr>
                <w:rFonts w:hAnsi="宋体"/>
                <w:color w:val="auto"/>
                <w:szCs w:val="21"/>
              </w:rPr>
              <w:t>建设地点</w:t>
            </w:r>
          </w:p>
        </w:tc>
        <w:tc>
          <w:tcPr>
            <w:tcW w:w="6488" w:type="dxa"/>
            <w:gridSpan w:val="3"/>
            <w:vAlign w:val="center"/>
          </w:tcPr>
          <w:p w14:paraId="6831A6AE">
            <w:pPr>
              <w:adjustRightInd w:val="0"/>
              <w:snapToGrid w:val="0"/>
              <w:jc w:val="center"/>
              <w:rPr>
                <w:rFonts w:hint="eastAsia" w:eastAsia="宋体"/>
                <w:color w:val="auto"/>
                <w:szCs w:val="21"/>
                <w:lang w:eastAsia="zh-CN"/>
              </w:rPr>
            </w:pPr>
            <w:r>
              <w:rPr>
                <w:szCs w:val="21"/>
              </w:rPr>
              <w:t>山西省大同经济技术开发区装备制造产业园区氢都北一街3号</w:t>
            </w:r>
          </w:p>
        </w:tc>
      </w:tr>
      <w:tr w14:paraId="0935E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1B3ED589">
            <w:pPr>
              <w:adjustRightInd w:val="0"/>
              <w:snapToGrid w:val="0"/>
              <w:jc w:val="center"/>
              <w:rPr>
                <w:color w:val="auto"/>
                <w:szCs w:val="21"/>
              </w:rPr>
            </w:pPr>
            <w:r>
              <w:rPr>
                <w:rFonts w:hAnsi="宋体"/>
                <w:color w:val="auto"/>
                <w:szCs w:val="21"/>
              </w:rPr>
              <w:t>地理坐标</w:t>
            </w:r>
          </w:p>
        </w:tc>
        <w:tc>
          <w:tcPr>
            <w:tcW w:w="6488" w:type="dxa"/>
            <w:gridSpan w:val="3"/>
            <w:vAlign w:val="center"/>
          </w:tcPr>
          <w:p w14:paraId="1675C799">
            <w:pPr>
              <w:jc w:val="center"/>
              <w:rPr>
                <w:color w:val="auto"/>
                <w:szCs w:val="21"/>
              </w:rPr>
            </w:pPr>
            <w:r>
              <w:rPr>
                <w:szCs w:val="21"/>
              </w:rPr>
              <w:t>东经11</w:t>
            </w:r>
            <w:r>
              <w:rPr>
                <w:rFonts w:hint="eastAsia"/>
                <w:szCs w:val="21"/>
              </w:rPr>
              <w:t>3</w:t>
            </w:r>
            <w:r>
              <w:rPr>
                <w:szCs w:val="21"/>
              </w:rPr>
              <w:t>度</w:t>
            </w:r>
            <w:r>
              <w:rPr>
                <w:rFonts w:hint="eastAsia"/>
                <w:szCs w:val="21"/>
              </w:rPr>
              <w:t>26</w:t>
            </w:r>
            <w:r>
              <w:rPr>
                <w:szCs w:val="21"/>
              </w:rPr>
              <w:t>分</w:t>
            </w:r>
            <w:r>
              <w:rPr>
                <w:rFonts w:hint="eastAsia"/>
                <w:szCs w:val="21"/>
              </w:rPr>
              <w:t>41.857</w:t>
            </w:r>
            <w:r>
              <w:rPr>
                <w:szCs w:val="21"/>
              </w:rPr>
              <w:t>秒，北纬</w:t>
            </w:r>
            <w:r>
              <w:rPr>
                <w:rFonts w:hint="eastAsia"/>
                <w:szCs w:val="21"/>
              </w:rPr>
              <w:t>40</w:t>
            </w:r>
            <w:r>
              <w:rPr>
                <w:szCs w:val="21"/>
              </w:rPr>
              <w:t>度</w:t>
            </w:r>
            <w:r>
              <w:rPr>
                <w:rFonts w:hint="eastAsia"/>
                <w:szCs w:val="21"/>
              </w:rPr>
              <w:t>5</w:t>
            </w:r>
            <w:r>
              <w:rPr>
                <w:szCs w:val="21"/>
              </w:rPr>
              <w:t>分</w:t>
            </w:r>
            <w:r>
              <w:rPr>
                <w:rFonts w:hint="eastAsia"/>
                <w:szCs w:val="21"/>
              </w:rPr>
              <w:t>45.723</w:t>
            </w:r>
            <w:r>
              <w:rPr>
                <w:szCs w:val="21"/>
              </w:rPr>
              <w:t>秒</w:t>
            </w:r>
          </w:p>
        </w:tc>
      </w:tr>
      <w:tr w14:paraId="4858CF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tcMar>
              <w:top w:w="16" w:type="dxa"/>
              <w:left w:w="16" w:type="dxa"/>
              <w:right w:w="16" w:type="dxa"/>
            </w:tcMar>
            <w:vAlign w:val="center"/>
          </w:tcPr>
          <w:p w14:paraId="2403CB62">
            <w:pPr>
              <w:adjustRightInd w:val="0"/>
              <w:snapToGrid w:val="0"/>
              <w:jc w:val="center"/>
              <w:rPr>
                <w:color w:val="auto"/>
                <w:szCs w:val="21"/>
              </w:rPr>
            </w:pPr>
            <w:r>
              <w:rPr>
                <w:rFonts w:hAnsi="宋体"/>
                <w:color w:val="auto"/>
                <w:szCs w:val="21"/>
              </w:rPr>
              <w:t>国民经济</w:t>
            </w:r>
          </w:p>
          <w:p w14:paraId="732A174F">
            <w:pPr>
              <w:adjustRightInd w:val="0"/>
              <w:snapToGrid w:val="0"/>
              <w:jc w:val="center"/>
              <w:rPr>
                <w:color w:val="auto"/>
                <w:szCs w:val="21"/>
              </w:rPr>
            </w:pPr>
            <w:r>
              <w:rPr>
                <w:rFonts w:hAnsi="宋体"/>
                <w:color w:val="auto"/>
                <w:szCs w:val="21"/>
              </w:rPr>
              <w:t>行业类别</w:t>
            </w:r>
          </w:p>
        </w:tc>
        <w:tc>
          <w:tcPr>
            <w:tcW w:w="1637" w:type="dxa"/>
            <w:vAlign w:val="center"/>
          </w:tcPr>
          <w:p w14:paraId="1D8BE2EF">
            <w:pPr>
              <w:adjustRightInd w:val="0"/>
              <w:snapToGrid w:val="0"/>
              <w:jc w:val="center"/>
              <w:rPr>
                <w:rFonts w:hint="default" w:eastAsia="宋体"/>
                <w:color w:val="auto"/>
                <w:szCs w:val="21"/>
                <w:lang w:val="en-US" w:eastAsia="zh-CN"/>
              </w:rPr>
            </w:pPr>
            <w:r>
              <w:rPr>
                <w:rFonts w:hint="eastAsia"/>
                <w:bCs/>
                <w:szCs w:val="21"/>
              </w:rPr>
              <w:t>C2031建筑用木料</w:t>
            </w:r>
            <w:r>
              <w:rPr>
                <w:rFonts w:hint="eastAsia"/>
                <w:bCs/>
                <w:szCs w:val="21"/>
                <w:lang w:eastAsia="zh-CN"/>
              </w:rPr>
              <w:t>及</w:t>
            </w:r>
            <w:r>
              <w:rPr>
                <w:rFonts w:hint="eastAsia"/>
                <w:bCs/>
                <w:szCs w:val="21"/>
              </w:rPr>
              <w:t>木材组件加工；C2032木门窗制造；C2431雕塑工艺品制造</w:t>
            </w:r>
          </w:p>
        </w:tc>
        <w:tc>
          <w:tcPr>
            <w:tcW w:w="2212" w:type="dxa"/>
            <w:vAlign w:val="center"/>
          </w:tcPr>
          <w:p w14:paraId="024E028B">
            <w:pPr>
              <w:adjustRightInd w:val="0"/>
              <w:snapToGrid w:val="0"/>
              <w:jc w:val="center"/>
              <w:rPr>
                <w:color w:val="auto"/>
                <w:szCs w:val="21"/>
              </w:rPr>
            </w:pPr>
            <w:bookmarkStart w:id="0" w:name="_Hlk49843745"/>
            <w:r>
              <w:rPr>
                <w:rFonts w:hAnsi="宋体"/>
                <w:color w:val="auto"/>
                <w:szCs w:val="21"/>
              </w:rPr>
              <w:t>建设项目</w:t>
            </w:r>
          </w:p>
          <w:p w14:paraId="1632F69E">
            <w:pPr>
              <w:adjustRightInd w:val="0"/>
              <w:snapToGrid w:val="0"/>
              <w:jc w:val="center"/>
              <w:rPr>
                <w:color w:val="auto"/>
                <w:szCs w:val="21"/>
              </w:rPr>
            </w:pPr>
            <w:r>
              <w:rPr>
                <w:rFonts w:hAnsi="宋体"/>
                <w:color w:val="auto"/>
                <w:szCs w:val="21"/>
              </w:rPr>
              <w:t>行业类别</w:t>
            </w:r>
            <w:bookmarkEnd w:id="0"/>
          </w:p>
        </w:tc>
        <w:tc>
          <w:tcPr>
            <w:tcW w:w="2639" w:type="dxa"/>
            <w:vAlign w:val="center"/>
          </w:tcPr>
          <w:p w14:paraId="3DF72816">
            <w:pPr>
              <w:adjustRightInd w:val="0"/>
              <w:snapToGrid w:val="0"/>
              <w:jc w:val="center"/>
              <w:rPr>
                <w:rFonts w:hint="default" w:eastAsia="宋体"/>
                <w:color w:val="auto"/>
                <w:szCs w:val="21"/>
                <w:lang w:val="en-US" w:eastAsia="zh-CN"/>
              </w:rPr>
            </w:pPr>
            <w:r>
              <w:rPr>
                <w:rFonts w:hint="eastAsia"/>
                <w:spacing w:val="-5"/>
                <w:szCs w:val="21"/>
              </w:rPr>
              <w:t>十七</w:t>
            </w:r>
            <w:r>
              <w:rPr>
                <w:spacing w:val="-5"/>
                <w:szCs w:val="21"/>
              </w:rPr>
              <w:t>、</w:t>
            </w:r>
            <w:r>
              <w:rPr>
                <w:rFonts w:hint="eastAsia"/>
                <w:spacing w:val="-5"/>
                <w:szCs w:val="21"/>
              </w:rPr>
              <w:t>木材加工和木、竹、藤、棕、草制品</w:t>
            </w:r>
            <w:r>
              <w:rPr>
                <w:spacing w:val="-5"/>
                <w:szCs w:val="21"/>
              </w:rPr>
              <w:t>业-</w:t>
            </w:r>
            <w:r>
              <w:rPr>
                <w:rFonts w:hint="eastAsia"/>
                <w:spacing w:val="-5"/>
                <w:szCs w:val="21"/>
              </w:rPr>
              <w:t>33、木材加工；木质制品制造</w:t>
            </w:r>
          </w:p>
        </w:tc>
      </w:tr>
      <w:tr w14:paraId="20BBF3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tcMar>
              <w:top w:w="16" w:type="dxa"/>
              <w:left w:w="16" w:type="dxa"/>
              <w:right w:w="16" w:type="dxa"/>
            </w:tcMar>
            <w:vAlign w:val="center"/>
          </w:tcPr>
          <w:p w14:paraId="2EFC7AA2">
            <w:pPr>
              <w:adjustRightInd w:val="0"/>
              <w:snapToGrid w:val="0"/>
              <w:jc w:val="center"/>
              <w:rPr>
                <w:color w:val="auto"/>
                <w:szCs w:val="21"/>
              </w:rPr>
            </w:pPr>
            <w:r>
              <w:rPr>
                <w:rFonts w:hAnsi="宋体"/>
                <w:color w:val="auto"/>
                <w:szCs w:val="21"/>
              </w:rPr>
              <w:t>建设性质</w:t>
            </w:r>
          </w:p>
        </w:tc>
        <w:tc>
          <w:tcPr>
            <w:tcW w:w="1637" w:type="dxa"/>
            <w:vAlign w:val="center"/>
          </w:tcPr>
          <w:p w14:paraId="0CFB727D">
            <w:pPr>
              <w:jc w:val="left"/>
              <w:rPr>
                <w:color w:val="auto"/>
                <w:szCs w:val="21"/>
              </w:rPr>
            </w:pPr>
            <w:r>
              <w:rPr>
                <w:rFonts w:hint="eastAsia"/>
                <w:color w:val="auto"/>
                <w:szCs w:val="21"/>
              </w:rPr>
              <w:t>√</w:t>
            </w:r>
            <w:r>
              <w:rPr>
                <w:rFonts w:hAnsi="宋体"/>
                <w:color w:val="auto"/>
                <w:szCs w:val="21"/>
              </w:rPr>
              <w:t>新建（迁建）</w:t>
            </w:r>
          </w:p>
          <w:p w14:paraId="0D97DB8E">
            <w:pPr>
              <w:jc w:val="left"/>
              <w:rPr>
                <w:color w:val="auto"/>
                <w:szCs w:val="21"/>
              </w:rPr>
            </w:pPr>
            <w:r>
              <w:rPr>
                <w:color w:val="auto"/>
                <w:szCs w:val="21"/>
              </w:rPr>
              <w:t>□</w:t>
            </w:r>
            <w:r>
              <w:rPr>
                <w:rFonts w:hAnsi="宋体"/>
                <w:color w:val="auto"/>
                <w:szCs w:val="21"/>
              </w:rPr>
              <w:t>改建</w:t>
            </w:r>
          </w:p>
          <w:p w14:paraId="09B77794">
            <w:pPr>
              <w:jc w:val="left"/>
              <w:rPr>
                <w:color w:val="auto"/>
                <w:szCs w:val="21"/>
              </w:rPr>
            </w:pPr>
            <w:r>
              <w:rPr>
                <w:color w:val="auto"/>
                <w:szCs w:val="21"/>
              </w:rPr>
              <w:t>□</w:t>
            </w:r>
            <w:r>
              <w:rPr>
                <w:rFonts w:hAnsi="宋体"/>
                <w:color w:val="auto"/>
                <w:szCs w:val="21"/>
              </w:rPr>
              <w:t>扩建</w:t>
            </w:r>
          </w:p>
          <w:p w14:paraId="0274BB6D">
            <w:pPr>
              <w:jc w:val="left"/>
              <w:rPr>
                <w:color w:val="auto"/>
                <w:szCs w:val="21"/>
              </w:rPr>
            </w:pPr>
            <w:r>
              <w:rPr>
                <w:color w:val="auto"/>
                <w:szCs w:val="21"/>
              </w:rPr>
              <w:t>□</w:t>
            </w:r>
            <w:r>
              <w:rPr>
                <w:rFonts w:hAnsi="宋体"/>
                <w:color w:val="auto"/>
                <w:szCs w:val="21"/>
              </w:rPr>
              <w:t>技术改造</w:t>
            </w:r>
          </w:p>
        </w:tc>
        <w:tc>
          <w:tcPr>
            <w:tcW w:w="2212" w:type="dxa"/>
            <w:vAlign w:val="center"/>
          </w:tcPr>
          <w:p w14:paraId="69FD4567">
            <w:pPr>
              <w:adjustRightInd w:val="0"/>
              <w:snapToGrid w:val="0"/>
              <w:jc w:val="center"/>
              <w:rPr>
                <w:color w:val="auto"/>
                <w:szCs w:val="21"/>
              </w:rPr>
            </w:pPr>
            <w:r>
              <w:rPr>
                <w:rFonts w:hAnsi="宋体"/>
                <w:color w:val="auto"/>
                <w:szCs w:val="21"/>
              </w:rPr>
              <w:t>建设项目</w:t>
            </w:r>
          </w:p>
          <w:p w14:paraId="73E74BA1">
            <w:pPr>
              <w:adjustRightInd w:val="0"/>
              <w:snapToGrid w:val="0"/>
              <w:jc w:val="center"/>
              <w:rPr>
                <w:color w:val="auto"/>
                <w:szCs w:val="21"/>
              </w:rPr>
            </w:pPr>
            <w:r>
              <w:rPr>
                <w:rFonts w:hAnsi="宋体"/>
                <w:color w:val="auto"/>
                <w:szCs w:val="21"/>
              </w:rPr>
              <w:t>申报情形</w:t>
            </w:r>
          </w:p>
        </w:tc>
        <w:tc>
          <w:tcPr>
            <w:tcW w:w="2639" w:type="dxa"/>
            <w:vAlign w:val="center"/>
          </w:tcPr>
          <w:p w14:paraId="43E180BB">
            <w:pPr>
              <w:jc w:val="left"/>
              <w:rPr>
                <w:color w:val="auto"/>
                <w:szCs w:val="21"/>
              </w:rPr>
            </w:pPr>
            <w:r>
              <w:rPr>
                <w:rFonts w:hint="eastAsia"/>
                <w:color w:val="auto"/>
                <w:szCs w:val="21"/>
              </w:rPr>
              <w:t>√</w:t>
            </w:r>
            <w:r>
              <w:rPr>
                <w:rFonts w:hAnsi="宋体"/>
                <w:color w:val="auto"/>
                <w:szCs w:val="21"/>
              </w:rPr>
              <w:t>首次申报项目</w:t>
            </w:r>
          </w:p>
          <w:p w14:paraId="600802BB">
            <w:pPr>
              <w:jc w:val="left"/>
              <w:rPr>
                <w:color w:val="auto"/>
                <w:szCs w:val="21"/>
              </w:rPr>
            </w:pPr>
            <w:r>
              <w:rPr>
                <w:color w:val="auto"/>
                <w:szCs w:val="21"/>
              </w:rPr>
              <w:t>□</w:t>
            </w:r>
            <w:r>
              <w:rPr>
                <w:rFonts w:hAnsi="宋体"/>
                <w:color w:val="auto"/>
                <w:szCs w:val="21"/>
              </w:rPr>
              <w:t>不予批准后再次申报项目</w:t>
            </w:r>
          </w:p>
          <w:p w14:paraId="67549824">
            <w:pPr>
              <w:jc w:val="left"/>
              <w:rPr>
                <w:color w:val="auto"/>
                <w:szCs w:val="21"/>
              </w:rPr>
            </w:pPr>
            <w:r>
              <w:rPr>
                <w:color w:val="auto"/>
                <w:szCs w:val="21"/>
              </w:rPr>
              <w:t>□</w:t>
            </w:r>
            <w:r>
              <w:rPr>
                <w:rFonts w:hAnsi="宋体"/>
                <w:color w:val="auto"/>
                <w:szCs w:val="21"/>
              </w:rPr>
              <w:t>超五年重新审核项目</w:t>
            </w:r>
            <w:r>
              <w:rPr>
                <w:color w:val="auto"/>
                <w:szCs w:val="21"/>
              </w:rPr>
              <w:t xml:space="preserve"> </w:t>
            </w:r>
          </w:p>
          <w:p w14:paraId="486614FB">
            <w:pPr>
              <w:jc w:val="left"/>
              <w:rPr>
                <w:color w:val="auto"/>
                <w:szCs w:val="21"/>
              </w:rPr>
            </w:pPr>
            <w:r>
              <w:rPr>
                <w:color w:val="auto"/>
                <w:szCs w:val="21"/>
              </w:rPr>
              <w:t>□</w:t>
            </w:r>
            <w:r>
              <w:rPr>
                <w:rFonts w:hAnsi="宋体"/>
                <w:color w:val="auto"/>
                <w:szCs w:val="21"/>
              </w:rPr>
              <w:t>重大变动重新报批项目</w:t>
            </w:r>
          </w:p>
        </w:tc>
      </w:tr>
      <w:tr w14:paraId="0719E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tcMar>
              <w:top w:w="16" w:type="dxa"/>
              <w:left w:w="16" w:type="dxa"/>
              <w:right w:w="16" w:type="dxa"/>
            </w:tcMar>
            <w:vAlign w:val="center"/>
          </w:tcPr>
          <w:p w14:paraId="790ED56C">
            <w:pPr>
              <w:adjustRightInd w:val="0"/>
              <w:snapToGrid w:val="0"/>
              <w:jc w:val="center"/>
              <w:rPr>
                <w:color w:val="auto"/>
                <w:szCs w:val="21"/>
              </w:rPr>
            </w:pPr>
            <w:r>
              <w:rPr>
                <w:rFonts w:hAnsi="宋体"/>
                <w:color w:val="auto"/>
                <w:szCs w:val="21"/>
              </w:rPr>
              <w:t>项目审批（核准</w:t>
            </w:r>
            <w:r>
              <w:rPr>
                <w:color w:val="auto"/>
                <w:szCs w:val="21"/>
              </w:rPr>
              <w:t>/</w:t>
            </w:r>
          </w:p>
          <w:p w14:paraId="7F6C9CF7">
            <w:pPr>
              <w:adjustRightInd w:val="0"/>
              <w:snapToGrid w:val="0"/>
              <w:jc w:val="center"/>
              <w:rPr>
                <w:color w:val="auto"/>
                <w:szCs w:val="21"/>
              </w:rPr>
            </w:pPr>
            <w:r>
              <w:rPr>
                <w:rFonts w:hAnsi="宋体"/>
                <w:color w:val="auto"/>
                <w:szCs w:val="21"/>
              </w:rPr>
              <w:t>备案）部门（选填）</w:t>
            </w:r>
          </w:p>
        </w:tc>
        <w:tc>
          <w:tcPr>
            <w:tcW w:w="1637" w:type="dxa"/>
            <w:vAlign w:val="center"/>
          </w:tcPr>
          <w:p w14:paraId="2B1F8AEF">
            <w:pPr>
              <w:adjustRightInd w:val="0"/>
              <w:snapToGrid w:val="0"/>
              <w:jc w:val="center"/>
              <w:rPr>
                <w:color w:val="auto"/>
                <w:szCs w:val="21"/>
              </w:rPr>
            </w:pPr>
            <w:r>
              <w:rPr>
                <w:rFonts w:hint="eastAsia"/>
                <w:szCs w:val="21"/>
              </w:rPr>
              <w:t>大同经济技术开发区行政审批服务管理局</w:t>
            </w:r>
          </w:p>
        </w:tc>
        <w:tc>
          <w:tcPr>
            <w:tcW w:w="2212" w:type="dxa"/>
            <w:vAlign w:val="center"/>
          </w:tcPr>
          <w:p w14:paraId="752072AF">
            <w:pPr>
              <w:adjustRightInd w:val="0"/>
              <w:snapToGrid w:val="0"/>
              <w:jc w:val="center"/>
              <w:rPr>
                <w:color w:val="auto"/>
                <w:szCs w:val="21"/>
              </w:rPr>
            </w:pPr>
            <w:r>
              <w:rPr>
                <w:rFonts w:hAnsi="宋体"/>
                <w:color w:val="auto"/>
                <w:szCs w:val="21"/>
              </w:rPr>
              <w:t>项目审批（核准</w:t>
            </w:r>
            <w:r>
              <w:rPr>
                <w:color w:val="auto"/>
                <w:szCs w:val="21"/>
              </w:rPr>
              <w:t>/</w:t>
            </w:r>
          </w:p>
          <w:p w14:paraId="28062FE7">
            <w:pPr>
              <w:adjustRightInd w:val="0"/>
              <w:snapToGrid w:val="0"/>
              <w:jc w:val="center"/>
              <w:rPr>
                <w:color w:val="auto"/>
                <w:szCs w:val="21"/>
              </w:rPr>
            </w:pPr>
            <w:r>
              <w:rPr>
                <w:rFonts w:hAnsi="宋体"/>
                <w:color w:val="auto"/>
                <w:szCs w:val="21"/>
              </w:rPr>
              <w:t>备案）文号（选填）</w:t>
            </w:r>
          </w:p>
        </w:tc>
        <w:tc>
          <w:tcPr>
            <w:tcW w:w="2639" w:type="dxa"/>
            <w:vAlign w:val="center"/>
          </w:tcPr>
          <w:p w14:paraId="6DB5C276">
            <w:pPr>
              <w:adjustRightInd w:val="0"/>
              <w:snapToGrid w:val="0"/>
              <w:jc w:val="center"/>
              <w:rPr>
                <w:color w:val="auto"/>
                <w:szCs w:val="21"/>
              </w:rPr>
            </w:pPr>
            <w:r>
              <w:rPr>
                <w:rFonts w:hint="eastAsia" w:hAnsi="宋体"/>
                <w:color w:val="auto"/>
                <w:szCs w:val="21"/>
              </w:rPr>
              <w:t>-</w:t>
            </w:r>
          </w:p>
        </w:tc>
      </w:tr>
      <w:tr w14:paraId="5193E0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49E47D3">
            <w:pPr>
              <w:adjustRightInd w:val="0"/>
              <w:snapToGrid w:val="0"/>
              <w:jc w:val="center"/>
              <w:rPr>
                <w:color w:val="auto"/>
                <w:szCs w:val="21"/>
              </w:rPr>
            </w:pPr>
            <w:r>
              <w:rPr>
                <w:rFonts w:hAnsi="宋体"/>
                <w:color w:val="auto"/>
                <w:szCs w:val="21"/>
              </w:rPr>
              <w:t>总投资（万元）</w:t>
            </w:r>
          </w:p>
        </w:tc>
        <w:tc>
          <w:tcPr>
            <w:tcW w:w="1637" w:type="dxa"/>
            <w:vAlign w:val="center"/>
          </w:tcPr>
          <w:p w14:paraId="1B09D926">
            <w:pPr>
              <w:adjustRightInd w:val="0"/>
              <w:snapToGrid w:val="0"/>
              <w:jc w:val="center"/>
              <w:rPr>
                <w:rFonts w:hint="default" w:eastAsia="宋体"/>
                <w:color w:val="auto"/>
                <w:szCs w:val="21"/>
                <w:lang w:val="en-US" w:eastAsia="zh-CN"/>
              </w:rPr>
            </w:pPr>
            <w:r>
              <w:rPr>
                <w:rFonts w:hint="eastAsia"/>
                <w:color w:val="000000"/>
                <w:szCs w:val="21"/>
              </w:rPr>
              <w:t>24960</w:t>
            </w:r>
          </w:p>
        </w:tc>
        <w:tc>
          <w:tcPr>
            <w:tcW w:w="2212" w:type="dxa"/>
            <w:tcMar>
              <w:top w:w="16" w:type="dxa"/>
              <w:left w:w="16" w:type="dxa"/>
              <w:right w:w="16" w:type="dxa"/>
            </w:tcMar>
            <w:vAlign w:val="center"/>
          </w:tcPr>
          <w:p w14:paraId="5F63BB1B">
            <w:pPr>
              <w:adjustRightInd w:val="0"/>
              <w:snapToGrid w:val="0"/>
              <w:jc w:val="center"/>
              <w:rPr>
                <w:color w:val="auto"/>
                <w:szCs w:val="21"/>
              </w:rPr>
            </w:pPr>
            <w:r>
              <w:rPr>
                <w:rFonts w:hAnsi="宋体"/>
                <w:color w:val="auto"/>
                <w:szCs w:val="21"/>
              </w:rPr>
              <w:t>环保投资（万元）</w:t>
            </w:r>
          </w:p>
        </w:tc>
        <w:tc>
          <w:tcPr>
            <w:tcW w:w="2639" w:type="dxa"/>
            <w:vAlign w:val="center"/>
          </w:tcPr>
          <w:p w14:paraId="342B48A0">
            <w:pPr>
              <w:adjustRightInd w:val="0"/>
              <w:snapToGrid w:val="0"/>
              <w:jc w:val="center"/>
              <w:rPr>
                <w:color w:val="auto"/>
                <w:szCs w:val="21"/>
              </w:rPr>
            </w:pPr>
            <w:r>
              <w:rPr>
                <w:rFonts w:hint="eastAsia"/>
                <w:color w:val="000000"/>
                <w:szCs w:val="21"/>
              </w:rPr>
              <w:t>172</w:t>
            </w:r>
          </w:p>
        </w:tc>
      </w:tr>
      <w:tr w14:paraId="21C12E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362EFE9">
            <w:pPr>
              <w:adjustRightInd w:val="0"/>
              <w:snapToGrid w:val="0"/>
              <w:jc w:val="center"/>
              <w:rPr>
                <w:color w:val="auto"/>
                <w:szCs w:val="21"/>
              </w:rPr>
            </w:pPr>
            <w:r>
              <w:rPr>
                <w:rFonts w:hAnsi="宋体"/>
                <w:color w:val="auto"/>
                <w:szCs w:val="21"/>
              </w:rPr>
              <w:t>环保投资占比（</w:t>
            </w:r>
            <w:r>
              <w:rPr>
                <w:color w:val="auto"/>
                <w:szCs w:val="21"/>
              </w:rPr>
              <w:t>%</w:t>
            </w:r>
            <w:r>
              <w:rPr>
                <w:rFonts w:hAnsi="宋体"/>
                <w:color w:val="auto"/>
                <w:szCs w:val="21"/>
              </w:rPr>
              <w:t>）</w:t>
            </w:r>
          </w:p>
        </w:tc>
        <w:tc>
          <w:tcPr>
            <w:tcW w:w="1637" w:type="dxa"/>
            <w:vAlign w:val="center"/>
          </w:tcPr>
          <w:p w14:paraId="4F1C9E7E">
            <w:pPr>
              <w:adjustRightInd w:val="0"/>
              <w:snapToGrid w:val="0"/>
              <w:jc w:val="center"/>
              <w:rPr>
                <w:color w:val="auto"/>
                <w:szCs w:val="21"/>
              </w:rPr>
            </w:pPr>
            <w:r>
              <w:rPr>
                <w:rFonts w:hint="eastAsia"/>
                <w:color w:val="000000"/>
                <w:szCs w:val="21"/>
              </w:rPr>
              <w:t>0.69</w:t>
            </w:r>
          </w:p>
        </w:tc>
        <w:tc>
          <w:tcPr>
            <w:tcW w:w="2212" w:type="dxa"/>
            <w:tcMar>
              <w:top w:w="16" w:type="dxa"/>
              <w:left w:w="16" w:type="dxa"/>
              <w:right w:w="16" w:type="dxa"/>
            </w:tcMar>
            <w:vAlign w:val="center"/>
          </w:tcPr>
          <w:p w14:paraId="0796CA47">
            <w:pPr>
              <w:adjustRightInd w:val="0"/>
              <w:snapToGrid w:val="0"/>
              <w:jc w:val="center"/>
              <w:rPr>
                <w:color w:val="auto"/>
                <w:szCs w:val="21"/>
              </w:rPr>
            </w:pPr>
            <w:r>
              <w:rPr>
                <w:rFonts w:hAnsi="宋体"/>
                <w:color w:val="auto"/>
                <w:szCs w:val="21"/>
              </w:rPr>
              <w:t>施工工期</w:t>
            </w:r>
          </w:p>
        </w:tc>
        <w:tc>
          <w:tcPr>
            <w:tcW w:w="2639" w:type="dxa"/>
            <w:vAlign w:val="center"/>
          </w:tcPr>
          <w:p w14:paraId="2CF5D1D3">
            <w:pPr>
              <w:adjustRightInd w:val="0"/>
              <w:snapToGrid w:val="0"/>
              <w:jc w:val="center"/>
              <w:rPr>
                <w:color w:val="auto"/>
                <w:szCs w:val="21"/>
              </w:rPr>
            </w:pPr>
            <w:r>
              <w:rPr>
                <w:rFonts w:hint="eastAsia"/>
                <w:color w:val="auto"/>
                <w:szCs w:val="21"/>
              </w:rPr>
              <w:t>1</w:t>
            </w:r>
            <w:r>
              <w:rPr>
                <w:rFonts w:hint="eastAsia"/>
                <w:color w:val="auto"/>
                <w:szCs w:val="21"/>
                <w:lang w:val="en-US" w:eastAsia="zh-CN"/>
              </w:rPr>
              <w:t>2</w:t>
            </w:r>
            <w:r>
              <w:rPr>
                <w:rFonts w:hint="eastAsia"/>
                <w:color w:val="auto"/>
                <w:szCs w:val="21"/>
              </w:rPr>
              <w:t>个月</w:t>
            </w:r>
          </w:p>
        </w:tc>
      </w:tr>
      <w:tr w14:paraId="3A325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163239C">
            <w:pPr>
              <w:adjustRightInd w:val="0"/>
              <w:snapToGrid w:val="0"/>
              <w:jc w:val="center"/>
              <w:rPr>
                <w:color w:val="auto"/>
                <w:szCs w:val="21"/>
              </w:rPr>
            </w:pPr>
            <w:r>
              <w:rPr>
                <w:rFonts w:hAnsi="宋体"/>
                <w:color w:val="auto"/>
                <w:szCs w:val="21"/>
              </w:rPr>
              <w:t>是否开工建设</w:t>
            </w:r>
          </w:p>
        </w:tc>
        <w:tc>
          <w:tcPr>
            <w:tcW w:w="1637" w:type="dxa"/>
            <w:vAlign w:val="center"/>
          </w:tcPr>
          <w:p w14:paraId="0808C085">
            <w:pPr>
              <w:adjustRightInd w:val="0"/>
              <w:snapToGrid w:val="0"/>
              <w:rPr>
                <w:color w:val="auto"/>
                <w:szCs w:val="21"/>
              </w:rPr>
            </w:pPr>
            <w:r>
              <w:rPr>
                <w:rFonts w:hint="eastAsia"/>
                <w:color w:val="auto"/>
                <w:szCs w:val="21"/>
              </w:rPr>
              <w:t>√</w:t>
            </w:r>
            <w:r>
              <w:rPr>
                <w:rFonts w:hAnsi="宋体"/>
                <w:color w:val="auto"/>
                <w:szCs w:val="21"/>
              </w:rPr>
              <w:t>否</w:t>
            </w:r>
          </w:p>
          <w:p w14:paraId="3497F48C">
            <w:pPr>
              <w:adjustRightInd w:val="0"/>
              <w:snapToGrid w:val="0"/>
              <w:rPr>
                <w:color w:val="auto"/>
                <w:szCs w:val="21"/>
              </w:rPr>
            </w:pPr>
            <w:r>
              <w:rPr>
                <w:color w:val="auto"/>
                <w:szCs w:val="21"/>
              </w:rPr>
              <w:sym w:font="Wingdings 2" w:char="00A3"/>
            </w:r>
            <w:r>
              <w:rPr>
                <w:rFonts w:hAnsi="宋体"/>
                <w:color w:val="auto"/>
                <w:szCs w:val="21"/>
              </w:rPr>
              <w:t>是：</w:t>
            </w:r>
            <w:r>
              <w:rPr>
                <w:color w:val="auto"/>
                <w:szCs w:val="21"/>
                <w:u w:val="single"/>
              </w:rPr>
              <w:t xml:space="preserve">             </w:t>
            </w:r>
          </w:p>
        </w:tc>
        <w:tc>
          <w:tcPr>
            <w:tcW w:w="2212" w:type="dxa"/>
            <w:tcMar>
              <w:top w:w="16" w:type="dxa"/>
              <w:left w:w="16" w:type="dxa"/>
              <w:right w:w="16" w:type="dxa"/>
            </w:tcMar>
            <w:vAlign w:val="center"/>
          </w:tcPr>
          <w:p w14:paraId="1B1BE8CC">
            <w:pPr>
              <w:adjustRightInd w:val="0"/>
              <w:snapToGrid w:val="0"/>
              <w:jc w:val="center"/>
              <w:rPr>
                <w:color w:val="auto"/>
                <w:spacing w:val="-6"/>
                <w:szCs w:val="21"/>
              </w:rPr>
            </w:pPr>
            <w:r>
              <w:rPr>
                <w:rFonts w:hAnsi="宋体"/>
                <w:color w:val="auto"/>
                <w:spacing w:val="-6"/>
                <w:szCs w:val="21"/>
              </w:rPr>
              <w:t>用地（用海）</w:t>
            </w:r>
          </w:p>
          <w:p w14:paraId="38A3BEE7">
            <w:pPr>
              <w:adjustRightInd w:val="0"/>
              <w:snapToGrid w:val="0"/>
              <w:jc w:val="center"/>
              <w:rPr>
                <w:color w:val="auto"/>
                <w:szCs w:val="21"/>
              </w:rPr>
            </w:pPr>
            <w:r>
              <w:rPr>
                <w:rFonts w:hAnsi="宋体"/>
                <w:color w:val="auto"/>
                <w:spacing w:val="-6"/>
                <w:szCs w:val="21"/>
              </w:rPr>
              <w:t>面积（</w:t>
            </w:r>
            <w:r>
              <w:rPr>
                <w:color w:val="auto"/>
                <w:spacing w:val="-6"/>
                <w:szCs w:val="21"/>
              </w:rPr>
              <w:t>m</w:t>
            </w:r>
            <w:r>
              <w:rPr>
                <w:color w:val="auto"/>
                <w:spacing w:val="-6"/>
                <w:szCs w:val="21"/>
                <w:vertAlign w:val="superscript"/>
              </w:rPr>
              <w:t>2</w:t>
            </w:r>
            <w:r>
              <w:rPr>
                <w:rFonts w:hAnsi="宋体"/>
                <w:color w:val="auto"/>
                <w:spacing w:val="-6"/>
                <w:szCs w:val="21"/>
              </w:rPr>
              <w:t>）</w:t>
            </w:r>
          </w:p>
        </w:tc>
        <w:tc>
          <w:tcPr>
            <w:tcW w:w="2639" w:type="dxa"/>
            <w:vAlign w:val="center"/>
          </w:tcPr>
          <w:p w14:paraId="7E31B25B">
            <w:pPr>
              <w:adjustRightInd w:val="0"/>
              <w:snapToGrid w:val="0"/>
              <w:jc w:val="center"/>
              <w:rPr>
                <w:rFonts w:hint="default" w:eastAsia="宋体"/>
                <w:color w:val="auto"/>
                <w:szCs w:val="21"/>
                <w:lang w:val="en-US" w:eastAsia="zh-CN"/>
              </w:rPr>
            </w:pPr>
            <w:r>
              <w:rPr>
                <w:rFonts w:hint="eastAsia"/>
                <w:color w:val="auto"/>
                <w:szCs w:val="21"/>
                <w:lang w:val="en-US" w:eastAsia="zh-CN"/>
              </w:rPr>
              <w:t>51174</w:t>
            </w:r>
          </w:p>
        </w:tc>
      </w:tr>
      <w:tr w14:paraId="1EFAC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2382" w:type="dxa"/>
            <w:vAlign w:val="center"/>
          </w:tcPr>
          <w:p w14:paraId="3B22635E">
            <w:pPr>
              <w:autoSpaceDE w:val="0"/>
              <w:autoSpaceDN w:val="0"/>
              <w:adjustRightInd w:val="0"/>
              <w:snapToGrid w:val="0"/>
              <w:jc w:val="center"/>
              <w:rPr>
                <w:color w:val="auto"/>
                <w:kern w:val="0"/>
                <w:szCs w:val="21"/>
              </w:rPr>
            </w:pPr>
            <w:r>
              <w:rPr>
                <w:rFonts w:hAnsi="宋体"/>
                <w:color w:val="auto"/>
                <w:kern w:val="0"/>
                <w:szCs w:val="21"/>
              </w:rPr>
              <w:t>专项评价设置情况</w:t>
            </w:r>
          </w:p>
        </w:tc>
        <w:tc>
          <w:tcPr>
            <w:tcW w:w="6488" w:type="dxa"/>
            <w:gridSpan w:val="3"/>
            <w:vAlign w:val="center"/>
          </w:tcPr>
          <w:p w14:paraId="7EC02A97">
            <w:pPr>
              <w:autoSpaceDE w:val="0"/>
              <w:autoSpaceDN w:val="0"/>
              <w:adjustRightInd w:val="0"/>
              <w:snapToGrid w:val="0"/>
              <w:jc w:val="center"/>
              <w:rPr>
                <w:color w:val="auto"/>
                <w:kern w:val="0"/>
                <w:szCs w:val="21"/>
              </w:rPr>
            </w:pPr>
            <w:r>
              <w:rPr>
                <w:color w:val="auto"/>
                <w:kern w:val="0"/>
                <w:szCs w:val="21"/>
              </w:rPr>
              <w:t>无</w:t>
            </w:r>
            <w:r>
              <w:rPr>
                <w:rFonts w:hint="eastAsia"/>
                <w:color w:val="auto"/>
                <w:kern w:val="0"/>
                <w:szCs w:val="21"/>
              </w:rPr>
              <w:t>。</w:t>
            </w:r>
          </w:p>
        </w:tc>
      </w:tr>
      <w:tr w14:paraId="7F33E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054DC046">
            <w:pPr>
              <w:autoSpaceDE w:val="0"/>
              <w:autoSpaceDN w:val="0"/>
              <w:adjustRightInd w:val="0"/>
              <w:snapToGrid w:val="0"/>
              <w:jc w:val="center"/>
              <w:rPr>
                <w:color w:val="auto"/>
                <w:kern w:val="0"/>
                <w:szCs w:val="21"/>
              </w:rPr>
            </w:pPr>
            <w:r>
              <w:rPr>
                <w:rFonts w:hAnsi="宋体"/>
                <w:color w:val="auto"/>
                <w:szCs w:val="21"/>
              </w:rPr>
              <w:t>规划情况</w:t>
            </w:r>
          </w:p>
        </w:tc>
        <w:tc>
          <w:tcPr>
            <w:tcW w:w="6488" w:type="dxa"/>
            <w:gridSpan w:val="3"/>
            <w:vAlign w:val="center"/>
          </w:tcPr>
          <w:p w14:paraId="299D4A57">
            <w:pPr>
              <w:autoSpaceDE w:val="0"/>
              <w:autoSpaceDN w:val="0"/>
              <w:adjustRightInd w:val="0"/>
              <w:snapToGrid w:val="0"/>
              <w:spacing w:line="360" w:lineRule="auto"/>
              <w:ind w:firstLine="420" w:firstLineChars="200"/>
              <w:jc w:val="left"/>
              <w:rPr>
                <w:kern w:val="0"/>
                <w:szCs w:val="21"/>
              </w:rPr>
            </w:pPr>
            <w:r>
              <w:rPr>
                <w:kern w:val="0"/>
                <w:szCs w:val="21"/>
              </w:rPr>
              <w:t>规划名称：《大同经济技术开发区起步区控制性详细规划</w:t>
            </w:r>
            <w:r>
              <w:rPr>
                <w:rFonts w:hint="eastAsia"/>
                <w:kern w:val="0"/>
                <w:szCs w:val="21"/>
              </w:rPr>
              <w:t>（</w:t>
            </w:r>
            <w:r>
              <w:rPr>
                <w:kern w:val="0"/>
                <w:szCs w:val="21"/>
              </w:rPr>
              <w:t>装备制造业基地</w:t>
            </w:r>
            <w:r>
              <w:rPr>
                <w:rFonts w:hint="eastAsia"/>
                <w:kern w:val="0"/>
                <w:szCs w:val="21"/>
              </w:rPr>
              <w:t>）（</w:t>
            </w:r>
            <w:r>
              <w:rPr>
                <w:kern w:val="0"/>
                <w:szCs w:val="21"/>
              </w:rPr>
              <w:t>2021-2035年</w:t>
            </w:r>
            <w:r>
              <w:rPr>
                <w:rFonts w:hint="eastAsia"/>
                <w:kern w:val="0"/>
                <w:szCs w:val="21"/>
              </w:rPr>
              <w:t>）</w:t>
            </w:r>
            <w:r>
              <w:rPr>
                <w:kern w:val="0"/>
                <w:szCs w:val="21"/>
              </w:rPr>
              <w:t>》</w:t>
            </w:r>
          </w:p>
          <w:p w14:paraId="139292DF">
            <w:pPr>
              <w:autoSpaceDE w:val="0"/>
              <w:autoSpaceDN w:val="0"/>
              <w:adjustRightInd w:val="0"/>
              <w:snapToGrid w:val="0"/>
              <w:spacing w:line="360" w:lineRule="auto"/>
              <w:ind w:firstLine="420" w:firstLineChars="200"/>
              <w:jc w:val="left"/>
              <w:rPr>
                <w:kern w:val="0"/>
                <w:szCs w:val="21"/>
              </w:rPr>
            </w:pPr>
            <w:r>
              <w:rPr>
                <w:kern w:val="0"/>
                <w:szCs w:val="21"/>
              </w:rPr>
              <w:t>审批机构：大同经济开发区管委会</w:t>
            </w:r>
          </w:p>
          <w:p w14:paraId="35FE946E">
            <w:pPr>
              <w:autoSpaceDE w:val="0"/>
              <w:autoSpaceDN w:val="0"/>
              <w:adjustRightInd w:val="0"/>
              <w:snapToGrid w:val="0"/>
              <w:spacing w:line="360" w:lineRule="auto"/>
              <w:ind w:firstLine="420" w:firstLineChars="200"/>
              <w:rPr>
                <w:color w:val="auto"/>
                <w:szCs w:val="21"/>
              </w:rPr>
            </w:pPr>
            <w:r>
              <w:rPr>
                <w:kern w:val="0"/>
                <w:szCs w:val="21"/>
              </w:rPr>
              <w:t>审批文号：同开管发〔2022〕12号</w:t>
            </w:r>
          </w:p>
        </w:tc>
      </w:tr>
      <w:tr w14:paraId="50057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82" w:type="dxa"/>
            <w:vAlign w:val="center"/>
          </w:tcPr>
          <w:p w14:paraId="763DC75E">
            <w:pPr>
              <w:adjustRightInd w:val="0"/>
              <w:snapToGrid w:val="0"/>
              <w:jc w:val="center"/>
              <w:rPr>
                <w:color w:val="auto"/>
                <w:szCs w:val="21"/>
              </w:rPr>
            </w:pPr>
            <w:r>
              <w:rPr>
                <w:rFonts w:hAnsi="宋体"/>
                <w:color w:val="auto"/>
                <w:szCs w:val="21"/>
              </w:rPr>
              <w:t>规划环境影响</w:t>
            </w:r>
          </w:p>
          <w:p w14:paraId="5EE29118">
            <w:pPr>
              <w:adjustRightInd w:val="0"/>
              <w:snapToGrid w:val="0"/>
              <w:jc w:val="center"/>
              <w:rPr>
                <w:color w:val="auto"/>
                <w:kern w:val="0"/>
                <w:szCs w:val="21"/>
              </w:rPr>
            </w:pPr>
            <w:r>
              <w:rPr>
                <w:rFonts w:hAnsi="宋体"/>
                <w:color w:val="auto"/>
                <w:szCs w:val="21"/>
              </w:rPr>
              <w:t>评价情况</w:t>
            </w:r>
          </w:p>
        </w:tc>
        <w:tc>
          <w:tcPr>
            <w:tcW w:w="6488" w:type="dxa"/>
            <w:gridSpan w:val="3"/>
            <w:vAlign w:val="center"/>
          </w:tcPr>
          <w:p w14:paraId="579F44F0">
            <w:pPr>
              <w:autoSpaceDE w:val="0"/>
              <w:autoSpaceDN w:val="0"/>
              <w:adjustRightInd w:val="0"/>
              <w:snapToGrid w:val="0"/>
              <w:spacing w:line="360" w:lineRule="auto"/>
              <w:ind w:firstLine="420" w:firstLineChars="200"/>
              <w:jc w:val="left"/>
              <w:rPr>
                <w:kern w:val="0"/>
                <w:szCs w:val="21"/>
              </w:rPr>
            </w:pPr>
            <w:r>
              <w:rPr>
                <w:kern w:val="0"/>
                <w:szCs w:val="21"/>
              </w:rPr>
              <w:t>规划环评名称：《大同经济技术开发区起步区控制性详细规划</w:t>
            </w:r>
            <w:r>
              <w:rPr>
                <w:rFonts w:hint="eastAsia"/>
                <w:kern w:val="0"/>
                <w:szCs w:val="21"/>
              </w:rPr>
              <w:t>（</w:t>
            </w:r>
            <w:r>
              <w:rPr>
                <w:kern w:val="0"/>
                <w:szCs w:val="21"/>
              </w:rPr>
              <w:t>装备制造业基地</w:t>
            </w:r>
            <w:r>
              <w:rPr>
                <w:rFonts w:hint="eastAsia"/>
                <w:kern w:val="0"/>
                <w:szCs w:val="21"/>
              </w:rPr>
              <w:t>）（</w:t>
            </w:r>
            <w:r>
              <w:rPr>
                <w:kern w:val="0"/>
                <w:szCs w:val="21"/>
              </w:rPr>
              <w:t>2021-2035年</w:t>
            </w:r>
            <w:r>
              <w:rPr>
                <w:rFonts w:hint="eastAsia"/>
                <w:kern w:val="0"/>
                <w:szCs w:val="21"/>
              </w:rPr>
              <w:t>）</w:t>
            </w:r>
            <w:r>
              <w:rPr>
                <w:kern w:val="0"/>
                <w:szCs w:val="21"/>
              </w:rPr>
              <w:t>环境影响报告书》</w:t>
            </w:r>
          </w:p>
          <w:p w14:paraId="1D5FEA20">
            <w:pPr>
              <w:autoSpaceDE w:val="0"/>
              <w:autoSpaceDN w:val="0"/>
              <w:adjustRightInd w:val="0"/>
              <w:snapToGrid w:val="0"/>
              <w:spacing w:line="360" w:lineRule="auto"/>
              <w:ind w:firstLine="420" w:firstLineChars="200"/>
              <w:jc w:val="left"/>
              <w:rPr>
                <w:kern w:val="0"/>
                <w:szCs w:val="21"/>
              </w:rPr>
            </w:pPr>
            <w:r>
              <w:rPr>
                <w:rFonts w:hint="eastAsia"/>
                <w:kern w:val="0"/>
                <w:szCs w:val="21"/>
              </w:rPr>
              <w:t>编制单位：北京中气京诚环境科技有限公司</w:t>
            </w:r>
          </w:p>
          <w:p w14:paraId="22B571FA">
            <w:pPr>
              <w:autoSpaceDE w:val="0"/>
              <w:autoSpaceDN w:val="0"/>
              <w:adjustRightInd w:val="0"/>
              <w:snapToGrid w:val="0"/>
              <w:spacing w:line="360" w:lineRule="auto"/>
              <w:ind w:firstLine="420" w:firstLineChars="200"/>
              <w:jc w:val="left"/>
              <w:rPr>
                <w:kern w:val="0"/>
                <w:szCs w:val="21"/>
              </w:rPr>
            </w:pPr>
            <w:r>
              <w:rPr>
                <w:kern w:val="0"/>
                <w:szCs w:val="21"/>
              </w:rPr>
              <w:t>审批机构：大同市生态环境局</w:t>
            </w:r>
          </w:p>
          <w:p w14:paraId="1B60712F">
            <w:pPr>
              <w:autoSpaceDE w:val="0"/>
              <w:autoSpaceDN w:val="0"/>
              <w:adjustRightInd w:val="0"/>
              <w:snapToGrid w:val="0"/>
              <w:spacing w:line="360" w:lineRule="auto"/>
              <w:ind w:firstLine="420" w:firstLineChars="200"/>
              <w:rPr>
                <w:color w:val="auto"/>
                <w:kern w:val="0"/>
                <w:szCs w:val="21"/>
              </w:rPr>
            </w:pPr>
            <w:r>
              <w:rPr>
                <w:kern w:val="0"/>
                <w:szCs w:val="21"/>
              </w:rPr>
              <w:t>审批文号：同环函〔2022〕304号</w:t>
            </w:r>
          </w:p>
        </w:tc>
      </w:tr>
      <w:tr w14:paraId="776902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16572F4D">
            <w:pPr>
              <w:autoSpaceDE w:val="0"/>
              <w:autoSpaceDN w:val="0"/>
              <w:adjustRightInd w:val="0"/>
              <w:snapToGrid w:val="0"/>
              <w:jc w:val="center"/>
              <w:rPr>
                <w:color w:val="auto"/>
                <w:kern w:val="0"/>
                <w:szCs w:val="21"/>
              </w:rPr>
            </w:pPr>
            <w:r>
              <w:rPr>
                <w:rFonts w:hAnsi="宋体"/>
                <w:color w:val="auto"/>
                <w:kern w:val="0"/>
                <w:szCs w:val="21"/>
              </w:rPr>
              <w:t>规划及规划环境</w:t>
            </w:r>
          </w:p>
          <w:p w14:paraId="446D82C8">
            <w:pPr>
              <w:autoSpaceDE w:val="0"/>
              <w:autoSpaceDN w:val="0"/>
              <w:adjustRightInd w:val="0"/>
              <w:snapToGrid w:val="0"/>
              <w:jc w:val="center"/>
              <w:rPr>
                <w:color w:val="auto"/>
                <w:kern w:val="0"/>
                <w:szCs w:val="21"/>
              </w:rPr>
            </w:pPr>
            <w:r>
              <w:rPr>
                <w:rFonts w:hAnsi="宋体"/>
                <w:color w:val="auto"/>
                <w:kern w:val="0"/>
                <w:szCs w:val="21"/>
              </w:rPr>
              <w:t>影响评价符合性分析</w:t>
            </w:r>
          </w:p>
        </w:tc>
        <w:tc>
          <w:tcPr>
            <w:tcW w:w="6488" w:type="dxa"/>
            <w:gridSpan w:val="3"/>
            <w:vAlign w:val="center"/>
          </w:tcPr>
          <w:p w14:paraId="0B8FBCDF">
            <w:pPr>
              <w:numPr>
                <w:ilvl w:val="0"/>
                <w:numId w:val="1"/>
              </w:numPr>
              <w:spacing w:line="360" w:lineRule="auto"/>
              <w:ind w:firstLine="422" w:firstLineChars="200"/>
              <w:rPr>
                <w:b/>
                <w:bCs/>
                <w:szCs w:val="21"/>
              </w:rPr>
            </w:pPr>
            <w:r>
              <w:rPr>
                <w:b/>
                <w:bCs/>
                <w:szCs w:val="21"/>
              </w:rPr>
              <w:t>本项目与《大同经济技术开发区起步区控制性详细规划(装备制造业基地)(2021-2035年)》相符性分析</w:t>
            </w:r>
          </w:p>
          <w:p w14:paraId="25CD9EF1">
            <w:pPr>
              <w:numPr>
                <w:ilvl w:val="0"/>
                <w:numId w:val="2"/>
              </w:numPr>
              <w:spacing w:line="360" w:lineRule="auto"/>
              <w:ind w:firstLine="422" w:firstLineChars="200"/>
              <w:rPr>
                <w:szCs w:val="21"/>
              </w:rPr>
            </w:pPr>
            <w:r>
              <w:rPr>
                <w:b/>
                <w:bCs/>
                <w:szCs w:val="21"/>
              </w:rPr>
              <w:t>规划范围：</w:t>
            </w:r>
            <w:r>
              <w:rPr>
                <w:szCs w:val="21"/>
              </w:rPr>
              <w:t>大同经济技术开发区起步区控制性详细规划</w:t>
            </w:r>
            <w:r>
              <w:rPr>
                <w:rFonts w:hint="eastAsia"/>
                <w:szCs w:val="21"/>
              </w:rPr>
              <w:t>（</w:t>
            </w:r>
            <w:r>
              <w:rPr>
                <w:szCs w:val="21"/>
              </w:rPr>
              <w:t>装备制造业基地</w:t>
            </w:r>
            <w:r>
              <w:rPr>
                <w:rFonts w:hint="eastAsia"/>
                <w:szCs w:val="21"/>
              </w:rPr>
              <w:t>）</w:t>
            </w:r>
            <w:r>
              <w:rPr>
                <w:szCs w:val="21"/>
              </w:rPr>
              <w:t>规划范围西至大准铁路以东和208国道；东至规划园和路；南至园华路；北至氢都北外街。规划总面积为19.05</w:t>
            </w:r>
            <w:r>
              <w:rPr>
                <w:rFonts w:hint="eastAsia"/>
                <w:szCs w:val="21"/>
              </w:rPr>
              <w:t>k</w:t>
            </w:r>
            <w:r>
              <w:rPr>
                <w:szCs w:val="21"/>
              </w:rPr>
              <w:t>m²。</w:t>
            </w:r>
          </w:p>
          <w:p w14:paraId="2D39DF33">
            <w:pPr>
              <w:spacing w:line="360" w:lineRule="auto"/>
              <w:ind w:firstLine="420" w:firstLineChars="200"/>
              <w:rPr>
                <w:szCs w:val="21"/>
              </w:rPr>
            </w:pPr>
            <w:r>
              <w:rPr>
                <w:szCs w:val="21"/>
              </w:rPr>
              <w:t>装备制造业基地规划范围划入“三区三线”的范围为15.39km²，未划入“三区三线”的范围为3.66km²。基地发展不能突破正在编制的《大同市国土空间总体规划(2021-2035)》中规定的范围，因此本基地将划入“三区三线”范围的15.39km²可开发面积进行重点评价，未划入“三区三线”范围的3.66km²的面积保持现状。</w:t>
            </w:r>
          </w:p>
          <w:p w14:paraId="5DAA37EC">
            <w:pPr>
              <w:spacing w:line="360" w:lineRule="auto"/>
              <w:ind w:firstLine="420" w:firstLineChars="200"/>
              <w:rPr>
                <w:szCs w:val="21"/>
              </w:rPr>
            </w:pPr>
            <w:r>
              <w:rPr>
                <w:szCs w:val="21"/>
              </w:rPr>
              <w:t>本项目位于大同市经济开发区起步区装备制造业基地，在基地“三区三线”的范围内。</w:t>
            </w:r>
          </w:p>
          <w:p w14:paraId="47C2117C">
            <w:pPr>
              <w:spacing w:line="360" w:lineRule="auto"/>
              <w:ind w:firstLine="422" w:firstLineChars="200"/>
              <w:rPr>
                <w:szCs w:val="21"/>
              </w:rPr>
            </w:pPr>
            <w:r>
              <w:rPr>
                <w:b/>
                <w:bCs/>
                <w:szCs w:val="21"/>
              </w:rPr>
              <w:t>二、规划时限：</w:t>
            </w:r>
            <w:r>
              <w:rPr>
                <w:szCs w:val="21"/>
              </w:rPr>
              <w:t>规划时限为2021-2035年，近期为2021-2025年，远期为2026-2035年。</w:t>
            </w:r>
          </w:p>
          <w:p w14:paraId="122B09E1">
            <w:pPr>
              <w:spacing w:line="360" w:lineRule="auto"/>
              <w:ind w:firstLine="422" w:firstLineChars="200"/>
              <w:rPr>
                <w:b/>
                <w:bCs/>
                <w:szCs w:val="21"/>
              </w:rPr>
            </w:pPr>
            <w:r>
              <w:rPr>
                <w:b/>
                <w:bCs/>
                <w:szCs w:val="21"/>
              </w:rPr>
              <w:t>三、空间布局方案：</w:t>
            </w:r>
          </w:p>
          <w:p w14:paraId="0ABE2B87">
            <w:pPr>
              <w:spacing w:line="360" w:lineRule="auto"/>
              <w:ind w:firstLine="422" w:firstLineChars="200"/>
              <w:rPr>
                <w:b/>
                <w:bCs/>
                <w:szCs w:val="21"/>
              </w:rPr>
            </w:pPr>
            <w:bookmarkStart w:id="1" w:name="_Hlk8390215"/>
            <w:r>
              <w:rPr>
                <w:b/>
                <w:bCs/>
                <w:szCs w:val="21"/>
              </w:rPr>
              <w:t>（1）空间结构：</w:t>
            </w:r>
          </w:p>
          <w:p w14:paraId="134B6850">
            <w:pPr>
              <w:spacing w:line="360" w:lineRule="auto"/>
              <w:ind w:firstLine="420" w:firstLineChars="200"/>
              <w:rPr>
                <w:szCs w:val="21"/>
              </w:rPr>
            </w:pPr>
            <w:r>
              <w:rPr>
                <w:szCs w:val="21"/>
              </w:rPr>
              <w:t>形成“一轴两带、一核三点四片”的功能结构。</w:t>
            </w:r>
          </w:p>
          <w:p w14:paraId="4947D3FC">
            <w:pPr>
              <w:spacing w:line="360" w:lineRule="auto"/>
              <w:ind w:firstLine="420" w:firstLineChars="200"/>
              <w:rPr>
                <w:szCs w:val="21"/>
              </w:rPr>
            </w:pPr>
            <w:r>
              <w:rPr>
                <w:szCs w:val="21"/>
              </w:rPr>
              <w:t>一轴：即产城融合发展轴，是中心城区北部公共服务带的延伸，串联了装备制造业基地主要功能区。</w:t>
            </w:r>
          </w:p>
          <w:p w14:paraId="5DAB77A2">
            <w:pPr>
              <w:spacing w:line="360" w:lineRule="auto"/>
              <w:ind w:firstLine="420" w:firstLineChars="200"/>
              <w:rPr>
                <w:szCs w:val="21"/>
              </w:rPr>
            </w:pPr>
            <w:r>
              <w:rPr>
                <w:szCs w:val="21"/>
              </w:rPr>
              <w:t>两带：即两条南北向贯穿园区的滨水生态休闲带，为装备制造业基地提供优良的生态保障和开敞空间。</w:t>
            </w:r>
          </w:p>
          <w:p w14:paraId="03DEC072">
            <w:pPr>
              <w:spacing w:line="360" w:lineRule="auto"/>
              <w:ind w:firstLine="420" w:firstLineChars="200"/>
              <w:rPr>
                <w:szCs w:val="21"/>
              </w:rPr>
            </w:pPr>
            <w:r>
              <w:rPr>
                <w:szCs w:val="21"/>
              </w:rPr>
              <w:t>一核：新能源科创金融服务核，是整个装备制造业基地的商务、办公、研发、交流的核心区域，以高端化、智能化、绿色化为主要发展方向。</w:t>
            </w:r>
          </w:p>
          <w:p w14:paraId="46E43111">
            <w:pPr>
              <w:spacing w:line="360" w:lineRule="auto"/>
              <w:ind w:firstLine="420" w:firstLineChars="200"/>
              <w:rPr>
                <w:szCs w:val="21"/>
              </w:rPr>
            </w:pPr>
            <w:r>
              <w:rPr>
                <w:szCs w:val="21"/>
              </w:rPr>
              <w:t>三点：三个组团管理与服务节点，为各产业组团提供相应的综合管理、商贸展示、科研孵化等功能。</w:t>
            </w:r>
          </w:p>
          <w:p w14:paraId="27F0647E">
            <w:pPr>
              <w:spacing w:line="360" w:lineRule="auto"/>
              <w:ind w:firstLine="420" w:firstLineChars="200"/>
              <w:rPr>
                <w:szCs w:val="21"/>
              </w:rPr>
            </w:pPr>
            <w:r>
              <w:rPr>
                <w:szCs w:val="21"/>
              </w:rPr>
              <w:t>四片：即陆港自由贸易片区、新能源产业城片区、高端制造产业片区、绿色农业发展示范片区。四大片区内部根据实际功能划分为规模不等的小功能区。</w:t>
            </w:r>
          </w:p>
          <w:p w14:paraId="7B8E9294">
            <w:pPr>
              <w:spacing w:line="360" w:lineRule="auto"/>
              <w:ind w:firstLine="420" w:firstLineChars="200"/>
              <w:rPr>
                <w:szCs w:val="21"/>
              </w:rPr>
            </w:pPr>
            <w:r>
              <w:rPr>
                <w:szCs w:val="21"/>
              </w:rPr>
              <w:t>本项目位置所处的功能结构为“四片”中的新能源产业城片区。新能源产业城片区位于208国道以东，面积为8.28km</w:t>
            </w:r>
            <w:r>
              <w:rPr>
                <w:szCs w:val="21"/>
                <w:vertAlign w:val="superscript"/>
              </w:rPr>
              <w:t>2</w:t>
            </w:r>
            <w:r>
              <w:rPr>
                <w:szCs w:val="21"/>
              </w:rPr>
              <w:t>。</w:t>
            </w:r>
          </w:p>
          <w:bookmarkEnd w:id="1"/>
          <w:p w14:paraId="23415F16">
            <w:pPr>
              <w:spacing w:line="360" w:lineRule="auto"/>
              <w:ind w:firstLine="422" w:firstLineChars="200"/>
              <w:rPr>
                <w:b/>
                <w:bCs/>
                <w:szCs w:val="21"/>
              </w:rPr>
            </w:pPr>
            <w:r>
              <w:rPr>
                <w:b/>
                <w:bCs/>
                <w:szCs w:val="21"/>
              </w:rPr>
              <w:t>（2）用地布局</w:t>
            </w:r>
          </w:p>
          <w:p w14:paraId="395F848D">
            <w:pPr>
              <w:spacing w:line="360" w:lineRule="auto"/>
              <w:ind w:firstLine="420" w:firstLineChars="200"/>
              <w:rPr>
                <w:szCs w:val="21"/>
              </w:rPr>
            </w:pPr>
            <w:bookmarkStart w:id="2" w:name="_Toc7339818"/>
            <w:r>
              <w:rPr>
                <w:szCs w:val="21"/>
              </w:rPr>
              <w:t>居住用地</w:t>
            </w:r>
            <w:bookmarkEnd w:id="2"/>
            <w:r>
              <w:rPr>
                <w:szCs w:val="21"/>
              </w:rPr>
              <w:t>：规划居住用地总面积41.56公顷，占城镇工业用地面积的2.83%，形成自贸区居住组团。</w:t>
            </w:r>
            <w:bookmarkStart w:id="3" w:name="_Toc7339819"/>
          </w:p>
          <w:p w14:paraId="53FE3E95">
            <w:pPr>
              <w:spacing w:line="360" w:lineRule="auto"/>
              <w:ind w:firstLine="420" w:firstLineChars="200"/>
              <w:rPr>
                <w:szCs w:val="21"/>
              </w:rPr>
            </w:pPr>
            <w:r>
              <w:rPr>
                <w:szCs w:val="21"/>
              </w:rPr>
              <w:t>公共管理与公共服务用地</w:t>
            </w:r>
            <w:bookmarkEnd w:id="3"/>
            <w:r>
              <w:rPr>
                <w:szCs w:val="21"/>
              </w:rPr>
              <w:t>：规划机关团体用地面积为3.20公顷，占城镇工业用地的比例为0.22%</w:t>
            </w:r>
            <w:bookmarkStart w:id="4" w:name="_Hlk7201440"/>
            <w:r>
              <w:rPr>
                <w:szCs w:val="21"/>
              </w:rPr>
              <w:t>；规划文化用地的面积为1.01公顷，占城镇工业用地的比例为0.07%；规划教育用地面积为6.04公顷，占城镇工业用地的比例为0.41%；规划体育用地面积为0.47公顷，占城镇工业用地的比例为0.03%；规划医疗卫生用地面积为1.07公顷，占城镇工业用地的比例为0.07%；规划社会福利用地面积为0.56公顷，占城镇工业用地的比例为0.04%。</w:t>
            </w:r>
            <w:bookmarkEnd w:id="4"/>
          </w:p>
          <w:p w14:paraId="013CD00B">
            <w:pPr>
              <w:spacing w:line="360" w:lineRule="auto"/>
              <w:ind w:firstLine="420" w:firstLineChars="200"/>
              <w:rPr>
                <w:szCs w:val="21"/>
              </w:rPr>
            </w:pPr>
            <w:bookmarkStart w:id="5" w:name="_Toc7339820"/>
            <w:r>
              <w:rPr>
                <w:szCs w:val="21"/>
              </w:rPr>
              <w:t>商业服务业用地</w:t>
            </w:r>
            <w:bookmarkEnd w:id="5"/>
            <w:r>
              <w:rPr>
                <w:szCs w:val="21"/>
              </w:rPr>
              <w:t>：规划设置四处商业服务中心，分别位于陆港自由贸易片区两处、新能源产业城片区、高端制造产业片区。规划商业服务业用地的面积为32.6公顷，占城镇工业用地的比例为2.22%，包含商业用地、商务金融用地。其中商业用地共11.54公顷，占城镇工业用地的比例为0.79%，商务金融用地共20.07公顷，占城镇工业用地的比例为1.37%。</w:t>
            </w:r>
          </w:p>
          <w:p w14:paraId="152FD3DB">
            <w:pPr>
              <w:spacing w:line="360" w:lineRule="auto"/>
              <w:ind w:firstLine="420" w:firstLineChars="200"/>
              <w:rPr>
                <w:szCs w:val="21"/>
              </w:rPr>
            </w:pPr>
            <w:bookmarkStart w:id="6" w:name="_Toc7339821"/>
            <w:r>
              <w:rPr>
                <w:szCs w:val="21"/>
              </w:rPr>
              <w:t>工业用地</w:t>
            </w:r>
            <w:bookmarkEnd w:id="6"/>
            <w:r>
              <w:rPr>
                <w:szCs w:val="21"/>
              </w:rPr>
              <w:t>：规划工业用地面积为856.25公顷，占城镇工业用地的比例为58.3%。</w:t>
            </w:r>
          </w:p>
          <w:p w14:paraId="29BC2907">
            <w:pPr>
              <w:spacing w:line="360" w:lineRule="auto"/>
              <w:ind w:firstLine="420" w:firstLineChars="200"/>
              <w:rPr>
                <w:szCs w:val="21"/>
              </w:rPr>
            </w:pPr>
            <w:r>
              <w:rPr>
                <w:szCs w:val="21"/>
              </w:rPr>
              <w:t>仓储用地：规划物流仓储用地面积为59.40公顷，占城镇工业用地的比例为4.04%。</w:t>
            </w:r>
          </w:p>
          <w:p w14:paraId="1F6D3754">
            <w:pPr>
              <w:spacing w:line="360" w:lineRule="auto"/>
              <w:ind w:firstLine="420" w:firstLineChars="200"/>
              <w:rPr>
                <w:szCs w:val="21"/>
              </w:rPr>
            </w:pPr>
            <w:r>
              <w:rPr>
                <w:szCs w:val="21"/>
              </w:rPr>
              <w:t>绿地与开敞空间用地：规划绿地与广场用地面积为157.25公顷，占城镇工业用地的10.71%。其中包括公园绿地27.89公顷、防护绿地129.36公顷。另外规划范围内生态绿地面积为350.29公顷。</w:t>
            </w:r>
          </w:p>
          <w:p w14:paraId="79A4F5B9">
            <w:pPr>
              <w:spacing w:line="360" w:lineRule="auto"/>
              <w:ind w:firstLine="420" w:firstLineChars="200"/>
              <w:rPr>
                <w:szCs w:val="21"/>
              </w:rPr>
            </w:pPr>
            <w:r>
              <w:rPr>
                <w:szCs w:val="21"/>
              </w:rPr>
              <w:t>本项目用地布局为二类工业用地，见附图</w:t>
            </w:r>
            <w:r>
              <w:rPr>
                <w:rFonts w:hint="eastAsia"/>
                <w:szCs w:val="21"/>
                <w:lang w:val="en-US" w:eastAsia="zh-CN"/>
              </w:rPr>
              <w:t>5</w:t>
            </w:r>
            <w:r>
              <w:rPr>
                <w:szCs w:val="21"/>
              </w:rPr>
              <w:t>。根据《国有工业用地使用权出让合同》（见附件），本项目属于工业用地，符合规划。</w:t>
            </w:r>
          </w:p>
          <w:p w14:paraId="25748606">
            <w:pPr>
              <w:spacing w:line="360" w:lineRule="auto"/>
              <w:ind w:firstLine="422" w:firstLineChars="200"/>
              <w:rPr>
                <w:b/>
                <w:bCs/>
                <w:szCs w:val="21"/>
              </w:rPr>
            </w:pPr>
            <w:r>
              <w:rPr>
                <w:b/>
                <w:bCs/>
                <w:szCs w:val="21"/>
              </w:rPr>
              <w:t>（3）道路交通系统规划</w:t>
            </w:r>
          </w:p>
          <w:p w14:paraId="0E273FC0">
            <w:pPr>
              <w:spacing w:line="360" w:lineRule="auto"/>
              <w:ind w:firstLine="420" w:firstLineChars="200"/>
              <w:rPr>
                <w:szCs w:val="21"/>
              </w:rPr>
            </w:pPr>
            <w:r>
              <w:rPr>
                <w:szCs w:val="21"/>
              </w:rPr>
              <w:t>规划道路与交通设施用地总面积274.07公顷，占城镇工业用地面积比例为18.66%。</w:t>
            </w:r>
          </w:p>
          <w:p w14:paraId="2D2828C1">
            <w:pPr>
              <w:spacing w:line="360" w:lineRule="auto"/>
              <w:ind w:firstLine="420" w:firstLineChars="200"/>
              <w:rPr>
                <w:szCs w:val="21"/>
              </w:rPr>
            </w:pPr>
            <w:r>
              <w:rPr>
                <w:szCs w:val="21"/>
              </w:rPr>
              <w:t>快速路：设计氢都东路断面为70m，氢都北外街断面为50m，增强快速路通行和运输能力。</w:t>
            </w:r>
          </w:p>
          <w:p w14:paraId="20CA410F">
            <w:pPr>
              <w:spacing w:line="360" w:lineRule="auto"/>
              <w:ind w:firstLine="420" w:firstLineChars="200"/>
              <w:rPr>
                <w:szCs w:val="21"/>
              </w:rPr>
            </w:pPr>
            <w:r>
              <w:rPr>
                <w:szCs w:val="21"/>
              </w:rPr>
              <w:t>为加强装备制造业基地与中心城区、基地内部的交通联系，规划形成“五横六纵”的主干路网体系和“四横十一纵”次干路网体系，在此基础上，通过支路对规划道路骨架进行有效补充，保证开发区道路系统的安全和通畅。</w:t>
            </w:r>
          </w:p>
          <w:p w14:paraId="740BD6A9">
            <w:pPr>
              <w:spacing w:line="360" w:lineRule="auto"/>
              <w:ind w:firstLine="420" w:firstLineChars="200"/>
              <w:rPr>
                <w:szCs w:val="21"/>
              </w:rPr>
            </w:pPr>
            <w:r>
              <w:rPr>
                <w:szCs w:val="21"/>
              </w:rPr>
              <w:t>同时结合主干道的非机动车道设置“三横五纵”的自行车慢行系统；结合部分次干路和支路的人行道设置“四横四纵”的步行系统。</w:t>
            </w:r>
          </w:p>
          <w:p w14:paraId="7979EB07">
            <w:pPr>
              <w:spacing w:line="360" w:lineRule="auto"/>
              <w:ind w:firstLine="420" w:firstLineChars="200"/>
              <w:rPr>
                <w:szCs w:val="21"/>
              </w:rPr>
            </w:pPr>
            <w:r>
              <w:rPr>
                <w:szCs w:val="21"/>
              </w:rPr>
              <w:t>本项目北侧为氢都南</w:t>
            </w:r>
            <w:r>
              <w:rPr>
                <w:rFonts w:hint="eastAsia"/>
                <w:szCs w:val="21"/>
              </w:rPr>
              <w:t>二</w:t>
            </w:r>
            <w:r>
              <w:rPr>
                <w:szCs w:val="21"/>
              </w:rPr>
              <w:t>街，东侧为氢都</w:t>
            </w:r>
            <w:r>
              <w:rPr>
                <w:rFonts w:hint="eastAsia"/>
                <w:szCs w:val="21"/>
              </w:rPr>
              <w:t>大路，</w:t>
            </w:r>
            <w:r>
              <w:rPr>
                <w:szCs w:val="21"/>
              </w:rPr>
              <w:t>南侧为氢都南外街，周围交通便利，促进与中心城区与基地内部的连接。</w:t>
            </w:r>
          </w:p>
          <w:p w14:paraId="6182BF8F">
            <w:pPr>
              <w:spacing w:line="360" w:lineRule="auto"/>
              <w:ind w:firstLine="422" w:firstLineChars="200"/>
              <w:rPr>
                <w:b/>
                <w:bCs/>
                <w:szCs w:val="21"/>
              </w:rPr>
            </w:pPr>
            <w:r>
              <w:rPr>
                <w:b/>
                <w:bCs/>
                <w:szCs w:val="21"/>
              </w:rPr>
              <w:t>（4）绿地系统规划</w:t>
            </w:r>
          </w:p>
          <w:p w14:paraId="07145EF6">
            <w:pPr>
              <w:spacing w:line="360" w:lineRule="auto"/>
              <w:ind w:firstLine="420" w:firstLineChars="200"/>
              <w:rPr>
                <w:szCs w:val="21"/>
              </w:rPr>
            </w:pPr>
            <w:r>
              <w:rPr>
                <w:szCs w:val="21"/>
              </w:rPr>
              <w:t>规划北部铁路防护绿化廊道，南部城市发展生态廊道。在“双绿廊”的城市整体绿化格局的基础上，积极利用现有生态资源，疏通现状河道水系，联通区内绿化，形成“三轴多带、三核三节点”的绿地系统。</w:t>
            </w:r>
          </w:p>
          <w:p w14:paraId="0382FA45">
            <w:pPr>
              <w:spacing w:line="360" w:lineRule="auto"/>
              <w:ind w:firstLine="422" w:firstLineChars="200"/>
              <w:rPr>
                <w:szCs w:val="21"/>
              </w:rPr>
            </w:pPr>
            <w:r>
              <w:rPr>
                <w:b/>
                <w:bCs/>
                <w:szCs w:val="21"/>
              </w:rPr>
              <w:t>三、产业定位：</w:t>
            </w:r>
          </w:p>
          <w:p w14:paraId="3EF9A5AA">
            <w:pPr>
              <w:spacing w:line="360" w:lineRule="auto"/>
              <w:ind w:firstLine="420" w:firstLineChars="200"/>
              <w:rPr>
                <w:szCs w:val="21"/>
              </w:rPr>
            </w:pPr>
            <w:r>
              <w:rPr>
                <w:szCs w:val="21"/>
              </w:rPr>
              <w:t>发展提升装备制造及大数据产业，实现从“制造”向“智造”转变。以高端装备制造、大数据、风电整机制造、光伏、新能源为重点发展方向；立足空、铁、陆多式联运，着力发展陆港自由贸易区及其配套产业；依托地区特色种植，以农业科技研发为引擎，建立绿色农业发展区；同时布局装备科普、教育和培训，辅助发展产业孵化园区，用地布局包括陆港自由贸易区、新能源产业区、装备制造区、绿色农业发展区和产业孵化园区及其相关的综合配套区。规划目标为将大同市经济技术开发区装备制造业基地建设成为山西省新型能源示范区、大同国际内陆港务区、高端智能制造基地。</w:t>
            </w:r>
          </w:p>
          <w:p w14:paraId="18B6A850">
            <w:pPr>
              <w:spacing w:line="360" w:lineRule="auto"/>
              <w:ind w:firstLine="420" w:firstLineChars="200"/>
              <w:rPr>
                <w:color w:val="FF0000"/>
                <w:szCs w:val="21"/>
              </w:rPr>
            </w:pPr>
            <w:r>
              <w:rPr>
                <w:szCs w:val="21"/>
              </w:rPr>
              <w:t>本项目位于大同经济开发区起步区装备制造业基地，在新型装备制造园区内。新型装备制造园区注重以新型能源为核心的装备制造企业的空间集聚，发挥企业间专业化分工协作的作用，建设多元化、现代化、智能化于一体的先进制造区。本项目为木质制品制造类项目，采用先进的技术与设备，且取得了大同经济技术开发区行政审批服务管理局对本项目进行备案（备案编号22</w:t>
            </w:r>
            <w:r>
              <w:rPr>
                <w:rFonts w:hint="eastAsia"/>
                <w:szCs w:val="21"/>
              </w:rPr>
              <w:t>09-140251-89-01-108162</w:t>
            </w:r>
            <w:r>
              <w:rPr>
                <w:szCs w:val="21"/>
              </w:rPr>
              <w:t>）。因此，本项目的建设</w:t>
            </w:r>
            <w:r>
              <w:rPr>
                <w:rFonts w:hint="eastAsia"/>
                <w:szCs w:val="21"/>
                <w:lang w:eastAsia="zh-CN"/>
              </w:rPr>
              <w:t>符合</w:t>
            </w:r>
            <w:r>
              <w:rPr>
                <w:szCs w:val="21"/>
              </w:rPr>
              <w:t>产业定位。</w:t>
            </w:r>
          </w:p>
          <w:p w14:paraId="0128CFD7">
            <w:pPr>
              <w:spacing w:line="360" w:lineRule="auto"/>
              <w:ind w:firstLine="422" w:firstLineChars="200"/>
              <w:rPr>
                <w:b/>
                <w:bCs/>
                <w:szCs w:val="21"/>
              </w:rPr>
            </w:pPr>
            <w:r>
              <w:rPr>
                <w:b/>
                <w:bCs/>
                <w:szCs w:val="21"/>
              </w:rPr>
              <w:t>四、基础设施建设：</w:t>
            </w:r>
          </w:p>
          <w:p w14:paraId="3A1ECEC1">
            <w:pPr>
              <w:spacing w:line="360" w:lineRule="auto"/>
              <w:ind w:firstLine="422" w:firstLineChars="200"/>
              <w:rPr>
                <w:b/>
                <w:bCs/>
                <w:szCs w:val="21"/>
              </w:rPr>
            </w:pPr>
            <w:r>
              <w:rPr>
                <w:b/>
                <w:bCs/>
                <w:szCs w:val="21"/>
              </w:rPr>
              <w:t>（1）给水工程</w:t>
            </w:r>
          </w:p>
          <w:p w14:paraId="1F6524A9">
            <w:pPr>
              <w:spacing w:line="360" w:lineRule="auto"/>
              <w:ind w:firstLine="420" w:firstLineChars="200"/>
              <w:rPr>
                <w:szCs w:val="21"/>
              </w:rPr>
            </w:pPr>
            <w:r>
              <w:rPr>
                <w:szCs w:val="21"/>
              </w:rPr>
              <w:t>基地规划区内生活用水采用分类综合用水指标进行预测，总用水量平均值为4.92万m</w:t>
            </w:r>
            <w:r>
              <w:rPr>
                <w:szCs w:val="21"/>
                <w:vertAlign w:val="superscript"/>
              </w:rPr>
              <w:t>3</w:t>
            </w:r>
            <w:r>
              <w:rPr>
                <w:szCs w:val="21"/>
              </w:rPr>
              <w:t>/d，水源由城市水厂联合供水。</w:t>
            </w:r>
          </w:p>
          <w:p w14:paraId="544AFC74">
            <w:pPr>
              <w:spacing w:line="360" w:lineRule="auto"/>
              <w:ind w:firstLine="420" w:firstLineChars="200"/>
              <w:rPr>
                <w:szCs w:val="21"/>
              </w:rPr>
            </w:pPr>
            <w:r>
              <w:rPr>
                <w:szCs w:val="21"/>
              </w:rPr>
              <w:t>园区给水管线已接入本项目，位于项目厂界北侧氢都南</w:t>
            </w:r>
            <w:r>
              <w:rPr>
                <w:rFonts w:hint="eastAsia"/>
                <w:szCs w:val="21"/>
              </w:rPr>
              <w:t>二</w:t>
            </w:r>
            <w:r>
              <w:rPr>
                <w:szCs w:val="21"/>
              </w:rPr>
              <w:t>街。</w:t>
            </w:r>
          </w:p>
          <w:p w14:paraId="74062A3B">
            <w:pPr>
              <w:spacing w:line="360" w:lineRule="auto"/>
              <w:ind w:firstLine="422" w:firstLineChars="200"/>
              <w:rPr>
                <w:b/>
                <w:bCs/>
                <w:szCs w:val="21"/>
              </w:rPr>
            </w:pPr>
            <w:r>
              <w:rPr>
                <w:b/>
                <w:bCs/>
                <w:szCs w:val="21"/>
              </w:rPr>
              <w:t>（2）雨水工程</w:t>
            </w:r>
          </w:p>
          <w:p w14:paraId="1621EA15">
            <w:pPr>
              <w:spacing w:line="360" w:lineRule="auto"/>
              <w:ind w:firstLine="420" w:firstLineChars="200"/>
              <w:rPr>
                <w:szCs w:val="21"/>
              </w:rPr>
            </w:pPr>
            <w:r>
              <w:rPr>
                <w:szCs w:val="21"/>
              </w:rPr>
              <w:t>规划区内雨水管道设计重现期采用2-5年，工业用地综合径流系数控制上限不得大于0.5。装备园区G208公路以东部分排入G208公路雨水主干管。管材采用钢筋混凝土管。</w:t>
            </w:r>
          </w:p>
          <w:p w14:paraId="002299F8">
            <w:pPr>
              <w:spacing w:line="360" w:lineRule="auto"/>
              <w:ind w:firstLine="420" w:firstLineChars="200"/>
              <w:rPr>
                <w:szCs w:val="21"/>
              </w:rPr>
            </w:pPr>
            <w:r>
              <w:rPr>
                <w:szCs w:val="21"/>
              </w:rPr>
              <w:t>园区雨水管道已接入本项目，位于项目北侧氢都南</w:t>
            </w:r>
            <w:r>
              <w:rPr>
                <w:rFonts w:hint="eastAsia"/>
                <w:szCs w:val="21"/>
              </w:rPr>
              <w:t>二</w:t>
            </w:r>
            <w:r>
              <w:rPr>
                <w:szCs w:val="21"/>
              </w:rPr>
              <w:t>街和东侧氢都</w:t>
            </w:r>
            <w:r>
              <w:rPr>
                <w:rFonts w:hint="eastAsia"/>
                <w:szCs w:val="21"/>
              </w:rPr>
              <w:t>大</w:t>
            </w:r>
            <w:r>
              <w:rPr>
                <w:szCs w:val="21"/>
              </w:rPr>
              <w:t>路。</w:t>
            </w:r>
          </w:p>
          <w:p w14:paraId="0E9D952D">
            <w:pPr>
              <w:spacing w:line="360" w:lineRule="auto"/>
              <w:ind w:firstLine="422" w:firstLineChars="200"/>
              <w:rPr>
                <w:b/>
                <w:bCs/>
                <w:szCs w:val="21"/>
              </w:rPr>
            </w:pPr>
            <w:r>
              <w:rPr>
                <w:b/>
                <w:bCs/>
                <w:szCs w:val="21"/>
              </w:rPr>
              <w:t>（3）污水处理</w:t>
            </w:r>
          </w:p>
          <w:p w14:paraId="4D33D899">
            <w:pPr>
              <w:spacing w:line="360" w:lineRule="auto"/>
              <w:ind w:firstLine="420" w:firstLineChars="200"/>
              <w:rPr>
                <w:szCs w:val="21"/>
              </w:rPr>
            </w:pPr>
            <w:r>
              <w:rPr>
                <w:szCs w:val="21"/>
              </w:rPr>
              <w:t>规划区内排水体制采用雨污分流制，依托污水处理厂进行处理，污水处理率须达100%，工业废水先行处理后，低于《污水排入城镇下水道水质标准》(GB/T31962-2015)中B等级污染物控制项目的限制，再排入市政污水管网。污水主要沿云州街及G208污水干管，排入御东污水处理厂。</w:t>
            </w:r>
          </w:p>
          <w:p w14:paraId="415FF235">
            <w:pPr>
              <w:pStyle w:val="46"/>
              <w:spacing w:line="360" w:lineRule="auto"/>
              <w:ind w:firstLine="420" w:firstLineChars="200"/>
              <w:jc w:val="both"/>
              <w:rPr>
                <w:rFonts w:ascii="Times New Roman"/>
                <w:color w:val="auto"/>
                <w:sz w:val="21"/>
                <w:szCs w:val="21"/>
              </w:rPr>
            </w:pPr>
            <w:r>
              <w:rPr>
                <w:rFonts w:ascii="Times New Roman"/>
                <w:color w:val="auto"/>
                <w:sz w:val="21"/>
                <w:szCs w:val="21"/>
              </w:rPr>
              <w:t>园区污水管线已接入本项目所在地，位于项目厂界北侧氢都南</w:t>
            </w:r>
            <w:r>
              <w:rPr>
                <w:rFonts w:hint="eastAsia" w:ascii="Times New Roman"/>
                <w:color w:val="auto"/>
                <w:sz w:val="21"/>
                <w:szCs w:val="21"/>
              </w:rPr>
              <w:t>二</w:t>
            </w:r>
            <w:r>
              <w:rPr>
                <w:rFonts w:ascii="Times New Roman"/>
                <w:color w:val="auto"/>
                <w:sz w:val="21"/>
                <w:szCs w:val="21"/>
              </w:rPr>
              <w:t>街。</w:t>
            </w:r>
          </w:p>
          <w:p w14:paraId="40C45B73">
            <w:pPr>
              <w:spacing w:line="360" w:lineRule="auto"/>
              <w:ind w:firstLine="422" w:firstLineChars="200"/>
              <w:rPr>
                <w:b/>
                <w:bCs/>
                <w:szCs w:val="21"/>
              </w:rPr>
            </w:pPr>
            <w:r>
              <w:rPr>
                <w:b/>
                <w:bCs/>
                <w:szCs w:val="21"/>
              </w:rPr>
              <w:t>（4）供电工程</w:t>
            </w:r>
          </w:p>
          <w:p w14:paraId="052896FC">
            <w:pPr>
              <w:spacing w:line="360" w:lineRule="auto"/>
              <w:ind w:firstLine="420" w:firstLineChars="200"/>
              <w:rPr>
                <w:szCs w:val="21"/>
              </w:rPr>
            </w:pPr>
            <w:r>
              <w:rPr>
                <w:szCs w:val="21"/>
              </w:rPr>
              <w:t>规划区内供电电源为近期由大同二电厂提供，远期由湖东热电厂提供，用电最大负荷为21.06万kW。其中220kV高压线单塔走廊宽度为30m，110kV高压线走廊宽度为20m。</w:t>
            </w:r>
          </w:p>
          <w:p w14:paraId="36F75FEC">
            <w:pPr>
              <w:spacing w:line="360" w:lineRule="auto"/>
              <w:ind w:firstLine="420" w:firstLineChars="200"/>
              <w:rPr>
                <w:szCs w:val="21"/>
              </w:rPr>
            </w:pPr>
            <w:r>
              <w:rPr>
                <w:szCs w:val="21"/>
              </w:rPr>
              <w:t>本项目供电设施已接入园区内，由1250KVA变压器引入。</w:t>
            </w:r>
          </w:p>
          <w:p w14:paraId="0BF28C1C">
            <w:pPr>
              <w:spacing w:line="360" w:lineRule="auto"/>
              <w:ind w:firstLine="422" w:firstLineChars="200"/>
              <w:rPr>
                <w:b/>
                <w:bCs/>
                <w:szCs w:val="21"/>
              </w:rPr>
            </w:pPr>
            <w:r>
              <w:rPr>
                <w:b/>
                <w:bCs/>
                <w:szCs w:val="21"/>
              </w:rPr>
              <w:t>（5）供热工程</w:t>
            </w:r>
          </w:p>
          <w:p w14:paraId="7AD85939">
            <w:pPr>
              <w:spacing w:line="360" w:lineRule="auto"/>
              <w:ind w:firstLine="420" w:firstLineChars="200"/>
              <w:rPr>
                <w:szCs w:val="21"/>
              </w:rPr>
            </w:pPr>
            <w:r>
              <w:rPr>
                <w:szCs w:val="21"/>
              </w:rPr>
              <w:t>规划区内建筑必须采用节能措施，以节能降耗，片区内总热负荷为685.55MW。近期规划企业自供热，远期采用城市集中供热方式。规划区内设置36座换热站，根据各供热区的供热面积，单座换热站规模宜控制在20~50MW以内，占地面积不小于400m²。</w:t>
            </w:r>
          </w:p>
          <w:p w14:paraId="766DFAA3">
            <w:pPr>
              <w:spacing w:line="360" w:lineRule="auto"/>
              <w:ind w:firstLine="420" w:firstLineChars="200"/>
              <w:rPr>
                <w:szCs w:val="21"/>
              </w:rPr>
            </w:pPr>
            <w:r>
              <w:rPr>
                <w:szCs w:val="21"/>
              </w:rPr>
              <w:t>本项目生产车间</w:t>
            </w:r>
            <w:r>
              <w:rPr>
                <w:rFonts w:hint="eastAsia"/>
                <w:szCs w:val="21"/>
              </w:rPr>
              <w:t>无需</w:t>
            </w:r>
            <w:r>
              <w:rPr>
                <w:szCs w:val="21"/>
              </w:rPr>
              <w:t>供暖，办公生活区采用</w:t>
            </w:r>
            <w:r>
              <w:rPr>
                <w:rFonts w:hint="eastAsia"/>
                <w:szCs w:val="21"/>
                <w:lang w:val="en-US" w:eastAsia="zh-CN"/>
              </w:rPr>
              <w:t>园区集中供暖</w:t>
            </w:r>
            <w:r>
              <w:rPr>
                <w:szCs w:val="21"/>
              </w:rPr>
              <w:t>。</w:t>
            </w:r>
          </w:p>
          <w:p w14:paraId="01D554EA">
            <w:pPr>
              <w:spacing w:line="360" w:lineRule="auto"/>
              <w:ind w:firstLine="422" w:firstLineChars="200"/>
              <w:rPr>
                <w:b/>
                <w:bCs/>
                <w:szCs w:val="21"/>
              </w:rPr>
            </w:pPr>
            <w:r>
              <w:rPr>
                <w:b/>
                <w:bCs/>
                <w:szCs w:val="21"/>
              </w:rPr>
              <w:t>（6）燃气工程</w:t>
            </w:r>
          </w:p>
          <w:p w14:paraId="526E0D03">
            <w:pPr>
              <w:spacing w:line="360" w:lineRule="auto"/>
              <w:ind w:firstLine="420" w:firstLineChars="200"/>
              <w:rPr>
                <w:szCs w:val="21"/>
              </w:rPr>
            </w:pPr>
            <w:r>
              <w:rPr>
                <w:szCs w:val="21"/>
              </w:rPr>
              <w:t>规划区年总用气量将达到952.45Nm</w:t>
            </w:r>
            <w:r>
              <w:rPr>
                <w:szCs w:val="21"/>
                <w:vertAlign w:val="superscript"/>
              </w:rPr>
              <w:t>3</w:t>
            </w:r>
            <w:r>
              <w:rPr>
                <w:szCs w:val="21"/>
              </w:rPr>
              <w:t>，天然气气源由玄武岩天然气加压站提供，沿云州街燃气主干管引入；远期由玄武岩天然气加压站和规划加压站供气。规划天然气输气廊道，安全宽度为10m。</w:t>
            </w:r>
          </w:p>
          <w:p w14:paraId="5030A074">
            <w:pPr>
              <w:spacing w:line="360" w:lineRule="auto"/>
              <w:ind w:firstLine="420" w:firstLineChars="200"/>
              <w:rPr>
                <w:szCs w:val="21"/>
              </w:rPr>
            </w:pPr>
            <w:r>
              <w:rPr>
                <w:szCs w:val="21"/>
              </w:rPr>
              <w:t>园区燃气管</w:t>
            </w:r>
            <w:r>
              <w:rPr>
                <w:rFonts w:hint="eastAsia"/>
                <w:szCs w:val="21"/>
                <w:lang w:eastAsia="zh-CN"/>
              </w:rPr>
              <w:t>道</w:t>
            </w:r>
            <w:r>
              <w:rPr>
                <w:rFonts w:hint="eastAsia"/>
                <w:szCs w:val="21"/>
                <w:lang w:val="en-US" w:eastAsia="zh-CN"/>
              </w:rPr>
              <w:t>已</w:t>
            </w:r>
            <w:r>
              <w:rPr>
                <w:szCs w:val="21"/>
              </w:rPr>
              <w:t>接入本项目。</w:t>
            </w:r>
          </w:p>
          <w:p w14:paraId="2A93D435">
            <w:pPr>
              <w:spacing w:line="360" w:lineRule="auto"/>
              <w:ind w:firstLine="420" w:firstLineChars="200"/>
              <w:rPr>
                <w:color w:val="FF0000"/>
                <w:szCs w:val="21"/>
              </w:rPr>
            </w:pPr>
            <w:r>
              <w:rPr>
                <w:szCs w:val="21"/>
              </w:rPr>
              <w:t>大同经济开发区起步区装备制造业基地总体规划见附图</w:t>
            </w:r>
            <w:r>
              <w:rPr>
                <w:rFonts w:hint="eastAsia"/>
                <w:szCs w:val="21"/>
                <w:lang w:val="en-US" w:eastAsia="zh-CN"/>
              </w:rPr>
              <w:t>5</w:t>
            </w:r>
            <w:r>
              <w:rPr>
                <w:rFonts w:hint="eastAsia"/>
                <w:szCs w:val="21"/>
              </w:rPr>
              <w:t>。</w:t>
            </w:r>
          </w:p>
          <w:p w14:paraId="4CB67D3F">
            <w:pPr>
              <w:numPr>
                <w:ilvl w:val="0"/>
                <w:numId w:val="1"/>
              </w:numPr>
              <w:spacing w:line="360" w:lineRule="auto"/>
              <w:ind w:firstLine="422" w:firstLineChars="200"/>
              <w:rPr>
                <w:b/>
                <w:bCs/>
                <w:szCs w:val="21"/>
              </w:rPr>
            </w:pPr>
            <w:r>
              <w:rPr>
                <w:b/>
                <w:bCs/>
                <w:szCs w:val="21"/>
              </w:rPr>
              <w:t>本项目与《大同经济技术开发区起步区控制性详细规划(装备制造业基地)(2021-2035年)环境影响报告书》的相符性分析</w:t>
            </w:r>
          </w:p>
          <w:p w14:paraId="5BCA23DF">
            <w:pPr>
              <w:spacing w:line="360" w:lineRule="auto"/>
              <w:jc w:val="center"/>
              <w:rPr>
                <w:sz w:val="18"/>
                <w:szCs w:val="18"/>
              </w:rPr>
            </w:pPr>
            <w:r>
              <w:rPr>
                <w:b/>
                <w:bCs/>
                <w:sz w:val="18"/>
                <w:szCs w:val="18"/>
              </w:rPr>
              <w:t>表1-1  与《大同经济技术开发区起步区控制性详细规划(装备制造业基地)</w:t>
            </w:r>
            <w:r>
              <w:rPr>
                <w:rFonts w:hint="eastAsia"/>
                <w:b/>
                <w:bCs/>
                <w:sz w:val="18"/>
                <w:szCs w:val="18"/>
                <w:lang w:eastAsia="zh-CN"/>
              </w:rPr>
              <w:t>（</w:t>
            </w:r>
            <w:r>
              <w:rPr>
                <w:b/>
                <w:bCs/>
                <w:sz w:val="18"/>
                <w:szCs w:val="18"/>
              </w:rPr>
              <w:t>2021-2035年</w:t>
            </w:r>
            <w:r>
              <w:rPr>
                <w:rFonts w:hint="eastAsia"/>
                <w:b/>
                <w:bCs/>
                <w:sz w:val="18"/>
                <w:szCs w:val="18"/>
                <w:lang w:eastAsia="zh-CN"/>
              </w:rPr>
              <w:t>）</w:t>
            </w:r>
            <w:r>
              <w:rPr>
                <w:b/>
                <w:bCs/>
                <w:sz w:val="18"/>
                <w:szCs w:val="18"/>
              </w:rPr>
              <w:t>环境影响报告书》的相符性分析</w:t>
            </w:r>
          </w:p>
          <w:tbl>
            <w:tblPr>
              <w:tblStyle w:val="48"/>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24"/>
              <w:gridCol w:w="3329"/>
              <w:gridCol w:w="2484"/>
            </w:tblGrid>
            <w:tr w14:paraId="59FE39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202AFBC3">
                  <w:pPr>
                    <w:spacing w:line="280" w:lineRule="exact"/>
                    <w:jc w:val="center"/>
                    <w:rPr>
                      <w:sz w:val="18"/>
                      <w:szCs w:val="18"/>
                    </w:rPr>
                  </w:pPr>
                  <w:r>
                    <w:rPr>
                      <w:sz w:val="18"/>
                      <w:szCs w:val="18"/>
                    </w:rPr>
                    <w:t>序号</w:t>
                  </w:r>
                </w:p>
              </w:tc>
              <w:tc>
                <w:tcPr>
                  <w:tcW w:w="2668" w:type="pct"/>
                  <w:vAlign w:val="center"/>
                </w:tcPr>
                <w:p w14:paraId="2058EE79">
                  <w:pPr>
                    <w:spacing w:line="280" w:lineRule="exact"/>
                    <w:jc w:val="center"/>
                    <w:rPr>
                      <w:sz w:val="18"/>
                      <w:szCs w:val="18"/>
                    </w:rPr>
                  </w:pPr>
                  <w:r>
                    <w:rPr>
                      <w:sz w:val="18"/>
                      <w:szCs w:val="18"/>
                    </w:rPr>
                    <w:t>相关要求</w:t>
                  </w:r>
                </w:p>
              </w:tc>
              <w:tc>
                <w:tcPr>
                  <w:tcW w:w="1991" w:type="pct"/>
                  <w:vAlign w:val="center"/>
                </w:tcPr>
                <w:p w14:paraId="0D10F74F">
                  <w:pPr>
                    <w:spacing w:line="280" w:lineRule="exact"/>
                    <w:jc w:val="center"/>
                    <w:rPr>
                      <w:sz w:val="18"/>
                      <w:szCs w:val="18"/>
                    </w:rPr>
                  </w:pPr>
                  <w:r>
                    <w:rPr>
                      <w:sz w:val="18"/>
                      <w:szCs w:val="18"/>
                    </w:rPr>
                    <w:t>符合性</w:t>
                  </w:r>
                </w:p>
              </w:tc>
            </w:tr>
            <w:tr w14:paraId="23389F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0BD7812E">
                  <w:pPr>
                    <w:spacing w:line="280" w:lineRule="exact"/>
                    <w:jc w:val="center"/>
                    <w:rPr>
                      <w:sz w:val="18"/>
                      <w:szCs w:val="18"/>
                    </w:rPr>
                  </w:pPr>
                  <w:r>
                    <w:rPr>
                      <w:sz w:val="18"/>
                      <w:szCs w:val="18"/>
                    </w:rPr>
                    <w:t>1</w:t>
                  </w:r>
                </w:p>
              </w:tc>
              <w:tc>
                <w:tcPr>
                  <w:tcW w:w="2668" w:type="pct"/>
                </w:tcPr>
                <w:p w14:paraId="1119A919">
                  <w:pPr>
                    <w:pStyle w:val="46"/>
                    <w:spacing w:line="280" w:lineRule="exact"/>
                    <w:ind w:firstLine="420"/>
                    <w:rPr>
                      <w:rFonts w:ascii="Times New Roman"/>
                      <w:color w:val="auto"/>
                      <w:sz w:val="18"/>
                      <w:szCs w:val="18"/>
                    </w:rPr>
                  </w:pPr>
                  <w:r>
                    <w:rPr>
                      <w:rFonts w:ascii="Times New Roman"/>
                      <w:color w:val="auto"/>
                      <w:sz w:val="18"/>
                      <w:szCs w:val="18"/>
                    </w:rPr>
                    <w:t>规划实施后，基地以“三区三线”作为空间开发保护的约束和依据，严守可开发区域进行产业布局，禁止使用可开发区域以外用地。</w:t>
                  </w:r>
                </w:p>
              </w:tc>
              <w:tc>
                <w:tcPr>
                  <w:tcW w:w="1991" w:type="pct"/>
                  <w:vAlign w:val="center"/>
                </w:tcPr>
                <w:p w14:paraId="48F658C7">
                  <w:pPr>
                    <w:spacing w:line="280" w:lineRule="exact"/>
                    <w:rPr>
                      <w:sz w:val="18"/>
                      <w:szCs w:val="18"/>
                    </w:rPr>
                  </w:pPr>
                  <w:r>
                    <w:rPr>
                      <w:sz w:val="18"/>
                      <w:szCs w:val="18"/>
                    </w:rPr>
                    <w:t>本项目位于可开发区域内，符合政策。</w:t>
                  </w:r>
                </w:p>
              </w:tc>
            </w:tr>
            <w:tr w14:paraId="46C58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7E70DE1B">
                  <w:pPr>
                    <w:spacing w:line="280" w:lineRule="exact"/>
                    <w:jc w:val="center"/>
                    <w:rPr>
                      <w:sz w:val="18"/>
                      <w:szCs w:val="18"/>
                    </w:rPr>
                  </w:pPr>
                  <w:r>
                    <w:rPr>
                      <w:sz w:val="18"/>
                      <w:szCs w:val="18"/>
                    </w:rPr>
                    <w:t>2</w:t>
                  </w:r>
                </w:p>
              </w:tc>
              <w:tc>
                <w:tcPr>
                  <w:tcW w:w="2668" w:type="pct"/>
                </w:tcPr>
                <w:p w14:paraId="37EB501C">
                  <w:pPr>
                    <w:pStyle w:val="46"/>
                    <w:spacing w:line="280" w:lineRule="exact"/>
                    <w:ind w:firstLine="420"/>
                    <w:jc w:val="both"/>
                    <w:rPr>
                      <w:rFonts w:ascii="Times New Roman"/>
                      <w:color w:val="auto"/>
                      <w:sz w:val="18"/>
                      <w:szCs w:val="18"/>
                    </w:rPr>
                  </w:pPr>
                  <w:r>
                    <w:rPr>
                      <w:rFonts w:ascii="Times New Roman"/>
                      <w:color w:val="auto"/>
                      <w:sz w:val="18"/>
                      <w:szCs w:val="18"/>
                    </w:rPr>
                    <w:t>严格落实基地规划范围内施工工地扬尘整治“六个百分百”要求，强化监管，杜绝扬尘。推行“阳光施工”、“阳光运输”，减少夜间施工、运输。依法严查渣土运输车辆未按规定时间和路线行驶、沿途抛洒、随意倾倒等行为。开展对基地重点路段、重点时段的执法检查，依法重处超载抛洒行为。</w:t>
                  </w:r>
                </w:p>
              </w:tc>
              <w:tc>
                <w:tcPr>
                  <w:tcW w:w="1991" w:type="pct"/>
                  <w:vAlign w:val="center"/>
                </w:tcPr>
                <w:p w14:paraId="76FDB1A0">
                  <w:pPr>
                    <w:spacing w:line="280" w:lineRule="exact"/>
                    <w:rPr>
                      <w:sz w:val="18"/>
                      <w:szCs w:val="18"/>
                    </w:rPr>
                  </w:pPr>
                  <w:r>
                    <w:rPr>
                      <w:sz w:val="18"/>
                      <w:szCs w:val="18"/>
                    </w:rPr>
                    <w:t>本项目施工过程按照“六个百分之百”环境规范管理要求，推行“阳光施工”、“阳光运输”。施工期间加强环境管理、项目建设单位严格按照有关规定，不沿途抛洒、随意倾倒等，符合政策。</w:t>
                  </w:r>
                </w:p>
              </w:tc>
            </w:tr>
            <w:tr w14:paraId="6350BC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455FDDEF">
                  <w:pPr>
                    <w:spacing w:line="280" w:lineRule="exact"/>
                    <w:jc w:val="center"/>
                    <w:rPr>
                      <w:sz w:val="18"/>
                      <w:szCs w:val="18"/>
                    </w:rPr>
                  </w:pPr>
                  <w:r>
                    <w:rPr>
                      <w:sz w:val="18"/>
                      <w:szCs w:val="18"/>
                    </w:rPr>
                    <w:t>3</w:t>
                  </w:r>
                </w:p>
              </w:tc>
              <w:tc>
                <w:tcPr>
                  <w:tcW w:w="2668" w:type="pct"/>
                </w:tcPr>
                <w:p w14:paraId="63816F5D">
                  <w:pPr>
                    <w:pStyle w:val="46"/>
                    <w:spacing w:line="280" w:lineRule="exact"/>
                    <w:ind w:firstLine="420"/>
                    <w:jc w:val="both"/>
                    <w:rPr>
                      <w:rFonts w:ascii="Times New Roman"/>
                      <w:color w:val="auto"/>
                      <w:sz w:val="18"/>
                      <w:szCs w:val="18"/>
                    </w:rPr>
                  </w:pPr>
                  <w:r>
                    <w:rPr>
                      <w:rFonts w:ascii="Times New Roman"/>
                      <w:color w:val="auto"/>
                      <w:sz w:val="18"/>
                      <w:szCs w:val="18"/>
                    </w:rPr>
                    <w:t>基地鼓励发展节水工艺及产品，限制高耗水工艺及产品，通过提高工业水重复利用率及中水回用率，从根本上减少新鲜水消耗，城市供水可以满足用水需求，水资源利用结构合理。基地现状配套给水管网较为完善，通过规划给水管网的实施，基地将形成更为完善的供水系统，为入驻企业提供</w:t>
                  </w:r>
                  <w:r>
                    <w:rPr>
                      <w:rFonts w:hint="eastAsia" w:ascii="Times New Roman"/>
                      <w:color w:val="auto"/>
                      <w:sz w:val="18"/>
                      <w:szCs w:val="18"/>
                      <w:lang w:eastAsia="zh-CN"/>
                    </w:rPr>
                    <w:t>有力</w:t>
                  </w:r>
                  <w:r>
                    <w:rPr>
                      <w:rFonts w:ascii="Times New Roman"/>
                      <w:color w:val="auto"/>
                      <w:sz w:val="18"/>
                      <w:szCs w:val="18"/>
                    </w:rPr>
                    <w:t>保障。</w:t>
                  </w:r>
                </w:p>
              </w:tc>
              <w:tc>
                <w:tcPr>
                  <w:tcW w:w="1991" w:type="pct"/>
                  <w:vAlign w:val="center"/>
                </w:tcPr>
                <w:p w14:paraId="5527C6FB">
                  <w:pPr>
                    <w:spacing w:line="280" w:lineRule="exact"/>
                    <w:rPr>
                      <w:sz w:val="18"/>
                      <w:szCs w:val="18"/>
                      <w:highlight w:val="yellow"/>
                    </w:rPr>
                  </w:pPr>
                  <w:r>
                    <w:rPr>
                      <w:sz w:val="18"/>
                      <w:szCs w:val="18"/>
                    </w:rPr>
                    <w:t>本项目不属于高耗水工艺及产品，项目</w:t>
                  </w:r>
                  <w:r>
                    <w:rPr>
                      <w:rFonts w:hint="eastAsia"/>
                      <w:sz w:val="18"/>
                      <w:szCs w:val="18"/>
                    </w:rPr>
                    <w:t>生活污水</w:t>
                  </w:r>
                  <w:r>
                    <w:rPr>
                      <w:sz w:val="18"/>
                      <w:szCs w:val="18"/>
                    </w:rPr>
                    <w:t>和车间地面冲洗废水经</w:t>
                  </w:r>
                  <w:r>
                    <w:rPr>
                      <w:rFonts w:hint="eastAsia"/>
                      <w:sz w:val="18"/>
                      <w:szCs w:val="18"/>
                    </w:rPr>
                    <w:t>化粪池</w:t>
                  </w:r>
                  <w:r>
                    <w:rPr>
                      <w:sz w:val="18"/>
                      <w:szCs w:val="18"/>
                    </w:rPr>
                    <w:t>沉淀达标后</w:t>
                  </w:r>
                  <w:r>
                    <w:rPr>
                      <w:spacing w:val="4"/>
                      <w:sz w:val="18"/>
                      <w:szCs w:val="18"/>
                    </w:rPr>
                    <w:t>排入园区污水管网</w:t>
                  </w:r>
                  <w:r>
                    <w:rPr>
                      <w:rFonts w:hint="eastAsia"/>
                      <w:spacing w:val="4"/>
                      <w:sz w:val="18"/>
                      <w:szCs w:val="18"/>
                    </w:rPr>
                    <w:t>，</w:t>
                  </w:r>
                  <w:r>
                    <w:rPr>
                      <w:spacing w:val="4"/>
                      <w:sz w:val="18"/>
                      <w:szCs w:val="18"/>
                    </w:rPr>
                    <w:t>最终大同市御东污水处理厂</w:t>
                  </w:r>
                  <w:r>
                    <w:rPr>
                      <w:sz w:val="18"/>
                      <w:szCs w:val="18"/>
                    </w:rPr>
                    <w:t>，符合规划政策。</w:t>
                  </w:r>
                </w:p>
              </w:tc>
            </w:tr>
            <w:tr w14:paraId="5BA3D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4F3F01F5">
                  <w:pPr>
                    <w:spacing w:line="280" w:lineRule="exact"/>
                    <w:jc w:val="center"/>
                    <w:rPr>
                      <w:sz w:val="18"/>
                      <w:szCs w:val="18"/>
                    </w:rPr>
                  </w:pPr>
                  <w:r>
                    <w:rPr>
                      <w:sz w:val="18"/>
                      <w:szCs w:val="18"/>
                    </w:rPr>
                    <w:t>4</w:t>
                  </w:r>
                </w:p>
              </w:tc>
              <w:tc>
                <w:tcPr>
                  <w:tcW w:w="2668" w:type="pct"/>
                </w:tcPr>
                <w:p w14:paraId="5673CC34">
                  <w:pPr>
                    <w:pStyle w:val="46"/>
                    <w:spacing w:line="280" w:lineRule="exact"/>
                    <w:ind w:firstLine="420"/>
                    <w:jc w:val="both"/>
                    <w:rPr>
                      <w:rFonts w:ascii="Times New Roman"/>
                      <w:color w:val="auto"/>
                      <w:sz w:val="18"/>
                      <w:szCs w:val="18"/>
                    </w:rPr>
                  </w:pPr>
                  <w:r>
                    <w:rPr>
                      <w:rFonts w:ascii="Times New Roman"/>
                      <w:color w:val="auto"/>
                      <w:sz w:val="18"/>
                      <w:szCs w:val="18"/>
                    </w:rPr>
                    <w:t>基地产生一般工业固体废物的单位按照有关规定对其产生的一般工业固废物进行综合利用；暂时不利用或者不能利用的，应当按照环评文件要求和项目涉及要求，建设一般工业固体废物贮存设施或场所，对产生的一般工业固体废物进行安全分类存放，最终外售物资部门。基地管委会负责统筹工业固废资源化利用工作，促进工业固废资源化利用效率的有效提升。基地不单独设立危险废物暂存点，产生危险废物的单位按照有关规定建设企业内部危险废物暂存设施或场所，对危险废物进行分类收集贮存，最终交由具有相应资质的单位进行处置。</w:t>
                  </w:r>
                </w:p>
              </w:tc>
              <w:tc>
                <w:tcPr>
                  <w:tcW w:w="1991" w:type="pct"/>
                  <w:vAlign w:val="center"/>
                </w:tcPr>
                <w:p w14:paraId="4D3BE47F">
                  <w:pPr>
                    <w:spacing w:line="280" w:lineRule="exact"/>
                    <w:rPr>
                      <w:sz w:val="18"/>
                      <w:szCs w:val="18"/>
                    </w:rPr>
                  </w:pPr>
                  <w:r>
                    <w:rPr>
                      <w:sz w:val="18"/>
                      <w:szCs w:val="18"/>
                    </w:rPr>
                    <w:t>项目产生的职工生活垃圾由当地环卫部门定期收集后统一处理。一般工业废物如边角料废料、</w:t>
                  </w:r>
                  <w:r>
                    <w:rPr>
                      <w:rFonts w:hint="eastAsia"/>
                      <w:sz w:val="18"/>
                      <w:szCs w:val="18"/>
                    </w:rPr>
                    <w:t>废屑</w:t>
                  </w:r>
                  <w:r>
                    <w:rPr>
                      <w:sz w:val="18"/>
                      <w:szCs w:val="18"/>
                    </w:rPr>
                    <w:t>废渣</w:t>
                  </w:r>
                  <w:r>
                    <w:rPr>
                      <w:rFonts w:hint="eastAsia"/>
                      <w:sz w:val="18"/>
                      <w:szCs w:val="18"/>
                    </w:rPr>
                    <w:t>、</w:t>
                  </w:r>
                  <w:r>
                    <w:rPr>
                      <w:sz w:val="18"/>
                      <w:szCs w:val="18"/>
                    </w:rPr>
                    <w:t>沉渣</w:t>
                  </w:r>
                  <w:r>
                    <w:rPr>
                      <w:rFonts w:hint="eastAsia"/>
                      <w:sz w:val="18"/>
                      <w:szCs w:val="18"/>
                    </w:rPr>
                    <w:t>、</w:t>
                  </w:r>
                  <w:r>
                    <w:rPr>
                      <w:sz w:val="18"/>
                      <w:szCs w:val="18"/>
                    </w:rPr>
                    <w:t>除尘灰等统一收集后外售综合利用。项目危险废物暂存于危废</w:t>
                  </w:r>
                  <w:r>
                    <w:rPr>
                      <w:rFonts w:hint="eastAsia"/>
                      <w:sz w:val="18"/>
                      <w:szCs w:val="18"/>
                      <w:lang w:val="en-US" w:eastAsia="zh-CN"/>
                    </w:rPr>
                    <w:t>贮存</w:t>
                  </w:r>
                  <w:r>
                    <w:rPr>
                      <w:sz w:val="18"/>
                      <w:szCs w:val="18"/>
                    </w:rPr>
                    <w:t>库</w:t>
                  </w:r>
                  <w:r>
                    <w:rPr>
                      <w:rFonts w:hint="eastAsia"/>
                      <w:sz w:val="18"/>
                      <w:szCs w:val="18"/>
                    </w:rPr>
                    <w:t>，</w:t>
                  </w:r>
                  <w:r>
                    <w:rPr>
                      <w:sz w:val="18"/>
                      <w:szCs w:val="18"/>
                    </w:rPr>
                    <w:t>定期委托具有相应资质的单位进行处置。项目产生的固废得到妥善处置，符合政策。</w:t>
                  </w:r>
                </w:p>
              </w:tc>
            </w:tr>
            <w:tr w14:paraId="3AC105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0" w:type="pct"/>
                  <w:vAlign w:val="center"/>
                </w:tcPr>
                <w:p w14:paraId="428F820A">
                  <w:pPr>
                    <w:spacing w:line="280" w:lineRule="exact"/>
                    <w:jc w:val="center"/>
                    <w:rPr>
                      <w:sz w:val="18"/>
                      <w:szCs w:val="18"/>
                    </w:rPr>
                  </w:pPr>
                  <w:r>
                    <w:rPr>
                      <w:sz w:val="18"/>
                      <w:szCs w:val="18"/>
                    </w:rPr>
                    <w:t>5</w:t>
                  </w:r>
                </w:p>
              </w:tc>
              <w:tc>
                <w:tcPr>
                  <w:tcW w:w="2668" w:type="pct"/>
                </w:tcPr>
                <w:p w14:paraId="0BEAA937">
                  <w:pPr>
                    <w:pStyle w:val="46"/>
                    <w:spacing w:line="280" w:lineRule="exact"/>
                    <w:ind w:firstLine="420"/>
                    <w:rPr>
                      <w:rFonts w:ascii="Times New Roman"/>
                      <w:color w:val="auto"/>
                      <w:sz w:val="18"/>
                      <w:szCs w:val="18"/>
                    </w:rPr>
                  </w:pPr>
                  <w:r>
                    <w:rPr>
                      <w:rFonts w:ascii="Times New Roman"/>
                      <w:color w:val="auto"/>
                      <w:sz w:val="18"/>
                      <w:szCs w:val="18"/>
                    </w:rPr>
                    <w:t>实施城市节能减碳工程，开展建筑、交通、照明、供热等基础设施节能升级改造，推进先进绿色建筑技术示范应用，推动超低能耗建筑、近零碳建筑现模化发展。</w:t>
                  </w:r>
                </w:p>
              </w:tc>
              <w:tc>
                <w:tcPr>
                  <w:tcW w:w="1991" w:type="pct"/>
                  <w:vAlign w:val="center"/>
                </w:tcPr>
                <w:p w14:paraId="10E4C685">
                  <w:pPr>
                    <w:spacing w:line="280" w:lineRule="exact"/>
                    <w:rPr>
                      <w:sz w:val="18"/>
                      <w:szCs w:val="18"/>
                    </w:rPr>
                  </w:pPr>
                  <w:r>
                    <w:rPr>
                      <w:sz w:val="18"/>
                      <w:szCs w:val="18"/>
                    </w:rPr>
                    <w:t>本项目不涉及重点碳排放，符合政策。</w:t>
                  </w:r>
                </w:p>
              </w:tc>
            </w:tr>
          </w:tbl>
          <w:p w14:paraId="1089EF98">
            <w:pPr>
              <w:numPr>
                <w:ilvl w:val="0"/>
                <w:numId w:val="1"/>
              </w:numPr>
              <w:spacing w:line="360" w:lineRule="auto"/>
              <w:ind w:firstLine="422" w:firstLineChars="200"/>
              <w:rPr>
                <w:b/>
                <w:bCs/>
                <w:szCs w:val="21"/>
              </w:rPr>
            </w:pPr>
            <w:r>
              <w:rPr>
                <w:b/>
                <w:bCs/>
                <w:szCs w:val="21"/>
              </w:rPr>
              <w:t>本项目与《大同经济技术开发区起步区控制性详细规划</w:t>
            </w:r>
            <w:r>
              <w:rPr>
                <w:rFonts w:hint="eastAsia"/>
                <w:b/>
                <w:bCs/>
                <w:szCs w:val="21"/>
                <w:lang w:eastAsia="zh-CN"/>
              </w:rPr>
              <w:t>（</w:t>
            </w:r>
            <w:r>
              <w:rPr>
                <w:b/>
                <w:bCs/>
                <w:szCs w:val="21"/>
              </w:rPr>
              <w:t>装备制造业基地</w:t>
            </w:r>
            <w:r>
              <w:rPr>
                <w:rFonts w:hint="eastAsia"/>
                <w:b/>
                <w:bCs/>
                <w:szCs w:val="21"/>
                <w:lang w:eastAsia="zh-CN"/>
              </w:rPr>
              <w:t>）（</w:t>
            </w:r>
            <w:r>
              <w:rPr>
                <w:b/>
                <w:bCs/>
                <w:szCs w:val="21"/>
              </w:rPr>
              <w:t>2021-2035年</w:t>
            </w:r>
            <w:r>
              <w:rPr>
                <w:rFonts w:hint="eastAsia"/>
                <w:b/>
                <w:bCs/>
                <w:szCs w:val="21"/>
                <w:lang w:eastAsia="zh-CN"/>
              </w:rPr>
              <w:t>）</w:t>
            </w:r>
            <w:r>
              <w:rPr>
                <w:b/>
                <w:bCs/>
                <w:szCs w:val="21"/>
              </w:rPr>
              <w:t>环境影响报告书》的审查意见相符性分析</w:t>
            </w:r>
          </w:p>
          <w:p w14:paraId="531C6184">
            <w:pPr>
              <w:spacing w:line="360" w:lineRule="auto"/>
              <w:jc w:val="center"/>
              <w:rPr>
                <w:sz w:val="18"/>
                <w:szCs w:val="18"/>
              </w:rPr>
            </w:pPr>
            <w:r>
              <w:rPr>
                <w:b/>
                <w:bCs/>
                <w:sz w:val="18"/>
                <w:szCs w:val="18"/>
              </w:rPr>
              <w:t>表1-2  与《大同经济技术开发区起步区控制性详细规划</w:t>
            </w:r>
            <w:r>
              <w:rPr>
                <w:rFonts w:hint="eastAsia"/>
                <w:b/>
                <w:bCs/>
                <w:sz w:val="18"/>
                <w:szCs w:val="18"/>
                <w:lang w:eastAsia="zh-CN"/>
              </w:rPr>
              <w:t>（</w:t>
            </w:r>
            <w:r>
              <w:rPr>
                <w:b/>
                <w:bCs/>
                <w:sz w:val="18"/>
                <w:szCs w:val="18"/>
              </w:rPr>
              <w:t>装备制造业基地</w:t>
            </w:r>
            <w:r>
              <w:rPr>
                <w:rFonts w:hint="eastAsia"/>
                <w:b/>
                <w:bCs/>
                <w:sz w:val="18"/>
                <w:szCs w:val="18"/>
                <w:lang w:eastAsia="zh-CN"/>
              </w:rPr>
              <w:t>）（</w:t>
            </w:r>
            <w:r>
              <w:rPr>
                <w:b/>
                <w:bCs/>
                <w:sz w:val="18"/>
                <w:szCs w:val="18"/>
              </w:rPr>
              <w:t>2021-2035年</w:t>
            </w:r>
            <w:r>
              <w:rPr>
                <w:rFonts w:hint="eastAsia"/>
                <w:b/>
                <w:bCs/>
                <w:sz w:val="18"/>
                <w:szCs w:val="18"/>
                <w:lang w:eastAsia="zh-CN"/>
              </w:rPr>
              <w:t>）</w:t>
            </w:r>
            <w:r>
              <w:rPr>
                <w:b/>
                <w:bCs/>
                <w:sz w:val="18"/>
                <w:szCs w:val="18"/>
              </w:rPr>
              <w:t>环境影响报告书》的审查意见相符性分析</w:t>
            </w:r>
          </w:p>
          <w:tbl>
            <w:tblPr>
              <w:tblStyle w:val="48"/>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3326"/>
              <w:gridCol w:w="2485"/>
            </w:tblGrid>
            <w:tr w14:paraId="6025BF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59697DAC">
                  <w:pPr>
                    <w:spacing w:line="280" w:lineRule="exact"/>
                    <w:jc w:val="center"/>
                    <w:rPr>
                      <w:sz w:val="18"/>
                      <w:szCs w:val="18"/>
                    </w:rPr>
                  </w:pPr>
                  <w:r>
                    <w:rPr>
                      <w:sz w:val="18"/>
                      <w:szCs w:val="18"/>
                    </w:rPr>
                    <w:t>序号</w:t>
                  </w:r>
                </w:p>
              </w:tc>
              <w:tc>
                <w:tcPr>
                  <w:tcW w:w="2666" w:type="pct"/>
                  <w:vAlign w:val="center"/>
                </w:tcPr>
                <w:p w14:paraId="03CE06AD">
                  <w:pPr>
                    <w:spacing w:line="280" w:lineRule="exact"/>
                    <w:jc w:val="center"/>
                    <w:rPr>
                      <w:sz w:val="18"/>
                      <w:szCs w:val="18"/>
                    </w:rPr>
                  </w:pPr>
                  <w:r>
                    <w:rPr>
                      <w:sz w:val="18"/>
                      <w:szCs w:val="18"/>
                    </w:rPr>
                    <w:t>相关要求</w:t>
                  </w:r>
                </w:p>
              </w:tc>
              <w:tc>
                <w:tcPr>
                  <w:tcW w:w="1992" w:type="pct"/>
                  <w:vAlign w:val="center"/>
                </w:tcPr>
                <w:p w14:paraId="67B0BAA9">
                  <w:pPr>
                    <w:spacing w:line="280" w:lineRule="exact"/>
                    <w:jc w:val="center"/>
                    <w:rPr>
                      <w:sz w:val="18"/>
                      <w:szCs w:val="18"/>
                    </w:rPr>
                  </w:pPr>
                  <w:r>
                    <w:rPr>
                      <w:sz w:val="18"/>
                      <w:szCs w:val="18"/>
                    </w:rPr>
                    <w:t>符合性</w:t>
                  </w:r>
                </w:p>
              </w:tc>
            </w:tr>
            <w:tr w14:paraId="09C6D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4A543C7A">
                  <w:pPr>
                    <w:spacing w:line="280" w:lineRule="exact"/>
                    <w:jc w:val="center"/>
                    <w:rPr>
                      <w:sz w:val="18"/>
                      <w:szCs w:val="18"/>
                    </w:rPr>
                  </w:pPr>
                  <w:r>
                    <w:rPr>
                      <w:sz w:val="18"/>
                      <w:szCs w:val="18"/>
                    </w:rPr>
                    <w:t>1</w:t>
                  </w:r>
                </w:p>
              </w:tc>
              <w:tc>
                <w:tcPr>
                  <w:tcW w:w="2666" w:type="pct"/>
                  <w:vAlign w:val="center"/>
                </w:tcPr>
                <w:p w14:paraId="15049FC2">
                  <w:pPr>
                    <w:spacing w:line="280" w:lineRule="exact"/>
                    <w:jc w:val="left"/>
                    <w:rPr>
                      <w:sz w:val="18"/>
                      <w:szCs w:val="18"/>
                    </w:rPr>
                  </w:pPr>
                  <w:r>
                    <w:rPr>
                      <w:sz w:val="18"/>
                      <w:szCs w:val="18"/>
                    </w:rPr>
                    <w:t>衔接大同市“十四五”生态环境保护规划要求，将环境承载能力作为确定工业基地发展定位和规模的基本依据。坚持保护优先、预防为主，坚持以资源、环境承载力为基础，突出绿色发展理念，控制基地建设规模和建设时序。</w:t>
                  </w:r>
                </w:p>
              </w:tc>
              <w:tc>
                <w:tcPr>
                  <w:tcW w:w="1992" w:type="pct"/>
                  <w:vAlign w:val="center"/>
                </w:tcPr>
                <w:p w14:paraId="7AA824DB">
                  <w:pPr>
                    <w:spacing w:line="280" w:lineRule="exact"/>
                    <w:jc w:val="left"/>
                    <w:rPr>
                      <w:sz w:val="18"/>
                      <w:szCs w:val="18"/>
                    </w:rPr>
                  </w:pPr>
                  <w:r>
                    <w:rPr>
                      <w:sz w:val="18"/>
                      <w:szCs w:val="18"/>
                    </w:rPr>
                    <w:t>本项目位于大同经济开发区起步区装备制造业基地，属于</w:t>
                  </w:r>
                  <w:r>
                    <w:rPr>
                      <w:rFonts w:hint="eastAsia"/>
                      <w:sz w:val="18"/>
                      <w:szCs w:val="18"/>
                    </w:rPr>
                    <w:t>木制</w:t>
                  </w:r>
                  <w:r>
                    <w:rPr>
                      <w:sz w:val="18"/>
                      <w:szCs w:val="18"/>
                    </w:rPr>
                    <w:t>品制造</w:t>
                  </w:r>
                  <w:r>
                    <w:rPr>
                      <w:rFonts w:hint="eastAsia"/>
                      <w:sz w:val="18"/>
                      <w:szCs w:val="18"/>
                      <w:lang w:val="en-US" w:eastAsia="zh-CN"/>
                    </w:rPr>
                    <w:t>类项目</w:t>
                  </w:r>
                  <w:r>
                    <w:rPr>
                      <w:sz w:val="18"/>
                      <w:szCs w:val="18"/>
                    </w:rPr>
                    <w:t>。项目产生的废气经过处理后达标排放；生活污水经处理达标后排入大同市御东污水处理厂；固体废物合理处置，对环境影响小，符合政策。</w:t>
                  </w:r>
                </w:p>
              </w:tc>
            </w:tr>
            <w:tr w14:paraId="76D8C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35D94156">
                  <w:pPr>
                    <w:spacing w:line="280" w:lineRule="exact"/>
                    <w:jc w:val="center"/>
                    <w:rPr>
                      <w:sz w:val="18"/>
                      <w:szCs w:val="18"/>
                    </w:rPr>
                  </w:pPr>
                  <w:r>
                    <w:rPr>
                      <w:sz w:val="18"/>
                      <w:szCs w:val="18"/>
                    </w:rPr>
                    <w:t>2</w:t>
                  </w:r>
                </w:p>
              </w:tc>
              <w:tc>
                <w:tcPr>
                  <w:tcW w:w="2666" w:type="pct"/>
                  <w:vAlign w:val="center"/>
                </w:tcPr>
                <w:p w14:paraId="20DF5629">
                  <w:pPr>
                    <w:spacing w:line="280" w:lineRule="exact"/>
                    <w:jc w:val="left"/>
                    <w:rPr>
                      <w:sz w:val="18"/>
                      <w:szCs w:val="18"/>
                    </w:rPr>
                  </w:pPr>
                  <w:r>
                    <w:rPr>
                      <w:sz w:val="18"/>
                      <w:szCs w:val="18"/>
                    </w:rPr>
                    <w:t>结合“三区三线”国土空间规划和“三线一单”生态环境分区管控要求，明确禁止开发范围，严格规划项目环境准入，入园(基地)项目污染物排放强度和资源能源利用效率等均需达到同行业国内先进水平，构建区域性、生态型、循环型产业体系，引导促进园区(基地)绿色、节能、低碳和高质量发展。</w:t>
                  </w:r>
                </w:p>
              </w:tc>
              <w:tc>
                <w:tcPr>
                  <w:tcW w:w="1992" w:type="pct"/>
                  <w:vAlign w:val="center"/>
                </w:tcPr>
                <w:p w14:paraId="24C1048C">
                  <w:pPr>
                    <w:pStyle w:val="23"/>
                    <w:spacing w:line="280" w:lineRule="exact"/>
                    <w:jc w:val="left"/>
                    <w:rPr>
                      <w:rFonts w:ascii="Times New Roman" w:hAnsi="Times New Roman"/>
                      <w:sz w:val="18"/>
                      <w:szCs w:val="18"/>
                    </w:rPr>
                  </w:pPr>
                  <w:r>
                    <w:rPr>
                      <w:rFonts w:ascii="Times New Roman" w:hAnsi="Times New Roman"/>
                      <w:sz w:val="18"/>
                      <w:szCs w:val="18"/>
                    </w:rPr>
                    <w:t>项目不在禁止开发范围内，产生的废气经过处理后达标排放；生活污水经处理达标后排入大同市御东污水处理厂；固体废物合理处置。项目资源能源主要为电和水，用电量和用水量少，资源能源利</w:t>
                  </w:r>
                  <w:r>
                    <w:rPr>
                      <w:rFonts w:hint="eastAsia" w:ascii="Times New Roman" w:hAnsi="Times New Roman"/>
                      <w:sz w:val="18"/>
                      <w:szCs w:val="18"/>
                      <w:lang w:eastAsia="zh-CN"/>
                    </w:rPr>
                    <w:t>用率</w:t>
                  </w:r>
                  <w:r>
                    <w:rPr>
                      <w:rFonts w:ascii="Times New Roman" w:hAnsi="Times New Roman"/>
                      <w:sz w:val="18"/>
                      <w:szCs w:val="18"/>
                    </w:rPr>
                    <w:t>高。</w:t>
                  </w:r>
                </w:p>
              </w:tc>
            </w:tr>
            <w:tr w14:paraId="62F18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5022C2ED">
                  <w:pPr>
                    <w:spacing w:line="280" w:lineRule="exact"/>
                    <w:jc w:val="center"/>
                    <w:rPr>
                      <w:sz w:val="18"/>
                      <w:szCs w:val="18"/>
                    </w:rPr>
                  </w:pPr>
                  <w:r>
                    <w:rPr>
                      <w:sz w:val="18"/>
                      <w:szCs w:val="18"/>
                    </w:rPr>
                    <w:t>3</w:t>
                  </w:r>
                </w:p>
              </w:tc>
              <w:tc>
                <w:tcPr>
                  <w:tcW w:w="2666" w:type="pct"/>
                  <w:vAlign w:val="center"/>
                </w:tcPr>
                <w:p w14:paraId="20665A71">
                  <w:pPr>
                    <w:spacing w:line="280" w:lineRule="exact"/>
                    <w:jc w:val="left"/>
                    <w:rPr>
                      <w:sz w:val="18"/>
                      <w:szCs w:val="18"/>
                    </w:rPr>
                  </w:pPr>
                  <w:r>
                    <w:rPr>
                      <w:sz w:val="18"/>
                      <w:szCs w:val="18"/>
                    </w:rPr>
                    <w:t>大同市是水资源严重匮乏区，基地应按照“分质供水、优水优用、一水多用以及水资源的梯级利用”原则，减少市政新鲜水用量，提高生产废水的循环利用率。基地工业和绿化用水要优先使用中水，减少废水排放。重点管控文瀛湖水环境安全，基地企业外排水不得进入文瀛湖污染水环境。</w:t>
                  </w:r>
                </w:p>
              </w:tc>
              <w:tc>
                <w:tcPr>
                  <w:tcW w:w="1992" w:type="pct"/>
                  <w:vAlign w:val="center"/>
                </w:tcPr>
                <w:p w14:paraId="6C4B9C87">
                  <w:pPr>
                    <w:spacing w:line="280" w:lineRule="exact"/>
                    <w:jc w:val="left"/>
                    <w:rPr>
                      <w:sz w:val="18"/>
                      <w:szCs w:val="18"/>
                    </w:rPr>
                  </w:pPr>
                  <w:r>
                    <w:rPr>
                      <w:sz w:val="18"/>
                      <w:szCs w:val="18"/>
                    </w:rPr>
                    <w:t>本项目用水主要为生活用水，</w:t>
                  </w:r>
                  <w:r>
                    <w:rPr>
                      <w:rFonts w:hint="eastAsia"/>
                      <w:sz w:val="18"/>
                      <w:szCs w:val="18"/>
                    </w:rPr>
                    <w:t>车间</w:t>
                  </w:r>
                  <w:r>
                    <w:rPr>
                      <w:sz w:val="18"/>
                      <w:szCs w:val="18"/>
                    </w:rPr>
                    <w:t>地面冲洗用水和水性漆稀释用水</w:t>
                  </w:r>
                  <w:r>
                    <w:rPr>
                      <w:rFonts w:hint="eastAsia"/>
                      <w:sz w:val="18"/>
                      <w:szCs w:val="18"/>
                      <w:lang w:val="en-US" w:eastAsia="zh-CN"/>
                    </w:rPr>
                    <w:t>等</w:t>
                  </w:r>
                  <w:r>
                    <w:rPr>
                      <w:sz w:val="18"/>
                      <w:szCs w:val="18"/>
                    </w:rPr>
                    <w:t>。生活污水和</w:t>
                  </w:r>
                  <w:r>
                    <w:rPr>
                      <w:rFonts w:hint="eastAsia"/>
                      <w:sz w:val="18"/>
                      <w:szCs w:val="18"/>
                    </w:rPr>
                    <w:t>车间</w:t>
                  </w:r>
                  <w:r>
                    <w:rPr>
                      <w:sz w:val="18"/>
                      <w:szCs w:val="18"/>
                    </w:rPr>
                    <w:t>地面冲洗废水经化粪池</w:t>
                  </w:r>
                  <w:r>
                    <w:rPr>
                      <w:rFonts w:hint="eastAsia"/>
                      <w:sz w:val="18"/>
                      <w:szCs w:val="18"/>
                    </w:rPr>
                    <w:t>沉淀</w:t>
                  </w:r>
                  <w:r>
                    <w:rPr>
                      <w:sz w:val="18"/>
                      <w:szCs w:val="18"/>
                    </w:rPr>
                    <w:t>后排入大同市御东污水处理厂。</w:t>
                  </w:r>
                </w:p>
              </w:tc>
            </w:tr>
            <w:tr w14:paraId="78CDE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4C660626">
                  <w:pPr>
                    <w:spacing w:line="280" w:lineRule="exact"/>
                    <w:jc w:val="center"/>
                    <w:rPr>
                      <w:sz w:val="18"/>
                      <w:szCs w:val="18"/>
                    </w:rPr>
                  </w:pPr>
                  <w:r>
                    <w:rPr>
                      <w:sz w:val="18"/>
                      <w:szCs w:val="18"/>
                    </w:rPr>
                    <w:t>4</w:t>
                  </w:r>
                </w:p>
              </w:tc>
              <w:tc>
                <w:tcPr>
                  <w:tcW w:w="2666" w:type="pct"/>
                  <w:vAlign w:val="center"/>
                </w:tcPr>
                <w:p w14:paraId="6FF10CFC">
                  <w:pPr>
                    <w:spacing w:line="280" w:lineRule="exact"/>
                    <w:jc w:val="left"/>
                    <w:rPr>
                      <w:sz w:val="18"/>
                      <w:szCs w:val="18"/>
                    </w:rPr>
                  </w:pPr>
                  <w:r>
                    <w:rPr>
                      <w:sz w:val="18"/>
                      <w:szCs w:val="18"/>
                    </w:rPr>
                    <w:t>强化大气污染治理，改善空气质量。严格落实区域污染物削减，持续改善区域大气环境质量。基地继续严格落实集中供热，完善供气设施，进一步优化基地能源结构，实现污染物总量控制。实行严格的污染物排放标准，推进现有项目污染治理提标改造。全面落实“双碳”目标，严格控制碳排放。</w:t>
                  </w:r>
                </w:p>
              </w:tc>
              <w:tc>
                <w:tcPr>
                  <w:tcW w:w="1992" w:type="pct"/>
                  <w:vAlign w:val="center"/>
                </w:tcPr>
                <w:p w14:paraId="0BBAD4EF">
                  <w:pPr>
                    <w:spacing w:line="280" w:lineRule="exact"/>
                    <w:jc w:val="both"/>
                    <w:rPr>
                      <w:sz w:val="18"/>
                      <w:szCs w:val="18"/>
                    </w:rPr>
                  </w:pPr>
                  <w:r>
                    <w:rPr>
                      <w:sz w:val="18"/>
                      <w:szCs w:val="18"/>
                    </w:rPr>
                    <w:t>本项目产生的颗粒物和有机废气（以非甲烷总烃计）经过处理后可达到</w:t>
                  </w:r>
                  <w:r>
                    <w:rPr>
                      <w:rFonts w:hint="eastAsia"/>
                      <w:sz w:val="18"/>
                      <w:szCs w:val="18"/>
                    </w:rPr>
                    <w:t>《大气污染物综合排放标准》（GB16297-1996）表2中二级标准限值要求、《山西省重点行业挥发性有机物（VOCs）2017年专项治理方案》（晋气防办【2017】32号）中表1工业涂装排放限值要求</w:t>
                  </w:r>
                  <w:r>
                    <w:rPr>
                      <w:sz w:val="18"/>
                      <w:szCs w:val="18"/>
                    </w:rPr>
                    <w:t>，符合政策。</w:t>
                  </w:r>
                </w:p>
              </w:tc>
            </w:tr>
            <w:tr w14:paraId="12485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6AD54889">
                  <w:pPr>
                    <w:spacing w:line="280" w:lineRule="exact"/>
                    <w:jc w:val="center"/>
                    <w:rPr>
                      <w:sz w:val="18"/>
                      <w:szCs w:val="18"/>
                    </w:rPr>
                  </w:pPr>
                  <w:r>
                    <w:rPr>
                      <w:sz w:val="18"/>
                      <w:szCs w:val="18"/>
                    </w:rPr>
                    <w:t>5</w:t>
                  </w:r>
                </w:p>
              </w:tc>
              <w:tc>
                <w:tcPr>
                  <w:tcW w:w="2666" w:type="pct"/>
                  <w:vAlign w:val="center"/>
                </w:tcPr>
                <w:p w14:paraId="64F73444">
                  <w:pPr>
                    <w:spacing w:line="280" w:lineRule="exact"/>
                    <w:jc w:val="left"/>
                    <w:rPr>
                      <w:sz w:val="18"/>
                      <w:szCs w:val="18"/>
                    </w:rPr>
                  </w:pPr>
                  <w:r>
                    <w:rPr>
                      <w:sz w:val="18"/>
                      <w:szCs w:val="18"/>
                    </w:rPr>
                    <w:t>严格控制基地的环境风险。建立环境风险防控体系，提高环境应急能力。设置满足要求的事故废水收集系统，防止泄漏物和消防废水等进入外环境。明确基地企业环境风险防范主体责任，定期开展环境风险应急演练。进一步加快完善基础设施建设，公用配套设施满足基地规划需求。</w:t>
                  </w:r>
                </w:p>
              </w:tc>
              <w:tc>
                <w:tcPr>
                  <w:tcW w:w="1992" w:type="pct"/>
                  <w:vAlign w:val="center"/>
                </w:tcPr>
                <w:p w14:paraId="65AB5AE8">
                  <w:pPr>
                    <w:spacing w:line="280" w:lineRule="exact"/>
                    <w:jc w:val="left"/>
                    <w:rPr>
                      <w:sz w:val="18"/>
                      <w:szCs w:val="18"/>
                    </w:rPr>
                  </w:pPr>
                  <w:r>
                    <w:rPr>
                      <w:sz w:val="18"/>
                      <w:szCs w:val="18"/>
                    </w:rPr>
                    <w:t>本项目设立风险防控体系，明确了基地企业环境风险防范主体责任，定期开展环境风险应急演练。</w:t>
                  </w:r>
                </w:p>
              </w:tc>
            </w:tr>
            <w:tr w14:paraId="323321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1012DA02">
                  <w:pPr>
                    <w:spacing w:line="280" w:lineRule="exact"/>
                    <w:jc w:val="center"/>
                    <w:rPr>
                      <w:sz w:val="18"/>
                      <w:szCs w:val="18"/>
                    </w:rPr>
                  </w:pPr>
                  <w:r>
                    <w:rPr>
                      <w:sz w:val="18"/>
                      <w:szCs w:val="18"/>
                    </w:rPr>
                    <w:t>6</w:t>
                  </w:r>
                </w:p>
              </w:tc>
              <w:tc>
                <w:tcPr>
                  <w:tcW w:w="2666" w:type="pct"/>
                  <w:vAlign w:val="center"/>
                </w:tcPr>
                <w:p w14:paraId="58777B34">
                  <w:pPr>
                    <w:spacing w:line="280" w:lineRule="exact"/>
                    <w:jc w:val="left"/>
                    <w:rPr>
                      <w:sz w:val="18"/>
                      <w:szCs w:val="18"/>
                    </w:rPr>
                  </w:pPr>
                  <w:r>
                    <w:rPr>
                      <w:sz w:val="18"/>
                      <w:szCs w:val="18"/>
                    </w:rPr>
                    <w:t>对未划入“三区三线”3.66km²范围内的企业在保持现状的条件下，区域内的企业通过提标升级改造必须满足生态环境要求，其污染物必须做到达标排放。</w:t>
                  </w:r>
                </w:p>
              </w:tc>
              <w:tc>
                <w:tcPr>
                  <w:tcW w:w="1992" w:type="pct"/>
                  <w:vAlign w:val="center"/>
                </w:tcPr>
                <w:p w14:paraId="07F70A04">
                  <w:pPr>
                    <w:spacing w:line="280" w:lineRule="exact"/>
                    <w:jc w:val="left"/>
                    <w:rPr>
                      <w:sz w:val="18"/>
                      <w:szCs w:val="18"/>
                    </w:rPr>
                  </w:pPr>
                  <w:r>
                    <w:rPr>
                      <w:sz w:val="18"/>
                      <w:szCs w:val="18"/>
                    </w:rPr>
                    <w:t>本项目在“三区三线”3.66km²范围内，符合政策。</w:t>
                  </w:r>
                </w:p>
              </w:tc>
            </w:tr>
            <w:tr w14:paraId="3C8EFD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6FC886B5">
                  <w:pPr>
                    <w:spacing w:line="280" w:lineRule="exact"/>
                    <w:jc w:val="center"/>
                    <w:rPr>
                      <w:sz w:val="18"/>
                      <w:szCs w:val="18"/>
                    </w:rPr>
                  </w:pPr>
                  <w:r>
                    <w:rPr>
                      <w:sz w:val="18"/>
                      <w:szCs w:val="18"/>
                    </w:rPr>
                    <w:t>7</w:t>
                  </w:r>
                </w:p>
              </w:tc>
              <w:tc>
                <w:tcPr>
                  <w:tcW w:w="2666" w:type="pct"/>
                  <w:vAlign w:val="center"/>
                </w:tcPr>
                <w:p w14:paraId="302DF3D7">
                  <w:pPr>
                    <w:spacing w:line="280" w:lineRule="exact"/>
                    <w:jc w:val="left"/>
                    <w:rPr>
                      <w:sz w:val="18"/>
                      <w:szCs w:val="18"/>
                    </w:rPr>
                  </w:pPr>
                  <w:r>
                    <w:rPr>
                      <w:sz w:val="18"/>
                      <w:szCs w:val="18"/>
                    </w:rPr>
                    <w:t>加快对基地产业规划的调整修编工作，对现有不符合产业定位及未划入“三区三线”的规划应进行优化调整，以满足本基地规划要求。根据基地的发展规划和产业定位，制定基地新的行业准入清单。</w:t>
                  </w:r>
                </w:p>
              </w:tc>
              <w:tc>
                <w:tcPr>
                  <w:tcW w:w="1992" w:type="pct"/>
                  <w:vAlign w:val="center"/>
                </w:tcPr>
                <w:p w14:paraId="391040D7">
                  <w:pPr>
                    <w:spacing w:line="280" w:lineRule="exact"/>
                    <w:jc w:val="left"/>
                    <w:rPr>
                      <w:sz w:val="18"/>
                      <w:szCs w:val="18"/>
                    </w:rPr>
                  </w:pPr>
                  <w:r>
                    <w:rPr>
                      <w:sz w:val="18"/>
                      <w:szCs w:val="18"/>
                    </w:rPr>
                    <w:t>本项目在“三区三线”3.66km²范围内，符合政策。</w:t>
                  </w:r>
                </w:p>
              </w:tc>
            </w:tr>
            <w:tr w14:paraId="22E09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55175F7E">
                  <w:pPr>
                    <w:spacing w:line="280" w:lineRule="exact"/>
                    <w:jc w:val="center"/>
                    <w:rPr>
                      <w:sz w:val="18"/>
                      <w:szCs w:val="18"/>
                    </w:rPr>
                  </w:pPr>
                  <w:r>
                    <w:rPr>
                      <w:sz w:val="18"/>
                      <w:szCs w:val="18"/>
                    </w:rPr>
                    <w:t>8</w:t>
                  </w:r>
                </w:p>
              </w:tc>
              <w:tc>
                <w:tcPr>
                  <w:tcW w:w="2666" w:type="pct"/>
                  <w:vAlign w:val="center"/>
                </w:tcPr>
                <w:p w14:paraId="40989FC5">
                  <w:pPr>
                    <w:spacing w:line="280" w:lineRule="exact"/>
                    <w:jc w:val="left"/>
                    <w:rPr>
                      <w:sz w:val="18"/>
                      <w:szCs w:val="18"/>
                    </w:rPr>
                  </w:pPr>
                  <w:r>
                    <w:rPr>
                      <w:sz w:val="18"/>
                      <w:szCs w:val="18"/>
                    </w:rPr>
                    <w:t>规划包含的建设项目开展环评时，应以本规划环评的结论及本审查意见作为其环评依据之一。</w:t>
                  </w:r>
                </w:p>
              </w:tc>
              <w:tc>
                <w:tcPr>
                  <w:tcW w:w="1992" w:type="pct"/>
                  <w:vAlign w:val="center"/>
                </w:tcPr>
                <w:p w14:paraId="2D89FA61">
                  <w:pPr>
                    <w:spacing w:line="280" w:lineRule="exact"/>
                    <w:jc w:val="left"/>
                    <w:rPr>
                      <w:sz w:val="18"/>
                      <w:szCs w:val="18"/>
                    </w:rPr>
                  </w:pPr>
                  <w:r>
                    <w:rPr>
                      <w:sz w:val="18"/>
                      <w:szCs w:val="18"/>
                    </w:rPr>
                    <w:t>本项目以本规划环评的结论及本审查意见作为其环评依据之一。</w:t>
                  </w:r>
                </w:p>
              </w:tc>
            </w:tr>
            <w:tr w14:paraId="6A6C47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745A1B8C">
                  <w:pPr>
                    <w:spacing w:line="280" w:lineRule="exact"/>
                    <w:jc w:val="center"/>
                    <w:rPr>
                      <w:sz w:val="18"/>
                      <w:szCs w:val="18"/>
                    </w:rPr>
                  </w:pPr>
                  <w:r>
                    <w:rPr>
                      <w:sz w:val="18"/>
                      <w:szCs w:val="18"/>
                    </w:rPr>
                    <w:t>9</w:t>
                  </w:r>
                </w:p>
              </w:tc>
              <w:tc>
                <w:tcPr>
                  <w:tcW w:w="2666" w:type="pct"/>
                  <w:vAlign w:val="center"/>
                </w:tcPr>
                <w:p w14:paraId="1B8977E6">
                  <w:pPr>
                    <w:spacing w:line="280" w:lineRule="exact"/>
                    <w:jc w:val="left"/>
                    <w:rPr>
                      <w:sz w:val="18"/>
                      <w:szCs w:val="18"/>
                    </w:rPr>
                  </w:pPr>
                  <w:r>
                    <w:rPr>
                      <w:sz w:val="18"/>
                      <w:szCs w:val="18"/>
                    </w:rPr>
                    <w:t>根据国务院“关于开展营商环境创新试点工作的意见”，在环境质量符合国家相关考核要求、环境管理体系较为健全的产业园区，对环境影响较小的项目环评，实行入园建设项目环评改革，推进规划环评与项目环评联动，避免重复评价。对符合规划产业定位的建设项目在开展环境影响评价时，环境质量现状监测和污染源调查、建设项目与上层规划及产业规划符合性分析等内容可以适当简化。</w:t>
                  </w:r>
                </w:p>
              </w:tc>
              <w:tc>
                <w:tcPr>
                  <w:tcW w:w="1992" w:type="pct"/>
                  <w:vAlign w:val="center"/>
                </w:tcPr>
                <w:p w14:paraId="26F3152E">
                  <w:pPr>
                    <w:spacing w:line="280" w:lineRule="exact"/>
                    <w:jc w:val="left"/>
                    <w:rPr>
                      <w:sz w:val="18"/>
                      <w:szCs w:val="18"/>
                    </w:rPr>
                  </w:pPr>
                  <w:r>
                    <w:rPr>
                      <w:sz w:val="18"/>
                      <w:szCs w:val="18"/>
                    </w:rPr>
                    <w:t>本项目符合规划的产业定位，符合政策。</w:t>
                  </w:r>
                </w:p>
              </w:tc>
            </w:tr>
            <w:tr w14:paraId="0F33C3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42" w:type="pct"/>
                  <w:vAlign w:val="center"/>
                </w:tcPr>
                <w:p w14:paraId="47B79B9A">
                  <w:pPr>
                    <w:spacing w:line="280" w:lineRule="exact"/>
                    <w:jc w:val="center"/>
                    <w:rPr>
                      <w:sz w:val="18"/>
                      <w:szCs w:val="18"/>
                    </w:rPr>
                  </w:pPr>
                  <w:r>
                    <w:rPr>
                      <w:sz w:val="18"/>
                      <w:szCs w:val="18"/>
                    </w:rPr>
                    <w:t>10</w:t>
                  </w:r>
                </w:p>
              </w:tc>
              <w:tc>
                <w:tcPr>
                  <w:tcW w:w="2666" w:type="pct"/>
                  <w:vAlign w:val="center"/>
                </w:tcPr>
                <w:p w14:paraId="70E383A3">
                  <w:pPr>
                    <w:spacing w:line="280" w:lineRule="exact"/>
                    <w:jc w:val="left"/>
                    <w:rPr>
                      <w:sz w:val="18"/>
                      <w:szCs w:val="18"/>
                    </w:rPr>
                  </w:pPr>
                  <w:r>
                    <w:rPr>
                      <w:sz w:val="18"/>
                      <w:szCs w:val="18"/>
                    </w:rPr>
                    <w:t>在规划实施过程中，如规划范围、面积、布局及主导产业等发生重大变动时应及时重新开展规划环评工作。每5年开展规划环境影响跟踪评价。</w:t>
                  </w:r>
                </w:p>
              </w:tc>
              <w:tc>
                <w:tcPr>
                  <w:tcW w:w="1992" w:type="pct"/>
                  <w:vAlign w:val="center"/>
                </w:tcPr>
                <w:p w14:paraId="32F0521F">
                  <w:pPr>
                    <w:spacing w:line="280" w:lineRule="exact"/>
                    <w:jc w:val="center"/>
                    <w:rPr>
                      <w:sz w:val="18"/>
                      <w:szCs w:val="18"/>
                    </w:rPr>
                  </w:pPr>
                  <w:r>
                    <w:rPr>
                      <w:sz w:val="18"/>
                      <w:szCs w:val="18"/>
                    </w:rPr>
                    <w:t>/</w:t>
                  </w:r>
                </w:p>
              </w:tc>
            </w:tr>
          </w:tbl>
          <w:p w14:paraId="5B5236FF">
            <w:pPr>
              <w:spacing w:line="360" w:lineRule="auto"/>
              <w:ind w:firstLine="420" w:firstLineChars="200"/>
              <w:rPr>
                <w:rFonts w:hint="eastAsia"/>
                <w:color w:val="auto"/>
                <w:kern w:val="0"/>
                <w:szCs w:val="21"/>
              </w:rPr>
            </w:pPr>
            <w:r>
              <w:rPr>
                <w:rFonts w:hint="eastAsia"/>
                <w:color w:val="auto"/>
                <w:szCs w:val="21"/>
                <w:lang w:val="en-US" w:eastAsia="zh-CN"/>
              </w:rPr>
              <w:t>综上分析可知，本项目的建设符合规划、规划环评以及规划环评审查意见的要求。</w:t>
            </w:r>
          </w:p>
        </w:tc>
      </w:tr>
      <w:tr w14:paraId="50D67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3BB77354">
            <w:pPr>
              <w:autoSpaceDE w:val="0"/>
              <w:autoSpaceDN w:val="0"/>
              <w:adjustRightInd w:val="0"/>
              <w:snapToGrid w:val="0"/>
              <w:jc w:val="center"/>
              <w:rPr>
                <w:color w:val="auto"/>
                <w:kern w:val="0"/>
                <w:szCs w:val="21"/>
              </w:rPr>
            </w:pPr>
            <w:r>
              <w:rPr>
                <w:rFonts w:hAnsi="宋体"/>
                <w:color w:val="auto"/>
                <w:kern w:val="0"/>
                <w:szCs w:val="21"/>
              </w:rPr>
              <w:t>其他符合性分析</w:t>
            </w:r>
          </w:p>
        </w:tc>
        <w:tc>
          <w:tcPr>
            <w:tcW w:w="6488" w:type="dxa"/>
            <w:gridSpan w:val="3"/>
            <w:vAlign w:val="center"/>
          </w:tcPr>
          <w:p w14:paraId="0575E9AB">
            <w:pPr>
              <w:pStyle w:val="79"/>
              <w:snapToGrid/>
              <w:ind w:firstLine="422"/>
              <w:rPr>
                <w:rFonts w:hint="eastAsia" w:ascii="Times New Roman" w:hAnsi="Times New Roman" w:cs="Times New Roman"/>
                <w:bCs/>
                <w:color w:val="auto"/>
                <w:szCs w:val="21"/>
                <w:lang w:val="en-US" w:eastAsia="zh-CN"/>
              </w:rPr>
            </w:pPr>
            <w:r>
              <w:rPr>
                <w:rFonts w:hint="eastAsia" w:ascii="Times New Roman" w:hAnsi="Times New Roman" w:cs="Times New Roman"/>
                <w:bCs/>
                <w:color w:val="auto"/>
                <w:szCs w:val="21"/>
                <w:lang w:val="en-US" w:eastAsia="zh-CN"/>
              </w:rPr>
              <w:t>1、与山西省生态管控动态成果相关要求符合性分析</w:t>
            </w:r>
          </w:p>
          <w:p w14:paraId="761DFABC">
            <w:pPr>
              <w:pStyle w:val="79"/>
              <w:snapToGrid/>
              <w:ind w:firstLine="422"/>
              <w:rPr>
                <w:rFonts w:hint="eastAsia" w:ascii="Times New Roman" w:hAnsi="Times New Roman" w:cs="Times New Roman"/>
                <w:b w:val="0"/>
                <w:bCs w:val="0"/>
                <w:color w:val="auto"/>
                <w:szCs w:val="21"/>
                <w:lang w:val="en-US" w:eastAsia="zh-CN"/>
              </w:rPr>
            </w:pPr>
            <w:r>
              <w:rPr>
                <w:rFonts w:hint="eastAsia" w:ascii="Times New Roman" w:hAnsi="Times New Roman" w:cs="Times New Roman"/>
                <w:b w:val="0"/>
                <w:bCs w:val="0"/>
                <w:color w:val="auto"/>
                <w:szCs w:val="21"/>
                <w:lang w:val="en-US" w:eastAsia="zh-CN"/>
              </w:rPr>
              <w:t>根据《大同市人民政府关于印发“三线一单”生态环境分区管控实施方案的通知》（同政发【2021】23号）及《大同市生态环境分区管控动态更新成果公告》，通过在山西省生态环境分区管控信息平台查询，本项目位于大同经济技术开发区装备制造园区地块大气环境高排放重点管控单元内，管控单元编码：ZH14021520004。</w:t>
            </w:r>
          </w:p>
          <w:p w14:paraId="62FAFA7D">
            <w:pPr>
              <w:pStyle w:val="79"/>
              <w:snapToGrid/>
              <w:ind w:left="0" w:leftChars="0" w:firstLine="0" w:firstLineChars="0"/>
              <w:jc w:val="center"/>
              <w:rPr>
                <w:rFonts w:hint="eastAsia" w:ascii="Times New Roman" w:hAnsi="Times New Roman" w:cs="Times New Roman"/>
                <w:b w:val="0"/>
                <w:bCs w:val="0"/>
                <w:color w:val="auto"/>
                <w:szCs w:val="21"/>
                <w:lang w:val="en-US" w:eastAsia="zh-CN"/>
              </w:rPr>
            </w:pPr>
            <w:r>
              <w:drawing>
                <wp:inline distT="0" distB="0" distL="114300" distR="114300">
                  <wp:extent cx="3762375" cy="3087370"/>
                  <wp:effectExtent l="0" t="0" r="9525" b="1778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6"/>
                          <a:stretch>
                            <a:fillRect/>
                          </a:stretch>
                        </pic:blipFill>
                        <pic:spPr>
                          <a:xfrm>
                            <a:off x="0" y="0"/>
                            <a:ext cx="3762375" cy="3087370"/>
                          </a:xfrm>
                          <a:prstGeom prst="rect">
                            <a:avLst/>
                          </a:prstGeom>
                          <a:noFill/>
                          <a:ln>
                            <a:noFill/>
                          </a:ln>
                        </pic:spPr>
                      </pic:pic>
                    </a:graphicData>
                  </a:graphic>
                </wp:inline>
              </w:drawing>
            </w:r>
          </w:p>
          <w:p w14:paraId="56046B81">
            <w:pPr>
              <w:pStyle w:val="138"/>
              <w:spacing w:line="240" w:lineRule="exact"/>
              <w:ind w:firstLine="0" w:firstLineChars="0"/>
              <w:jc w:val="center"/>
              <w:rPr>
                <w:b/>
                <w:bCs/>
                <w:color w:val="auto"/>
                <w:sz w:val="18"/>
                <w:szCs w:val="18"/>
              </w:rPr>
            </w:pPr>
            <w:r>
              <w:rPr>
                <w:b/>
                <w:bCs/>
                <w:color w:val="auto"/>
                <w:sz w:val="18"/>
                <w:szCs w:val="18"/>
              </w:rPr>
              <w:t>表1-</w:t>
            </w:r>
            <w:r>
              <w:rPr>
                <w:rFonts w:hint="eastAsia"/>
                <w:b/>
                <w:bCs/>
                <w:color w:val="auto"/>
                <w:sz w:val="18"/>
                <w:szCs w:val="18"/>
                <w:lang w:val="en-US" w:eastAsia="zh-CN"/>
              </w:rPr>
              <w:t>4</w:t>
            </w:r>
            <w:r>
              <w:rPr>
                <w:b/>
                <w:bCs/>
                <w:color w:val="auto"/>
                <w:sz w:val="18"/>
                <w:szCs w:val="18"/>
              </w:rPr>
              <w:t xml:space="preserve">  </w:t>
            </w:r>
            <w:r>
              <w:rPr>
                <w:rFonts w:hint="eastAsia"/>
                <w:b/>
                <w:bCs/>
                <w:color w:val="auto"/>
                <w:sz w:val="18"/>
                <w:szCs w:val="18"/>
                <w:lang w:val="en-US" w:eastAsia="zh-CN"/>
              </w:rPr>
              <w:t>本项目</w:t>
            </w:r>
            <w:r>
              <w:rPr>
                <w:b/>
                <w:bCs/>
                <w:color w:val="auto"/>
                <w:sz w:val="18"/>
                <w:szCs w:val="18"/>
              </w:rPr>
              <w:t>与</w:t>
            </w:r>
            <w:r>
              <w:rPr>
                <w:rFonts w:hint="eastAsia"/>
                <w:b/>
                <w:bCs/>
                <w:color w:val="auto"/>
                <w:sz w:val="18"/>
                <w:szCs w:val="18"/>
                <w:lang w:eastAsia="zh-CN"/>
              </w:rPr>
              <w:t>山西省</w:t>
            </w:r>
            <w:r>
              <w:rPr>
                <w:rFonts w:hint="eastAsia"/>
                <w:b/>
                <w:bCs/>
                <w:color w:val="auto"/>
                <w:sz w:val="18"/>
                <w:szCs w:val="18"/>
                <w:lang w:val="en-US" w:eastAsia="zh-CN"/>
              </w:rPr>
              <w:t>生态管控动态成果的</w:t>
            </w:r>
            <w:r>
              <w:rPr>
                <w:b/>
                <w:bCs/>
                <w:color w:val="auto"/>
                <w:sz w:val="18"/>
                <w:szCs w:val="18"/>
              </w:rPr>
              <w:t>符合性分析表</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47"/>
              <w:gridCol w:w="2811"/>
              <w:gridCol w:w="2547"/>
              <w:gridCol w:w="437"/>
            </w:tblGrid>
            <w:tr w14:paraId="248DBF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Align w:val="center"/>
                </w:tcPr>
                <w:p w14:paraId="0882D886">
                  <w:pPr>
                    <w:autoSpaceDE w:val="0"/>
                    <w:autoSpaceDN w:val="0"/>
                    <w:adjustRightInd w:val="0"/>
                    <w:snapToGrid w:val="0"/>
                    <w:jc w:val="center"/>
                    <w:rPr>
                      <w:rFonts w:hint="eastAsia"/>
                      <w:color w:val="auto"/>
                      <w:kern w:val="0"/>
                      <w:sz w:val="18"/>
                      <w:szCs w:val="18"/>
                      <w:lang w:eastAsia="zh-CN"/>
                    </w:rPr>
                  </w:pPr>
                  <w:r>
                    <w:rPr>
                      <w:rFonts w:hint="eastAsia"/>
                      <w:color w:val="auto"/>
                      <w:kern w:val="0"/>
                      <w:sz w:val="18"/>
                      <w:szCs w:val="18"/>
                      <w:lang w:eastAsia="zh-CN"/>
                    </w:rPr>
                    <w:t>管控</w:t>
                  </w:r>
                </w:p>
                <w:p w14:paraId="677B7C92">
                  <w:pPr>
                    <w:autoSpaceDE w:val="0"/>
                    <w:autoSpaceDN w:val="0"/>
                    <w:adjustRightInd w:val="0"/>
                    <w:snapToGrid w:val="0"/>
                    <w:jc w:val="center"/>
                    <w:rPr>
                      <w:color w:val="auto"/>
                      <w:kern w:val="0"/>
                      <w:sz w:val="18"/>
                      <w:szCs w:val="18"/>
                    </w:rPr>
                  </w:pPr>
                  <w:r>
                    <w:rPr>
                      <w:rFonts w:hint="eastAsia"/>
                      <w:color w:val="auto"/>
                      <w:kern w:val="0"/>
                      <w:sz w:val="18"/>
                      <w:szCs w:val="18"/>
                      <w:lang w:eastAsia="zh-CN"/>
                    </w:rPr>
                    <w:t>类别</w:t>
                  </w:r>
                </w:p>
              </w:tc>
              <w:tc>
                <w:tcPr>
                  <w:tcW w:w="2251" w:type="pct"/>
                  <w:vAlign w:val="center"/>
                </w:tcPr>
                <w:p w14:paraId="4AD955EC">
                  <w:pPr>
                    <w:autoSpaceDE w:val="0"/>
                    <w:autoSpaceDN w:val="0"/>
                    <w:adjustRightInd w:val="0"/>
                    <w:snapToGrid w:val="0"/>
                    <w:jc w:val="center"/>
                    <w:rPr>
                      <w:color w:val="auto"/>
                      <w:kern w:val="0"/>
                      <w:sz w:val="18"/>
                      <w:szCs w:val="18"/>
                    </w:rPr>
                  </w:pPr>
                  <w:r>
                    <w:rPr>
                      <w:color w:val="auto"/>
                      <w:kern w:val="0"/>
                      <w:sz w:val="18"/>
                      <w:szCs w:val="18"/>
                    </w:rPr>
                    <w:t>管控要求</w:t>
                  </w:r>
                </w:p>
              </w:tc>
              <w:tc>
                <w:tcPr>
                  <w:tcW w:w="2040" w:type="pct"/>
                  <w:tcBorders>
                    <w:right w:val="single" w:color="auto" w:sz="4" w:space="0"/>
                  </w:tcBorders>
                  <w:vAlign w:val="center"/>
                </w:tcPr>
                <w:p w14:paraId="73B8BF2A">
                  <w:pPr>
                    <w:autoSpaceDE w:val="0"/>
                    <w:autoSpaceDN w:val="0"/>
                    <w:adjustRightInd w:val="0"/>
                    <w:snapToGrid w:val="0"/>
                    <w:jc w:val="center"/>
                    <w:rPr>
                      <w:color w:val="auto"/>
                      <w:kern w:val="0"/>
                      <w:sz w:val="18"/>
                      <w:szCs w:val="18"/>
                    </w:rPr>
                  </w:pPr>
                  <w:r>
                    <w:rPr>
                      <w:color w:val="auto"/>
                      <w:kern w:val="0"/>
                      <w:sz w:val="18"/>
                      <w:szCs w:val="18"/>
                    </w:rPr>
                    <w:t>本项目情况</w:t>
                  </w:r>
                </w:p>
              </w:tc>
              <w:tc>
                <w:tcPr>
                  <w:tcW w:w="350" w:type="pct"/>
                  <w:tcBorders>
                    <w:left w:val="single" w:color="auto" w:sz="4" w:space="0"/>
                  </w:tcBorders>
                  <w:vAlign w:val="center"/>
                </w:tcPr>
                <w:p w14:paraId="105FDE52">
                  <w:pPr>
                    <w:autoSpaceDE w:val="0"/>
                    <w:autoSpaceDN w:val="0"/>
                    <w:adjustRightInd w:val="0"/>
                    <w:snapToGrid w:val="0"/>
                    <w:jc w:val="center"/>
                    <w:rPr>
                      <w:rFonts w:hint="eastAsia" w:eastAsia="宋体"/>
                      <w:color w:val="auto"/>
                      <w:kern w:val="0"/>
                      <w:sz w:val="18"/>
                      <w:szCs w:val="18"/>
                      <w:lang w:eastAsia="zh-CN"/>
                    </w:rPr>
                  </w:pPr>
                  <w:r>
                    <w:rPr>
                      <w:rFonts w:hint="eastAsia"/>
                      <w:color w:val="auto"/>
                      <w:kern w:val="0"/>
                      <w:sz w:val="18"/>
                      <w:szCs w:val="18"/>
                      <w:lang w:eastAsia="zh-CN"/>
                    </w:rPr>
                    <w:t>符合性分析</w:t>
                  </w:r>
                </w:p>
              </w:tc>
            </w:tr>
            <w:tr w14:paraId="02F89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restart"/>
                  <w:vAlign w:val="center"/>
                </w:tcPr>
                <w:p w14:paraId="57531D9A">
                  <w:pPr>
                    <w:autoSpaceDE w:val="0"/>
                    <w:autoSpaceDN w:val="0"/>
                    <w:adjustRightInd w:val="0"/>
                    <w:snapToGrid w:val="0"/>
                    <w:jc w:val="center"/>
                    <w:rPr>
                      <w:color w:val="auto"/>
                      <w:kern w:val="0"/>
                      <w:sz w:val="18"/>
                      <w:szCs w:val="18"/>
                    </w:rPr>
                  </w:pPr>
                  <w:r>
                    <w:rPr>
                      <w:color w:val="auto"/>
                      <w:sz w:val="18"/>
                      <w:szCs w:val="18"/>
                    </w:rPr>
                    <w:t>空间布局约束</w:t>
                  </w:r>
                </w:p>
              </w:tc>
              <w:tc>
                <w:tcPr>
                  <w:tcW w:w="2251" w:type="pct"/>
                  <w:vAlign w:val="center"/>
                </w:tcPr>
                <w:p w14:paraId="14EC6423">
                  <w:pPr>
                    <w:autoSpaceDE w:val="0"/>
                    <w:autoSpaceDN w:val="0"/>
                    <w:adjustRightInd w:val="0"/>
                    <w:snapToGrid w:val="0"/>
                    <w:rPr>
                      <w:color w:val="auto"/>
                      <w:kern w:val="0"/>
                      <w:sz w:val="18"/>
                      <w:szCs w:val="18"/>
                    </w:rPr>
                  </w:pPr>
                  <w:r>
                    <w:rPr>
                      <w:color w:val="auto"/>
                      <w:sz w:val="18"/>
                      <w:szCs w:val="18"/>
                    </w:rPr>
                    <w:t>1.</w:t>
                  </w:r>
                  <w:r>
                    <w:rPr>
                      <w:rFonts w:ascii="宋体" w:hAnsi="宋体" w:eastAsia="宋体" w:cs="宋体"/>
                      <w:b w:val="0"/>
                      <w:bCs w:val="0"/>
                      <w:color w:val="auto"/>
                      <w:sz w:val="18"/>
                      <w:szCs w:val="18"/>
                    </w:rPr>
                    <w:t>执行山西省</w:t>
                  </w:r>
                  <w:r>
                    <w:rPr>
                      <w:rFonts w:hint="eastAsia" w:ascii="宋体" w:hAnsi="宋体" w:cs="宋体"/>
                      <w:b w:val="0"/>
                      <w:bCs w:val="0"/>
                      <w:color w:val="auto"/>
                      <w:sz w:val="18"/>
                      <w:szCs w:val="18"/>
                      <w:lang w:val="en-US" w:eastAsia="zh-CN"/>
                    </w:rPr>
                    <w:t>、</w:t>
                  </w:r>
                  <w:r>
                    <w:rPr>
                      <w:rFonts w:ascii="宋体" w:hAnsi="宋体" w:eastAsia="宋体" w:cs="宋体"/>
                      <w:b w:val="0"/>
                      <w:bCs w:val="0"/>
                      <w:color w:val="auto"/>
                      <w:sz w:val="18"/>
                      <w:szCs w:val="18"/>
                    </w:rPr>
                    <w:t>大同市</w:t>
                  </w:r>
                  <w:r>
                    <w:rPr>
                      <w:rFonts w:hint="eastAsia" w:ascii="宋体" w:hAnsi="宋体" w:cs="宋体"/>
                      <w:b w:val="0"/>
                      <w:bCs w:val="0"/>
                      <w:color w:val="auto"/>
                      <w:sz w:val="18"/>
                      <w:szCs w:val="18"/>
                      <w:lang w:val="en-US" w:eastAsia="zh-CN"/>
                    </w:rPr>
                    <w:t>的</w:t>
                  </w:r>
                  <w:r>
                    <w:rPr>
                      <w:rFonts w:ascii="宋体" w:hAnsi="宋体" w:eastAsia="宋体" w:cs="宋体"/>
                      <w:b w:val="0"/>
                      <w:bCs w:val="0"/>
                      <w:color w:val="auto"/>
                      <w:sz w:val="18"/>
                      <w:szCs w:val="18"/>
                    </w:rPr>
                    <w:t>空间布局准入要求</w:t>
                  </w:r>
                  <w:r>
                    <w:rPr>
                      <w:rFonts w:hint="eastAsia" w:ascii="宋体" w:hAnsi="宋体" w:cs="宋体"/>
                      <w:b w:val="0"/>
                      <w:bCs w:val="0"/>
                      <w:color w:val="auto"/>
                      <w:sz w:val="18"/>
                      <w:szCs w:val="18"/>
                      <w:lang w:eastAsia="zh-CN"/>
                    </w:rPr>
                    <w:t>，</w:t>
                  </w:r>
                  <w:r>
                    <w:rPr>
                      <w:rFonts w:hint="eastAsia" w:ascii="宋体" w:hAnsi="宋体" w:cs="宋体"/>
                      <w:b w:val="0"/>
                      <w:bCs w:val="0"/>
                      <w:color w:val="auto"/>
                      <w:sz w:val="18"/>
                      <w:szCs w:val="18"/>
                      <w:lang w:val="en-US" w:eastAsia="zh-CN"/>
                    </w:rPr>
                    <w:t>入园企业需符合园区产业定位</w:t>
                  </w:r>
                  <w:r>
                    <w:rPr>
                      <w:color w:val="auto"/>
                      <w:sz w:val="18"/>
                      <w:szCs w:val="18"/>
                    </w:rPr>
                    <w:t>。</w:t>
                  </w:r>
                </w:p>
              </w:tc>
              <w:tc>
                <w:tcPr>
                  <w:tcW w:w="2040" w:type="pct"/>
                  <w:tcBorders>
                    <w:right w:val="single" w:color="auto" w:sz="4" w:space="0"/>
                  </w:tcBorders>
                  <w:vAlign w:val="center"/>
                </w:tcPr>
                <w:p w14:paraId="5FB6CA37">
                  <w:pPr>
                    <w:autoSpaceDE w:val="0"/>
                    <w:autoSpaceDN w:val="0"/>
                    <w:adjustRightInd w:val="0"/>
                    <w:snapToGrid w:val="0"/>
                    <w:jc w:val="center"/>
                    <w:rPr>
                      <w:rFonts w:hint="default" w:eastAsia="宋体"/>
                      <w:color w:val="auto"/>
                      <w:kern w:val="0"/>
                      <w:sz w:val="18"/>
                      <w:szCs w:val="18"/>
                      <w:lang w:val="en-US" w:eastAsia="zh-CN"/>
                    </w:rPr>
                  </w:pPr>
                  <w:r>
                    <w:rPr>
                      <w:rFonts w:ascii="宋体" w:hAnsi="宋体" w:eastAsia="宋体" w:cs="宋体"/>
                      <w:b w:val="0"/>
                      <w:bCs w:val="0"/>
                      <w:color w:val="auto"/>
                      <w:sz w:val="18"/>
                      <w:szCs w:val="18"/>
                    </w:rPr>
                    <w:t>本项目的建设严格按照山西省</w:t>
                  </w:r>
                  <w:r>
                    <w:rPr>
                      <w:rFonts w:hint="eastAsia" w:ascii="宋体" w:hAnsi="宋体" w:cs="宋体"/>
                      <w:b w:val="0"/>
                      <w:bCs w:val="0"/>
                      <w:color w:val="auto"/>
                      <w:sz w:val="18"/>
                      <w:szCs w:val="18"/>
                      <w:lang w:val="en-US" w:eastAsia="zh-CN"/>
                    </w:rPr>
                    <w:t>、</w:t>
                  </w:r>
                  <w:r>
                    <w:rPr>
                      <w:rFonts w:ascii="宋体" w:hAnsi="宋体" w:eastAsia="宋体" w:cs="宋体"/>
                      <w:b w:val="0"/>
                      <w:bCs w:val="0"/>
                      <w:color w:val="auto"/>
                      <w:sz w:val="18"/>
                      <w:szCs w:val="18"/>
                    </w:rPr>
                    <w:t>大同市空间布局的准入要求</w:t>
                  </w:r>
                  <w:r>
                    <w:rPr>
                      <w:rFonts w:hint="eastAsia" w:ascii="宋体" w:hAnsi="宋体" w:cs="宋体"/>
                      <w:b w:val="0"/>
                      <w:bCs w:val="0"/>
                      <w:color w:val="auto"/>
                      <w:sz w:val="18"/>
                      <w:szCs w:val="18"/>
                      <w:lang w:eastAsia="zh-CN"/>
                    </w:rPr>
                    <w:t>，</w:t>
                  </w:r>
                  <w:r>
                    <w:rPr>
                      <w:rFonts w:hint="eastAsia" w:ascii="宋体" w:hAnsi="宋体" w:cs="宋体"/>
                      <w:b w:val="0"/>
                      <w:bCs w:val="0"/>
                      <w:color w:val="auto"/>
                      <w:sz w:val="18"/>
                      <w:szCs w:val="18"/>
                      <w:lang w:val="en-US" w:eastAsia="zh-CN"/>
                    </w:rPr>
                    <w:t>已取得大同经济技术开发区行政审批服务管理局备案文件，符合园区产业定位。</w:t>
                  </w:r>
                </w:p>
              </w:tc>
              <w:tc>
                <w:tcPr>
                  <w:tcW w:w="350" w:type="pct"/>
                  <w:tcBorders>
                    <w:left w:val="single" w:color="auto" w:sz="4" w:space="0"/>
                  </w:tcBorders>
                  <w:vAlign w:val="center"/>
                </w:tcPr>
                <w:p w14:paraId="31010470">
                  <w:pPr>
                    <w:autoSpaceDE w:val="0"/>
                    <w:autoSpaceDN w:val="0"/>
                    <w:adjustRightInd w:val="0"/>
                    <w:snapToGrid w:val="0"/>
                    <w:jc w:val="center"/>
                    <w:rPr>
                      <w:rFonts w:hint="eastAsia" w:ascii="宋体" w:hAnsi="宋体" w:eastAsia="宋体" w:cs="宋体"/>
                      <w:b w:val="0"/>
                      <w:bCs w:val="0"/>
                      <w:color w:val="auto"/>
                      <w:sz w:val="18"/>
                      <w:szCs w:val="18"/>
                      <w:lang w:eastAsia="zh-CN"/>
                    </w:rPr>
                  </w:pPr>
                  <w:r>
                    <w:rPr>
                      <w:rFonts w:hint="eastAsia" w:ascii="宋体" w:hAnsi="宋体" w:eastAsia="宋体" w:cs="宋体"/>
                      <w:b w:val="0"/>
                      <w:bCs w:val="0"/>
                      <w:color w:val="auto"/>
                      <w:sz w:val="18"/>
                      <w:szCs w:val="18"/>
                      <w:lang w:eastAsia="zh-CN"/>
                    </w:rPr>
                    <w:t>符合</w:t>
                  </w:r>
                </w:p>
              </w:tc>
            </w:tr>
            <w:tr w14:paraId="19FAB9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762AE441">
                  <w:pPr>
                    <w:autoSpaceDE w:val="0"/>
                    <w:autoSpaceDN w:val="0"/>
                    <w:adjustRightInd w:val="0"/>
                    <w:snapToGrid w:val="0"/>
                    <w:jc w:val="center"/>
                    <w:rPr>
                      <w:color w:val="auto"/>
                      <w:sz w:val="18"/>
                      <w:szCs w:val="18"/>
                    </w:rPr>
                  </w:pPr>
                </w:p>
              </w:tc>
              <w:tc>
                <w:tcPr>
                  <w:tcW w:w="2251" w:type="pct"/>
                  <w:vAlign w:val="center"/>
                </w:tcPr>
                <w:p w14:paraId="0DB88FBC">
                  <w:pPr>
                    <w:autoSpaceDE w:val="0"/>
                    <w:autoSpaceDN w:val="0"/>
                    <w:adjustRightInd w:val="0"/>
                    <w:snapToGrid w:val="0"/>
                    <w:rPr>
                      <w:color w:val="auto"/>
                      <w:kern w:val="0"/>
                      <w:sz w:val="18"/>
                      <w:szCs w:val="18"/>
                    </w:rPr>
                  </w:pPr>
                  <w:r>
                    <w:rPr>
                      <w:color w:val="auto"/>
                      <w:kern w:val="0"/>
                      <w:sz w:val="18"/>
                      <w:szCs w:val="18"/>
                    </w:rPr>
                    <w:t>2.</w:t>
                  </w:r>
                  <w:r>
                    <w:rPr>
                      <w:rFonts w:hint="eastAsia" w:ascii="宋体" w:hAnsi="宋体" w:cs="宋体"/>
                      <w:b w:val="0"/>
                      <w:bCs w:val="0"/>
                      <w:color w:val="auto"/>
                      <w:sz w:val="18"/>
                      <w:szCs w:val="18"/>
                      <w:lang w:val="en-US" w:eastAsia="zh-CN"/>
                    </w:rPr>
                    <w:t>结合“三区三线”国土空间规划和“三线一单”生态环境分区管控要求，明确禁止开发范围，严格规划项目环境准入入园（基地）项目污染物排放强度和资源能源利用效率等均需达到同行业国内先进水平</w:t>
                  </w:r>
                  <w:r>
                    <w:rPr>
                      <w:color w:val="auto"/>
                      <w:sz w:val="18"/>
                      <w:szCs w:val="18"/>
                    </w:rPr>
                    <w:t>。</w:t>
                  </w:r>
                </w:p>
              </w:tc>
              <w:tc>
                <w:tcPr>
                  <w:tcW w:w="2040" w:type="pct"/>
                  <w:tcBorders>
                    <w:right w:val="single" w:color="auto" w:sz="4" w:space="0"/>
                  </w:tcBorders>
                  <w:vAlign w:val="center"/>
                </w:tcPr>
                <w:p w14:paraId="2A7170FB">
                  <w:pPr>
                    <w:autoSpaceDE w:val="0"/>
                    <w:autoSpaceDN w:val="0"/>
                    <w:adjustRightInd w:val="0"/>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本项目占地位于大同经济技术开发区起步区控制性详细规划(装备制造业基地)范围内，且在园区中“</w:t>
                  </w:r>
                  <w:r>
                    <w:rPr>
                      <w:sz w:val="18"/>
                      <w:szCs w:val="18"/>
                    </w:rPr>
                    <w:t>三区三线”3.66km²范围内</w:t>
                  </w:r>
                  <w:r>
                    <w:rPr>
                      <w:rFonts w:hint="eastAsia"/>
                      <w:sz w:val="18"/>
                      <w:szCs w:val="18"/>
                      <w:lang w:eastAsia="zh-CN"/>
                    </w:rPr>
                    <w:t>，</w:t>
                  </w:r>
                  <w:r>
                    <w:rPr>
                      <w:rFonts w:hint="eastAsia"/>
                      <w:sz w:val="18"/>
                      <w:szCs w:val="18"/>
                      <w:lang w:val="en-US" w:eastAsia="zh-CN"/>
                    </w:rPr>
                    <w:t>污染物排放强度较低，资源能力利用效率属于国内同行业先进水平。</w:t>
                  </w:r>
                </w:p>
              </w:tc>
              <w:tc>
                <w:tcPr>
                  <w:tcW w:w="350" w:type="pct"/>
                  <w:tcBorders>
                    <w:left w:val="single" w:color="auto" w:sz="4" w:space="0"/>
                  </w:tcBorders>
                  <w:vAlign w:val="center"/>
                </w:tcPr>
                <w:p w14:paraId="143D6E91">
                  <w:pPr>
                    <w:autoSpaceDE w:val="0"/>
                    <w:autoSpaceDN w:val="0"/>
                    <w:adjustRightInd w:val="0"/>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符合</w:t>
                  </w:r>
                </w:p>
              </w:tc>
            </w:tr>
            <w:tr w14:paraId="33C71B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58" w:type="pct"/>
                  <w:vMerge w:val="continue"/>
                  <w:vAlign w:val="center"/>
                </w:tcPr>
                <w:p w14:paraId="29BD1A98">
                  <w:pPr>
                    <w:autoSpaceDE w:val="0"/>
                    <w:autoSpaceDN w:val="0"/>
                    <w:adjustRightInd w:val="0"/>
                    <w:snapToGrid w:val="0"/>
                    <w:jc w:val="center"/>
                    <w:rPr>
                      <w:color w:val="auto"/>
                      <w:sz w:val="18"/>
                      <w:szCs w:val="18"/>
                    </w:rPr>
                  </w:pPr>
                </w:p>
              </w:tc>
              <w:tc>
                <w:tcPr>
                  <w:tcW w:w="2251" w:type="pct"/>
                  <w:vAlign w:val="center"/>
                </w:tcPr>
                <w:p w14:paraId="19E61224">
                  <w:pPr>
                    <w:autoSpaceDE w:val="0"/>
                    <w:autoSpaceDN w:val="0"/>
                    <w:adjustRightInd w:val="0"/>
                    <w:snapToGrid w:val="0"/>
                    <w:rPr>
                      <w:rFonts w:hint="default" w:eastAsia="宋体"/>
                      <w:color w:val="auto"/>
                      <w:kern w:val="0"/>
                      <w:sz w:val="18"/>
                      <w:szCs w:val="18"/>
                      <w:lang w:val="en-US" w:eastAsia="zh-CN"/>
                    </w:rPr>
                  </w:pPr>
                  <w:r>
                    <w:rPr>
                      <w:rFonts w:hint="eastAsia"/>
                      <w:color w:val="auto"/>
                      <w:kern w:val="0"/>
                      <w:sz w:val="18"/>
                      <w:szCs w:val="18"/>
                      <w:lang w:val="en-US" w:eastAsia="zh-CN"/>
                    </w:rPr>
                    <w:t>3.园区入驻企业环境防护距离内不得有桑干河自然保护区等环境敏感目标。</w:t>
                  </w:r>
                </w:p>
              </w:tc>
              <w:tc>
                <w:tcPr>
                  <w:tcW w:w="2040" w:type="pct"/>
                  <w:tcBorders>
                    <w:right w:val="single" w:color="auto" w:sz="4" w:space="0"/>
                  </w:tcBorders>
                  <w:vAlign w:val="center"/>
                </w:tcPr>
                <w:p w14:paraId="68D78791">
                  <w:pPr>
                    <w:autoSpaceDE w:val="0"/>
                    <w:autoSpaceDN w:val="0"/>
                    <w:adjustRightInd w:val="0"/>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经分析，本项目不设置环境防护距离，不涉及桑干河自然保护区等环境敏感目标。</w:t>
                  </w:r>
                </w:p>
              </w:tc>
              <w:tc>
                <w:tcPr>
                  <w:tcW w:w="350" w:type="pct"/>
                  <w:tcBorders>
                    <w:left w:val="single" w:color="auto" w:sz="4" w:space="0"/>
                  </w:tcBorders>
                  <w:vAlign w:val="center"/>
                </w:tcPr>
                <w:p w14:paraId="28D3042F">
                  <w:pPr>
                    <w:autoSpaceDE w:val="0"/>
                    <w:autoSpaceDN w:val="0"/>
                    <w:adjustRightInd w:val="0"/>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不涉及</w:t>
                  </w:r>
                </w:p>
              </w:tc>
            </w:tr>
            <w:tr w14:paraId="33D0EB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restart"/>
                  <w:vAlign w:val="center"/>
                </w:tcPr>
                <w:p w14:paraId="0C4BBA38">
                  <w:pPr>
                    <w:autoSpaceDE w:val="0"/>
                    <w:autoSpaceDN w:val="0"/>
                    <w:adjustRightInd w:val="0"/>
                    <w:snapToGrid w:val="0"/>
                    <w:jc w:val="center"/>
                    <w:rPr>
                      <w:color w:val="auto"/>
                      <w:sz w:val="18"/>
                      <w:szCs w:val="18"/>
                    </w:rPr>
                  </w:pPr>
                  <w:r>
                    <w:rPr>
                      <w:color w:val="auto"/>
                      <w:sz w:val="18"/>
                      <w:szCs w:val="18"/>
                    </w:rPr>
                    <w:t>污染物排放管控</w:t>
                  </w:r>
                </w:p>
              </w:tc>
              <w:tc>
                <w:tcPr>
                  <w:tcW w:w="2251" w:type="pct"/>
                  <w:vAlign w:val="center"/>
                </w:tcPr>
                <w:p w14:paraId="08850FE1">
                  <w:pPr>
                    <w:autoSpaceDE w:val="0"/>
                    <w:autoSpaceDN w:val="0"/>
                    <w:adjustRightInd w:val="0"/>
                    <w:snapToGrid w:val="0"/>
                    <w:rPr>
                      <w:color w:val="auto"/>
                      <w:kern w:val="0"/>
                      <w:sz w:val="18"/>
                      <w:szCs w:val="18"/>
                    </w:rPr>
                  </w:pPr>
                  <w:r>
                    <w:rPr>
                      <w:rFonts w:ascii="TimesNewRomanPSMT" w:hAnsi="TimesNewRomanPSMT" w:eastAsia="TimesNewRomanPSMT" w:cs="TimesNewRomanPSMT"/>
                      <w:b w:val="0"/>
                      <w:bCs w:val="0"/>
                      <w:color w:val="auto"/>
                      <w:sz w:val="18"/>
                      <w:szCs w:val="18"/>
                    </w:rPr>
                    <w:t>1.</w:t>
                  </w:r>
                  <w:r>
                    <w:rPr>
                      <w:rFonts w:ascii="宋体" w:hAnsi="宋体" w:eastAsia="宋体" w:cs="宋体"/>
                      <w:b w:val="0"/>
                      <w:bCs w:val="0"/>
                      <w:color w:val="auto"/>
                      <w:sz w:val="18"/>
                      <w:szCs w:val="18"/>
                    </w:rPr>
                    <w:t>执行山西省</w:t>
                  </w:r>
                  <w:r>
                    <w:rPr>
                      <w:rFonts w:hint="eastAsia" w:ascii="宋体" w:hAnsi="宋体" w:cs="宋体"/>
                      <w:b w:val="0"/>
                      <w:bCs w:val="0"/>
                      <w:color w:val="auto"/>
                      <w:sz w:val="18"/>
                      <w:szCs w:val="18"/>
                      <w:lang w:eastAsia="zh-CN"/>
                    </w:rPr>
                    <w:t>、</w:t>
                  </w:r>
                  <w:r>
                    <w:rPr>
                      <w:rFonts w:ascii="宋体" w:hAnsi="宋体" w:eastAsia="宋体" w:cs="宋体"/>
                      <w:b w:val="0"/>
                      <w:bCs w:val="0"/>
                      <w:color w:val="auto"/>
                      <w:sz w:val="18"/>
                      <w:szCs w:val="18"/>
                    </w:rPr>
                    <w:t>大同市的污染物排放控制要求。</w:t>
                  </w:r>
                </w:p>
              </w:tc>
              <w:tc>
                <w:tcPr>
                  <w:tcW w:w="2040" w:type="pct"/>
                  <w:tcBorders>
                    <w:right w:val="single" w:color="auto" w:sz="4" w:space="0"/>
                  </w:tcBorders>
                  <w:vAlign w:val="center"/>
                </w:tcPr>
                <w:p w14:paraId="30B8ECF1">
                  <w:pPr>
                    <w:autoSpaceDE w:val="0"/>
                    <w:autoSpaceDN w:val="0"/>
                    <w:adjustRightInd w:val="0"/>
                    <w:snapToGrid w:val="0"/>
                    <w:jc w:val="center"/>
                    <w:rPr>
                      <w:rFonts w:hint="default"/>
                      <w:color w:val="auto"/>
                      <w:kern w:val="0"/>
                      <w:sz w:val="18"/>
                      <w:szCs w:val="18"/>
                      <w:lang w:val="en-US" w:eastAsia="zh-CN"/>
                    </w:rPr>
                  </w:pPr>
                  <w:r>
                    <w:rPr>
                      <w:rFonts w:hint="eastAsia"/>
                      <w:color w:val="auto"/>
                      <w:kern w:val="0"/>
                      <w:sz w:val="18"/>
                      <w:szCs w:val="18"/>
                      <w:lang w:val="en-US" w:eastAsia="zh-CN"/>
                    </w:rPr>
                    <w:t>本项目产生的颗粒物和有机废气（以非甲烷总烃计）经过处理后可达到《大气污染物综合排放标准》（GB16297-1996）表2中二级标准限值要求、《山西省重点行业挥发性有机物（VOCs）2017年专项治理方案》（晋气防办【2017】32号）中表1工业涂装排放限值要求；废水经化粪池沉淀后进入园区市政污水管网系统，最终进入大同市御东污水处理厂，执行《污水排入城镇下水道水质标准》（GB/T 31962-2015）中A级标准要求；噪声排放执行《工业企业厂界环境噪声排放标准》（GB12348-2008）中2类标准要求；危险废物执行《危险废物；存污染控制标准》（GB18597-2023）中相关要求。</w:t>
                  </w:r>
                </w:p>
              </w:tc>
              <w:tc>
                <w:tcPr>
                  <w:tcW w:w="350" w:type="pct"/>
                  <w:tcBorders>
                    <w:left w:val="single" w:color="auto" w:sz="4" w:space="0"/>
                  </w:tcBorders>
                  <w:vAlign w:val="center"/>
                </w:tcPr>
                <w:p w14:paraId="242FBFBB">
                  <w:pPr>
                    <w:autoSpaceDE w:val="0"/>
                    <w:autoSpaceDN w:val="0"/>
                    <w:adjustRightInd w:val="0"/>
                    <w:snapToGrid w:val="0"/>
                    <w:jc w:val="center"/>
                    <w:rPr>
                      <w:rFonts w:hint="eastAsia"/>
                      <w:color w:val="auto"/>
                      <w:kern w:val="0"/>
                      <w:sz w:val="18"/>
                      <w:szCs w:val="18"/>
                      <w:lang w:eastAsia="zh-CN"/>
                    </w:rPr>
                  </w:pPr>
                  <w:r>
                    <w:rPr>
                      <w:rFonts w:hint="eastAsia" w:ascii="宋体" w:hAnsi="宋体" w:eastAsia="宋体" w:cs="宋体"/>
                      <w:b w:val="0"/>
                      <w:bCs w:val="0"/>
                      <w:color w:val="auto"/>
                      <w:sz w:val="18"/>
                      <w:szCs w:val="18"/>
                      <w:lang w:eastAsia="zh-CN"/>
                    </w:rPr>
                    <w:t>符合</w:t>
                  </w:r>
                </w:p>
              </w:tc>
            </w:tr>
            <w:tr w14:paraId="5AAF50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5FCE5667">
                  <w:pPr>
                    <w:autoSpaceDE w:val="0"/>
                    <w:autoSpaceDN w:val="0"/>
                    <w:adjustRightInd w:val="0"/>
                    <w:snapToGrid w:val="0"/>
                    <w:jc w:val="center"/>
                    <w:rPr>
                      <w:color w:val="auto"/>
                      <w:sz w:val="18"/>
                      <w:szCs w:val="18"/>
                    </w:rPr>
                  </w:pPr>
                </w:p>
              </w:tc>
              <w:tc>
                <w:tcPr>
                  <w:tcW w:w="2251" w:type="pct"/>
                  <w:vAlign w:val="center"/>
                </w:tcPr>
                <w:p w14:paraId="6BEB0681">
                  <w:pPr>
                    <w:autoSpaceDE w:val="0"/>
                    <w:autoSpaceDN w:val="0"/>
                    <w:adjustRightInd w:val="0"/>
                    <w:snapToGrid w:val="0"/>
                    <w:rPr>
                      <w:rFonts w:hint="default"/>
                      <w:color w:val="auto"/>
                      <w:kern w:val="0"/>
                      <w:sz w:val="18"/>
                      <w:szCs w:val="18"/>
                      <w:lang w:val="en-US" w:eastAsia="zh-CN"/>
                    </w:rPr>
                  </w:pPr>
                  <w:r>
                    <w:rPr>
                      <w:rFonts w:hint="eastAsia"/>
                      <w:color w:val="auto"/>
                      <w:kern w:val="0"/>
                      <w:sz w:val="18"/>
                      <w:szCs w:val="18"/>
                      <w:lang w:val="en-US" w:eastAsia="zh-CN"/>
                    </w:rPr>
                    <w:t xml:space="preserve">2.规划新增项目执行现役源等量替代。 </w:t>
                  </w:r>
                </w:p>
              </w:tc>
              <w:tc>
                <w:tcPr>
                  <w:tcW w:w="2040" w:type="pct"/>
                  <w:tcBorders>
                    <w:right w:val="single" w:color="auto" w:sz="4" w:space="0"/>
                  </w:tcBorders>
                  <w:vAlign w:val="center"/>
                </w:tcPr>
                <w:p w14:paraId="1F24D47E">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不涉及</w:t>
                  </w:r>
                </w:p>
              </w:tc>
              <w:tc>
                <w:tcPr>
                  <w:tcW w:w="350" w:type="pct"/>
                  <w:tcBorders>
                    <w:left w:val="single" w:color="auto" w:sz="4" w:space="0"/>
                  </w:tcBorders>
                  <w:vAlign w:val="center"/>
                </w:tcPr>
                <w:p w14:paraId="47DD3E65">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w:t>
                  </w:r>
                </w:p>
              </w:tc>
            </w:tr>
            <w:tr w14:paraId="16879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6204F5F9">
                  <w:pPr>
                    <w:autoSpaceDE w:val="0"/>
                    <w:autoSpaceDN w:val="0"/>
                    <w:adjustRightInd w:val="0"/>
                    <w:snapToGrid w:val="0"/>
                    <w:jc w:val="center"/>
                    <w:rPr>
                      <w:color w:val="auto"/>
                      <w:sz w:val="18"/>
                      <w:szCs w:val="18"/>
                    </w:rPr>
                  </w:pPr>
                </w:p>
              </w:tc>
              <w:tc>
                <w:tcPr>
                  <w:tcW w:w="2251" w:type="pct"/>
                  <w:vAlign w:val="center"/>
                </w:tcPr>
                <w:p w14:paraId="3652CA15">
                  <w:pPr>
                    <w:autoSpaceDE w:val="0"/>
                    <w:autoSpaceDN w:val="0"/>
                    <w:adjustRightInd w:val="0"/>
                    <w:snapToGrid w:val="0"/>
                    <w:rPr>
                      <w:color w:val="auto"/>
                      <w:kern w:val="0"/>
                      <w:sz w:val="18"/>
                      <w:szCs w:val="18"/>
                    </w:rPr>
                  </w:pPr>
                  <w:r>
                    <w:rPr>
                      <w:rFonts w:hint="eastAsia"/>
                      <w:color w:val="auto"/>
                      <w:kern w:val="0"/>
                      <w:sz w:val="18"/>
                      <w:szCs w:val="18"/>
                      <w:lang w:val="en-US" w:eastAsia="zh-CN"/>
                    </w:rPr>
                    <w:t xml:space="preserve">3.开发区范围内禁止新建燃煤或其他高污染燃料供热锅炉或项目。 </w:t>
                  </w:r>
                </w:p>
              </w:tc>
              <w:tc>
                <w:tcPr>
                  <w:tcW w:w="2040" w:type="pct"/>
                  <w:tcBorders>
                    <w:right w:val="single" w:color="auto" w:sz="4" w:space="0"/>
                  </w:tcBorders>
                  <w:vAlign w:val="center"/>
                </w:tcPr>
                <w:p w14:paraId="4EEADC19">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本项目运营期未新建燃煤或其他高污染燃料供热锅炉等设施。</w:t>
                  </w:r>
                </w:p>
              </w:tc>
              <w:tc>
                <w:tcPr>
                  <w:tcW w:w="350" w:type="pct"/>
                  <w:tcBorders>
                    <w:left w:val="single" w:color="auto" w:sz="4" w:space="0"/>
                  </w:tcBorders>
                  <w:vAlign w:val="center"/>
                </w:tcPr>
                <w:p w14:paraId="07D766BC">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08059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3728085D">
                  <w:pPr>
                    <w:autoSpaceDE w:val="0"/>
                    <w:autoSpaceDN w:val="0"/>
                    <w:adjustRightInd w:val="0"/>
                    <w:snapToGrid w:val="0"/>
                    <w:jc w:val="center"/>
                    <w:rPr>
                      <w:color w:val="auto"/>
                      <w:sz w:val="18"/>
                      <w:szCs w:val="18"/>
                    </w:rPr>
                  </w:pPr>
                </w:p>
              </w:tc>
              <w:tc>
                <w:tcPr>
                  <w:tcW w:w="2251" w:type="pct"/>
                  <w:vAlign w:val="center"/>
                </w:tcPr>
                <w:p w14:paraId="3D9A68B8">
                  <w:pPr>
                    <w:autoSpaceDE w:val="0"/>
                    <w:autoSpaceDN w:val="0"/>
                    <w:adjustRightInd w:val="0"/>
                    <w:snapToGrid w:val="0"/>
                    <w:rPr>
                      <w:color w:val="auto"/>
                      <w:kern w:val="0"/>
                      <w:sz w:val="18"/>
                      <w:szCs w:val="18"/>
                    </w:rPr>
                  </w:pPr>
                  <w:r>
                    <w:rPr>
                      <w:rFonts w:hint="eastAsia"/>
                      <w:color w:val="auto"/>
                      <w:kern w:val="0"/>
                      <w:sz w:val="18"/>
                      <w:szCs w:val="18"/>
                      <w:lang w:val="en-US" w:eastAsia="zh-CN"/>
                    </w:rPr>
                    <w:t xml:space="preserve">4.因地制宜建设集中喷涂中心、有机溶剂集中回收处置中心、活性炭集中再生中心。 </w:t>
                  </w:r>
                </w:p>
              </w:tc>
              <w:tc>
                <w:tcPr>
                  <w:tcW w:w="2040" w:type="pct"/>
                  <w:tcBorders>
                    <w:right w:val="single" w:color="auto" w:sz="4" w:space="0"/>
                  </w:tcBorders>
                  <w:vAlign w:val="center"/>
                </w:tcPr>
                <w:p w14:paraId="24C8A930">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本项目在一车间内设置有固定独立封闭式喷漆柜以及废气收集处理设施。</w:t>
                  </w:r>
                </w:p>
              </w:tc>
              <w:tc>
                <w:tcPr>
                  <w:tcW w:w="350" w:type="pct"/>
                  <w:tcBorders>
                    <w:left w:val="single" w:color="auto" w:sz="4" w:space="0"/>
                  </w:tcBorders>
                  <w:vAlign w:val="center"/>
                </w:tcPr>
                <w:p w14:paraId="5551082A">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35A22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657F90DE">
                  <w:pPr>
                    <w:autoSpaceDE w:val="0"/>
                    <w:autoSpaceDN w:val="0"/>
                    <w:adjustRightInd w:val="0"/>
                    <w:snapToGrid w:val="0"/>
                    <w:jc w:val="center"/>
                    <w:rPr>
                      <w:color w:val="auto"/>
                      <w:sz w:val="18"/>
                      <w:szCs w:val="18"/>
                    </w:rPr>
                  </w:pPr>
                </w:p>
              </w:tc>
              <w:tc>
                <w:tcPr>
                  <w:tcW w:w="2251" w:type="pct"/>
                  <w:vAlign w:val="center"/>
                </w:tcPr>
                <w:p w14:paraId="0FEFDDA0">
                  <w:pPr>
                    <w:autoSpaceDE w:val="0"/>
                    <w:autoSpaceDN w:val="0"/>
                    <w:adjustRightInd w:val="0"/>
                    <w:snapToGrid w:val="0"/>
                    <w:rPr>
                      <w:color w:val="auto"/>
                      <w:kern w:val="0"/>
                      <w:sz w:val="18"/>
                      <w:szCs w:val="18"/>
                    </w:rPr>
                  </w:pPr>
                  <w:r>
                    <w:rPr>
                      <w:rFonts w:hint="eastAsia"/>
                      <w:color w:val="auto"/>
                      <w:kern w:val="0"/>
                      <w:sz w:val="18"/>
                      <w:szCs w:val="18"/>
                      <w:lang w:val="en-US" w:eastAsia="zh-CN"/>
                    </w:rPr>
                    <w:t xml:space="preserve">5.基地工业和绿化用水要优先使用中水，减少废水排放。 </w:t>
                  </w:r>
                </w:p>
              </w:tc>
              <w:tc>
                <w:tcPr>
                  <w:tcW w:w="2040" w:type="pct"/>
                  <w:tcBorders>
                    <w:right w:val="single" w:color="auto" w:sz="4" w:space="0"/>
                  </w:tcBorders>
                  <w:vAlign w:val="center"/>
                </w:tcPr>
                <w:p w14:paraId="4DBD9D59">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本项目绿化用水优先使用回用中水，提高废水回用率，减少废水排放。</w:t>
                  </w:r>
                </w:p>
              </w:tc>
              <w:tc>
                <w:tcPr>
                  <w:tcW w:w="350" w:type="pct"/>
                  <w:tcBorders>
                    <w:left w:val="single" w:color="auto" w:sz="4" w:space="0"/>
                  </w:tcBorders>
                  <w:vAlign w:val="center"/>
                </w:tcPr>
                <w:p w14:paraId="30B3677D">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19AD05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704AF9F7">
                  <w:pPr>
                    <w:autoSpaceDE w:val="0"/>
                    <w:autoSpaceDN w:val="0"/>
                    <w:adjustRightInd w:val="0"/>
                    <w:snapToGrid w:val="0"/>
                    <w:jc w:val="center"/>
                    <w:rPr>
                      <w:color w:val="auto"/>
                      <w:sz w:val="18"/>
                      <w:szCs w:val="18"/>
                    </w:rPr>
                  </w:pPr>
                </w:p>
              </w:tc>
              <w:tc>
                <w:tcPr>
                  <w:tcW w:w="2251" w:type="pct"/>
                  <w:vAlign w:val="center"/>
                </w:tcPr>
                <w:p w14:paraId="0F0FC4BA">
                  <w:pPr>
                    <w:autoSpaceDE w:val="0"/>
                    <w:autoSpaceDN w:val="0"/>
                    <w:adjustRightInd w:val="0"/>
                    <w:snapToGrid w:val="0"/>
                    <w:rPr>
                      <w:color w:val="auto"/>
                      <w:kern w:val="0"/>
                      <w:sz w:val="18"/>
                      <w:szCs w:val="18"/>
                    </w:rPr>
                  </w:pPr>
                  <w:r>
                    <w:rPr>
                      <w:rFonts w:hint="eastAsia"/>
                      <w:color w:val="auto"/>
                      <w:kern w:val="0"/>
                      <w:sz w:val="18"/>
                      <w:szCs w:val="18"/>
                      <w:lang w:val="en-US" w:eastAsia="zh-CN"/>
                    </w:rPr>
                    <w:t>6.严格落实集中供热，完善供气设施，进一步优化基地能源结构，实现污染物总量控制。</w:t>
                  </w:r>
                </w:p>
              </w:tc>
              <w:tc>
                <w:tcPr>
                  <w:tcW w:w="2040" w:type="pct"/>
                  <w:tcBorders>
                    <w:right w:val="single" w:color="auto" w:sz="4" w:space="0"/>
                  </w:tcBorders>
                  <w:vAlign w:val="center"/>
                </w:tcPr>
                <w:p w14:paraId="01177FF2">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本项目供热采取园区集中供热。</w:t>
                  </w:r>
                </w:p>
              </w:tc>
              <w:tc>
                <w:tcPr>
                  <w:tcW w:w="350" w:type="pct"/>
                  <w:tcBorders>
                    <w:left w:val="single" w:color="auto" w:sz="4" w:space="0"/>
                  </w:tcBorders>
                  <w:vAlign w:val="center"/>
                </w:tcPr>
                <w:p w14:paraId="68685805">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3DA8B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0BE10244">
                  <w:pPr>
                    <w:autoSpaceDE w:val="0"/>
                    <w:autoSpaceDN w:val="0"/>
                    <w:adjustRightInd w:val="0"/>
                    <w:snapToGrid w:val="0"/>
                    <w:jc w:val="center"/>
                    <w:rPr>
                      <w:color w:val="auto"/>
                      <w:sz w:val="18"/>
                      <w:szCs w:val="18"/>
                    </w:rPr>
                  </w:pPr>
                </w:p>
              </w:tc>
              <w:tc>
                <w:tcPr>
                  <w:tcW w:w="2251" w:type="pct"/>
                  <w:vAlign w:val="center"/>
                </w:tcPr>
                <w:p w14:paraId="3D8D019C">
                  <w:pPr>
                    <w:autoSpaceDE w:val="0"/>
                    <w:autoSpaceDN w:val="0"/>
                    <w:adjustRightInd w:val="0"/>
                    <w:snapToGrid w:val="0"/>
                    <w:rPr>
                      <w:color w:val="auto"/>
                      <w:kern w:val="0"/>
                      <w:sz w:val="18"/>
                      <w:szCs w:val="18"/>
                    </w:rPr>
                  </w:pPr>
                  <w:r>
                    <w:rPr>
                      <w:rFonts w:hint="eastAsia"/>
                      <w:color w:val="auto"/>
                      <w:kern w:val="0"/>
                      <w:sz w:val="18"/>
                      <w:szCs w:val="18"/>
                      <w:lang w:val="en-US" w:eastAsia="zh-CN"/>
                    </w:rPr>
                    <w:t xml:space="preserve">7.实行严格的污染物排放标准，推进现有项目污染治理提标改造。 </w:t>
                  </w:r>
                </w:p>
              </w:tc>
              <w:tc>
                <w:tcPr>
                  <w:tcW w:w="2040" w:type="pct"/>
                  <w:tcBorders>
                    <w:right w:val="single" w:color="auto" w:sz="4" w:space="0"/>
                  </w:tcBorders>
                  <w:vAlign w:val="center"/>
                </w:tcPr>
                <w:p w14:paraId="3C76D6F1">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本项目运营期污染物经相应的污染防治措施治理后，均可达标排放。</w:t>
                  </w:r>
                </w:p>
              </w:tc>
              <w:tc>
                <w:tcPr>
                  <w:tcW w:w="350" w:type="pct"/>
                  <w:tcBorders>
                    <w:left w:val="single" w:color="auto" w:sz="4" w:space="0"/>
                  </w:tcBorders>
                  <w:vAlign w:val="center"/>
                </w:tcPr>
                <w:p w14:paraId="40479C5B">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5493A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20D4B44D">
                  <w:pPr>
                    <w:autoSpaceDE w:val="0"/>
                    <w:autoSpaceDN w:val="0"/>
                    <w:adjustRightInd w:val="0"/>
                    <w:snapToGrid w:val="0"/>
                    <w:jc w:val="center"/>
                    <w:rPr>
                      <w:color w:val="auto"/>
                      <w:sz w:val="18"/>
                      <w:szCs w:val="18"/>
                    </w:rPr>
                  </w:pPr>
                </w:p>
              </w:tc>
              <w:tc>
                <w:tcPr>
                  <w:tcW w:w="2251" w:type="pct"/>
                  <w:vAlign w:val="center"/>
                </w:tcPr>
                <w:p w14:paraId="23229D37">
                  <w:pPr>
                    <w:autoSpaceDE w:val="0"/>
                    <w:autoSpaceDN w:val="0"/>
                    <w:adjustRightInd w:val="0"/>
                    <w:snapToGrid w:val="0"/>
                    <w:rPr>
                      <w:color w:val="auto"/>
                      <w:kern w:val="0"/>
                      <w:sz w:val="18"/>
                      <w:szCs w:val="18"/>
                    </w:rPr>
                  </w:pPr>
                  <w:r>
                    <w:rPr>
                      <w:rFonts w:hint="eastAsia"/>
                      <w:color w:val="auto"/>
                      <w:kern w:val="0"/>
                      <w:sz w:val="18"/>
                      <w:szCs w:val="18"/>
                      <w:lang w:val="en-US" w:eastAsia="zh-CN"/>
                    </w:rPr>
                    <w:t>8.全面落实“双碳”目标，严格控制碳排放。</w:t>
                  </w:r>
                </w:p>
              </w:tc>
              <w:tc>
                <w:tcPr>
                  <w:tcW w:w="2040" w:type="pct"/>
                  <w:tcBorders>
                    <w:right w:val="single" w:color="auto" w:sz="4" w:space="0"/>
                  </w:tcBorders>
                  <w:vAlign w:val="center"/>
                </w:tcPr>
                <w:p w14:paraId="3FA0FC58">
                  <w:pPr>
                    <w:autoSpaceDE w:val="0"/>
                    <w:autoSpaceDN w:val="0"/>
                    <w:adjustRightInd w:val="0"/>
                    <w:snapToGrid w:val="0"/>
                    <w:jc w:val="center"/>
                    <w:rPr>
                      <w:rFonts w:hint="eastAsia" w:eastAsia="宋体"/>
                      <w:color w:val="auto"/>
                      <w:sz w:val="18"/>
                      <w:szCs w:val="18"/>
                      <w:lang w:val="en-US" w:eastAsia="zh-CN"/>
                    </w:rPr>
                  </w:pPr>
                  <w:r>
                    <w:rPr>
                      <w:rFonts w:hint="eastAsia"/>
                      <w:color w:val="auto"/>
                      <w:sz w:val="18"/>
                      <w:szCs w:val="18"/>
                      <w:lang w:val="en-US" w:eastAsia="zh-CN"/>
                    </w:rPr>
                    <w:t>不涉及</w:t>
                  </w:r>
                </w:p>
              </w:tc>
              <w:tc>
                <w:tcPr>
                  <w:tcW w:w="350" w:type="pct"/>
                  <w:tcBorders>
                    <w:left w:val="single" w:color="auto" w:sz="4" w:space="0"/>
                  </w:tcBorders>
                  <w:vAlign w:val="center"/>
                </w:tcPr>
                <w:p w14:paraId="70C37166">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w:t>
                  </w:r>
                </w:p>
              </w:tc>
            </w:tr>
            <w:tr w14:paraId="4334C9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restart"/>
                  <w:vAlign w:val="center"/>
                </w:tcPr>
                <w:p w14:paraId="31B54F56">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环境风险防控</w:t>
                  </w:r>
                </w:p>
              </w:tc>
              <w:tc>
                <w:tcPr>
                  <w:tcW w:w="2251" w:type="pct"/>
                  <w:vAlign w:val="center"/>
                </w:tcPr>
                <w:p w14:paraId="2614F8D9">
                  <w:pPr>
                    <w:autoSpaceDE w:val="0"/>
                    <w:autoSpaceDN w:val="0"/>
                    <w:adjustRightInd w:val="0"/>
                    <w:snapToGrid w:val="0"/>
                    <w:rPr>
                      <w:rFonts w:hint="default" w:ascii="TimesNewRomanPSMT" w:hAnsi="TimesNewRomanPSMT" w:eastAsia="宋体" w:cs="TimesNewRomanPSMT"/>
                      <w:b w:val="0"/>
                      <w:bCs w:val="0"/>
                      <w:color w:val="auto"/>
                      <w:sz w:val="18"/>
                      <w:szCs w:val="18"/>
                      <w:lang w:val="en-US" w:eastAsia="zh-CN"/>
                    </w:rPr>
                  </w:pPr>
                  <w:r>
                    <w:rPr>
                      <w:rFonts w:hint="eastAsia" w:ascii="TimesNewRomanPSMT" w:hAnsi="TimesNewRomanPSMT" w:eastAsia="宋体" w:cs="TimesNewRomanPSMT"/>
                      <w:b w:val="0"/>
                      <w:bCs w:val="0"/>
                      <w:color w:val="auto"/>
                      <w:sz w:val="18"/>
                      <w:szCs w:val="18"/>
                      <w:lang w:val="en-US" w:eastAsia="zh-CN"/>
                    </w:rPr>
                    <w:t>1.所有入园企业应根据其涉及危险废物性质、使用情况等落实其事故风险防范、处置措施，制定突发环境事件应急预案。</w:t>
                  </w:r>
                </w:p>
              </w:tc>
              <w:tc>
                <w:tcPr>
                  <w:tcW w:w="2040" w:type="pct"/>
                  <w:tcBorders>
                    <w:right w:val="single" w:color="auto" w:sz="4" w:space="0"/>
                  </w:tcBorders>
                  <w:vAlign w:val="center"/>
                </w:tcPr>
                <w:p w14:paraId="41D5E432">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涉及少量危险废物的产生，建设有1座危险废物贮存库，定期委托有资质的单位清运处置，明确危险废物性质，严格按照环评提出的要求进行事故风险防范、处置措施，待环评手续办理完成后，根据建设以及实际情况制订相应的突发环境事件应急预案，并在环境管理部门备案。</w:t>
                  </w:r>
                </w:p>
              </w:tc>
              <w:tc>
                <w:tcPr>
                  <w:tcW w:w="350" w:type="pct"/>
                  <w:tcBorders>
                    <w:left w:val="single" w:color="auto" w:sz="4" w:space="0"/>
                  </w:tcBorders>
                  <w:vAlign w:val="center"/>
                </w:tcPr>
                <w:p w14:paraId="2CCA0F00">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40904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0B29D31B">
                  <w:pPr>
                    <w:autoSpaceDE w:val="0"/>
                    <w:autoSpaceDN w:val="0"/>
                    <w:adjustRightInd w:val="0"/>
                    <w:snapToGrid w:val="0"/>
                    <w:jc w:val="center"/>
                    <w:rPr>
                      <w:color w:val="auto"/>
                      <w:sz w:val="18"/>
                      <w:szCs w:val="18"/>
                    </w:rPr>
                  </w:pPr>
                </w:p>
              </w:tc>
              <w:tc>
                <w:tcPr>
                  <w:tcW w:w="2251" w:type="pct"/>
                  <w:vAlign w:val="center"/>
                </w:tcPr>
                <w:p w14:paraId="13A8E51F">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 xml:space="preserve"> 2.园区中矿山机械制造等类型企业产生的废机油桶、废棉纱、废切削液等危险废物应送有资质的单位进行处理，如需设置危险废物暂存场，暂存场严格执行《危险废物贮存污染控制标准》（GB18957-2023）中的有关规定；如需设置危险废物安全填埋场要严格执行《危险废物填埋场污染物控制标准》的相关要求。 </w:t>
                  </w:r>
                </w:p>
              </w:tc>
              <w:tc>
                <w:tcPr>
                  <w:tcW w:w="2040" w:type="pct"/>
                  <w:tcBorders>
                    <w:right w:val="single" w:color="auto" w:sz="4" w:space="0"/>
                  </w:tcBorders>
                  <w:vAlign w:val="center"/>
                </w:tcPr>
                <w:p w14:paraId="1B3DC072">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本项目设置有1座危险废物贮存库，用于收集暂存运营期产生的危险废物，严格执行</w:t>
                  </w:r>
                  <w:r>
                    <w:rPr>
                      <w:rFonts w:hint="eastAsia"/>
                      <w:color w:val="auto"/>
                      <w:kern w:val="0"/>
                      <w:sz w:val="18"/>
                      <w:szCs w:val="18"/>
                      <w:lang w:val="en-US" w:eastAsia="zh-CN"/>
                    </w:rPr>
                    <w:t>《危险废物贮存污染控制标准》（GB18957-2023）中的有关规定和要求。</w:t>
                  </w:r>
                </w:p>
              </w:tc>
              <w:tc>
                <w:tcPr>
                  <w:tcW w:w="350" w:type="pct"/>
                  <w:tcBorders>
                    <w:left w:val="single" w:color="auto" w:sz="4" w:space="0"/>
                  </w:tcBorders>
                  <w:vAlign w:val="center"/>
                </w:tcPr>
                <w:p w14:paraId="637FFC9C">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4D4492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694E2A8C">
                  <w:pPr>
                    <w:autoSpaceDE w:val="0"/>
                    <w:autoSpaceDN w:val="0"/>
                    <w:adjustRightInd w:val="0"/>
                    <w:snapToGrid w:val="0"/>
                    <w:jc w:val="center"/>
                    <w:rPr>
                      <w:color w:val="auto"/>
                      <w:sz w:val="18"/>
                      <w:szCs w:val="18"/>
                    </w:rPr>
                  </w:pPr>
                </w:p>
              </w:tc>
              <w:tc>
                <w:tcPr>
                  <w:tcW w:w="2251" w:type="pct"/>
                  <w:vAlign w:val="center"/>
                </w:tcPr>
                <w:p w14:paraId="5664B753">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3.重点管控文瀛湖水环境安全，基地企业外排水不得进入文瀛湖污染水环境。</w:t>
                  </w:r>
                </w:p>
              </w:tc>
              <w:tc>
                <w:tcPr>
                  <w:tcW w:w="2040" w:type="pct"/>
                  <w:tcBorders>
                    <w:right w:val="single" w:color="auto" w:sz="4" w:space="0"/>
                  </w:tcBorders>
                  <w:vAlign w:val="center"/>
                </w:tcPr>
                <w:p w14:paraId="25DE3CA8">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不涉及废水外排，不涉及</w:t>
                  </w:r>
                  <w:r>
                    <w:rPr>
                      <w:rFonts w:hint="eastAsia"/>
                      <w:color w:val="auto"/>
                      <w:kern w:val="0"/>
                      <w:sz w:val="18"/>
                      <w:szCs w:val="18"/>
                      <w:lang w:val="en-US" w:eastAsia="zh-CN"/>
                    </w:rPr>
                    <w:t>文瀛湖水环境安全。</w:t>
                  </w:r>
                </w:p>
              </w:tc>
              <w:tc>
                <w:tcPr>
                  <w:tcW w:w="350" w:type="pct"/>
                  <w:tcBorders>
                    <w:left w:val="single" w:color="auto" w:sz="4" w:space="0"/>
                  </w:tcBorders>
                  <w:vAlign w:val="center"/>
                </w:tcPr>
                <w:p w14:paraId="60738D5C">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02A35D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5A28080F">
                  <w:pPr>
                    <w:autoSpaceDE w:val="0"/>
                    <w:autoSpaceDN w:val="0"/>
                    <w:adjustRightInd w:val="0"/>
                    <w:snapToGrid w:val="0"/>
                    <w:jc w:val="center"/>
                    <w:rPr>
                      <w:color w:val="auto"/>
                      <w:sz w:val="18"/>
                      <w:szCs w:val="18"/>
                    </w:rPr>
                  </w:pPr>
                </w:p>
              </w:tc>
              <w:tc>
                <w:tcPr>
                  <w:tcW w:w="2251" w:type="pct"/>
                  <w:vAlign w:val="center"/>
                </w:tcPr>
                <w:p w14:paraId="340F0732">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 xml:space="preserve"> 4.建立环境风险防控体系，提高环境应急能力。设置满足要求的事故废水收集系统，防止泄漏物和消防废水等进入外环境。明确 </w:t>
                  </w:r>
                </w:p>
                <w:p w14:paraId="0293F969">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基地企业环境风险防范主体责任,定期开展环境风险应急演练。进一步加快完善基础设施建设公用配套设施满足基地规划需求。</w:t>
                  </w:r>
                </w:p>
              </w:tc>
              <w:tc>
                <w:tcPr>
                  <w:tcW w:w="2040" w:type="pct"/>
                  <w:tcBorders>
                    <w:right w:val="single" w:color="auto" w:sz="4" w:space="0"/>
                  </w:tcBorders>
                  <w:vAlign w:val="center"/>
                </w:tcPr>
                <w:p w14:paraId="74B1A671">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 xml:space="preserve">本项目建设完成后，设立环境风险防控体系，增加环境应急能力。设置满足要求的事故废水收集系统，防止泄漏物和消防废水等进入外环境。明确 </w:t>
                  </w:r>
                </w:p>
                <w:p w14:paraId="1EEDFC91">
                  <w:pPr>
                    <w:autoSpaceDE w:val="0"/>
                    <w:autoSpaceDN w:val="0"/>
                    <w:adjustRightInd w:val="0"/>
                    <w:snapToGrid w:val="0"/>
                    <w:jc w:val="center"/>
                    <w:rPr>
                      <w:rFonts w:hint="eastAsia" w:eastAsia="宋体"/>
                      <w:color w:val="auto"/>
                      <w:sz w:val="18"/>
                      <w:szCs w:val="18"/>
                    </w:rPr>
                  </w:pPr>
                  <w:r>
                    <w:rPr>
                      <w:rFonts w:hint="eastAsia"/>
                      <w:color w:val="auto"/>
                      <w:kern w:val="0"/>
                      <w:sz w:val="18"/>
                      <w:szCs w:val="18"/>
                      <w:lang w:val="en-US" w:eastAsia="zh-CN"/>
                    </w:rPr>
                    <w:t>企业环境风险防范主体责任,定期开展环境风险应急演练。并把其纳入突发环境事件应急预案体系中。</w:t>
                  </w:r>
                </w:p>
              </w:tc>
              <w:tc>
                <w:tcPr>
                  <w:tcW w:w="350" w:type="pct"/>
                  <w:tcBorders>
                    <w:left w:val="single" w:color="auto" w:sz="4" w:space="0"/>
                  </w:tcBorders>
                  <w:vAlign w:val="center"/>
                </w:tcPr>
                <w:p w14:paraId="7672CCF1">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32356C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restart"/>
                  <w:vAlign w:val="center"/>
                </w:tcPr>
                <w:p w14:paraId="00633BEF">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资源开发效率要求</w:t>
                  </w:r>
                </w:p>
              </w:tc>
              <w:tc>
                <w:tcPr>
                  <w:tcW w:w="2251" w:type="pct"/>
                  <w:vAlign w:val="center"/>
                </w:tcPr>
                <w:p w14:paraId="500ECAAE">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 xml:space="preserve">1.积极推行低影响开发建设模式促进雨水收集、处理和资源化利用；新建城区硬化地面，可渗透面积要达到40%以上。 </w:t>
                  </w:r>
                </w:p>
              </w:tc>
              <w:tc>
                <w:tcPr>
                  <w:tcW w:w="2040" w:type="pct"/>
                  <w:tcBorders>
                    <w:right w:val="single" w:color="auto" w:sz="4" w:space="0"/>
                  </w:tcBorders>
                  <w:vAlign w:val="center"/>
                </w:tcPr>
                <w:p w14:paraId="2B3860E4">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厂区地面以及运输道路均硬化，厂区设置有雨水收集系统以及初期雨水收集池。</w:t>
                  </w:r>
                </w:p>
              </w:tc>
              <w:tc>
                <w:tcPr>
                  <w:tcW w:w="350" w:type="pct"/>
                  <w:tcBorders>
                    <w:left w:val="single" w:color="auto" w:sz="4" w:space="0"/>
                  </w:tcBorders>
                  <w:vAlign w:val="center"/>
                </w:tcPr>
                <w:p w14:paraId="2FB9EAAC">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r w14:paraId="15A6C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8" w:type="pct"/>
                  <w:vMerge w:val="continue"/>
                  <w:vAlign w:val="center"/>
                </w:tcPr>
                <w:p w14:paraId="2DE63353">
                  <w:pPr>
                    <w:autoSpaceDE w:val="0"/>
                    <w:autoSpaceDN w:val="0"/>
                    <w:adjustRightInd w:val="0"/>
                    <w:snapToGrid w:val="0"/>
                    <w:jc w:val="center"/>
                    <w:rPr>
                      <w:color w:val="auto"/>
                      <w:sz w:val="18"/>
                      <w:szCs w:val="18"/>
                    </w:rPr>
                  </w:pPr>
                </w:p>
              </w:tc>
              <w:tc>
                <w:tcPr>
                  <w:tcW w:w="2251" w:type="pct"/>
                  <w:vAlign w:val="center"/>
                </w:tcPr>
                <w:p w14:paraId="4E9C6FA8">
                  <w:pPr>
                    <w:autoSpaceDE w:val="0"/>
                    <w:autoSpaceDN w:val="0"/>
                    <w:adjustRightInd w:val="0"/>
                    <w:snapToGrid w:val="0"/>
                    <w:rPr>
                      <w:rFonts w:hint="eastAsia"/>
                      <w:color w:val="auto"/>
                      <w:kern w:val="0"/>
                      <w:sz w:val="18"/>
                      <w:szCs w:val="18"/>
                      <w:lang w:val="en-US" w:eastAsia="zh-CN"/>
                    </w:rPr>
                  </w:pPr>
                  <w:r>
                    <w:rPr>
                      <w:rFonts w:hint="eastAsia"/>
                      <w:color w:val="auto"/>
                      <w:kern w:val="0"/>
                      <w:sz w:val="18"/>
                      <w:szCs w:val="18"/>
                      <w:lang w:val="en-US" w:eastAsia="zh-CN"/>
                    </w:rPr>
                    <w:t>2.按照“分质供水、优水优用、一水多用以及水资源的梯级利用”原则，减少市政新鲜水用量，提高生产废水的循环利用率。</w:t>
                  </w:r>
                </w:p>
              </w:tc>
              <w:tc>
                <w:tcPr>
                  <w:tcW w:w="2040" w:type="pct"/>
                  <w:tcBorders>
                    <w:right w:val="single" w:color="auto" w:sz="4" w:space="0"/>
                  </w:tcBorders>
                  <w:vAlign w:val="center"/>
                </w:tcPr>
                <w:p w14:paraId="29B47A38">
                  <w:pPr>
                    <w:autoSpaceDE w:val="0"/>
                    <w:autoSpaceDN w:val="0"/>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提高用水效率，减少废水排放。</w:t>
                  </w:r>
                </w:p>
              </w:tc>
              <w:tc>
                <w:tcPr>
                  <w:tcW w:w="350" w:type="pct"/>
                  <w:tcBorders>
                    <w:left w:val="single" w:color="auto" w:sz="4" w:space="0"/>
                  </w:tcBorders>
                  <w:vAlign w:val="center"/>
                </w:tcPr>
                <w:p w14:paraId="4EB967E2">
                  <w:pPr>
                    <w:autoSpaceDE w:val="0"/>
                    <w:autoSpaceDN w:val="0"/>
                    <w:adjustRightInd w:val="0"/>
                    <w:snapToGrid w:val="0"/>
                    <w:jc w:val="center"/>
                    <w:rPr>
                      <w:rFonts w:hint="default" w:ascii="宋体" w:hAnsi="宋体" w:eastAsia="宋体" w:cs="宋体"/>
                      <w:b w:val="0"/>
                      <w:bCs w:val="0"/>
                      <w:color w:val="auto"/>
                      <w:sz w:val="18"/>
                      <w:szCs w:val="18"/>
                      <w:lang w:val="en-US" w:eastAsia="zh-CN"/>
                    </w:rPr>
                  </w:pPr>
                  <w:r>
                    <w:rPr>
                      <w:rFonts w:hint="eastAsia" w:ascii="宋体" w:hAnsi="宋体" w:cs="宋体"/>
                      <w:b w:val="0"/>
                      <w:bCs w:val="0"/>
                      <w:color w:val="auto"/>
                      <w:sz w:val="18"/>
                      <w:szCs w:val="18"/>
                      <w:lang w:val="en-US" w:eastAsia="zh-CN"/>
                    </w:rPr>
                    <w:t>符合</w:t>
                  </w:r>
                </w:p>
              </w:tc>
            </w:tr>
          </w:tbl>
          <w:p w14:paraId="763CA53C">
            <w:pPr>
              <w:pStyle w:val="79"/>
              <w:snapToGrid/>
              <w:ind w:firstLine="422"/>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综上所述，项目建设符合山西省生态管控动态成果中相关要求。</w:t>
            </w:r>
          </w:p>
          <w:p w14:paraId="2FDB9D4F">
            <w:pPr>
              <w:pStyle w:val="79"/>
              <w:snapToGrid/>
              <w:ind w:firstLine="422"/>
              <w:rPr>
                <w:rFonts w:hint="default" w:ascii="Times New Roman" w:hAnsi="Times New Roman" w:cs="Times New Roman"/>
                <w:bCs/>
                <w:color w:val="auto"/>
                <w:szCs w:val="21"/>
              </w:rPr>
            </w:pPr>
            <w:r>
              <w:rPr>
                <w:rFonts w:hint="eastAsia" w:ascii="Times New Roman" w:hAnsi="Times New Roman" w:cs="Times New Roman"/>
                <w:bCs/>
                <w:color w:val="auto"/>
                <w:szCs w:val="21"/>
                <w:lang w:val="en-US" w:eastAsia="zh-CN"/>
              </w:rPr>
              <w:t>2</w:t>
            </w:r>
            <w:r>
              <w:rPr>
                <w:rFonts w:hint="default" w:ascii="Times New Roman" w:hAnsi="Times New Roman" w:cs="Times New Roman"/>
                <w:bCs/>
                <w:color w:val="auto"/>
                <w:szCs w:val="21"/>
              </w:rPr>
              <w:t>、项目“三线一单”符合性分析</w:t>
            </w:r>
          </w:p>
          <w:p w14:paraId="560088D0">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（1）与生态保护红线的符合性分析</w:t>
            </w:r>
          </w:p>
          <w:p w14:paraId="0E426E59">
            <w:pPr>
              <w:spacing w:line="360" w:lineRule="auto"/>
              <w:ind w:firstLine="420" w:firstLineChars="200"/>
              <w:rPr>
                <w:rFonts w:hint="default" w:ascii="Times New Roman" w:hAnsi="Times New Roman" w:cs="Times New Roman"/>
                <w:color w:val="auto"/>
                <w:szCs w:val="21"/>
                <w:lang w:val="en-US"/>
              </w:rPr>
            </w:pPr>
            <w:r>
              <w:rPr>
                <w:rFonts w:hint="default" w:ascii="Times New Roman" w:hAnsi="Times New Roman" w:cs="Times New Roman"/>
                <w:color w:val="auto"/>
                <w:szCs w:val="21"/>
              </w:rPr>
              <w:t>本项</w:t>
            </w:r>
            <w:r>
              <w:rPr>
                <w:rFonts w:hint="eastAsia" w:cs="Times New Roman"/>
                <w:color w:val="auto"/>
                <w:szCs w:val="21"/>
                <w:lang w:val="en-US" w:eastAsia="zh-CN"/>
              </w:rPr>
              <w:t>目</w:t>
            </w:r>
            <w:r>
              <w:rPr>
                <w:rFonts w:hint="default" w:ascii="Times New Roman" w:hAnsi="Times New Roman" w:cs="Times New Roman"/>
                <w:color w:val="auto"/>
                <w:szCs w:val="21"/>
              </w:rPr>
              <w:t>位于</w:t>
            </w:r>
            <w:r>
              <w:rPr>
                <w:rFonts w:hint="eastAsia" w:cs="Times New Roman"/>
                <w:color w:val="auto"/>
                <w:szCs w:val="21"/>
                <w:lang w:val="en-US" w:eastAsia="zh-CN"/>
              </w:rPr>
              <w:t>大同经济技术开发区起步区控制性详细规划(装备制造业基地)，占地性质为工业用地。</w:t>
            </w:r>
          </w:p>
          <w:p w14:paraId="0EAEC4DB">
            <w:pPr>
              <w:spacing w:line="360" w:lineRule="auto"/>
              <w:ind w:firstLine="420" w:firstLineChars="200"/>
              <w:rPr>
                <w:rFonts w:ascii="宋体" w:hAnsi="宋体" w:eastAsia="宋体" w:cs="宋体"/>
                <w:b w:val="0"/>
                <w:bCs w:val="0"/>
                <w:color w:val="auto"/>
                <w:sz w:val="20"/>
                <w:szCs w:val="20"/>
              </w:rPr>
            </w:pPr>
            <w:r>
              <w:rPr>
                <w:rFonts w:hint="default" w:ascii="Times New Roman" w:hAnsi="Times New Roman" w:cs="Times New Roman"/>
                <w:color w:val="auto"/>
                <w:szCs w:val="21"/>
              </w:rPr>
              <w:t>根据</w:t>
            </w:r>
            <w:r>
              <w:rPr>
                <w:rFonts w:hint="eastAsia" w:ascii="Times New Roman" w:hAnsi="Times New Roman" w:cs="Times New Roman"/>
                <w:color w:val="auto"/>
                <w:szCs w:val="21"/>
              </w:rPr>
              <w:t>大同经济技术开发区起步区装备制造业基地用地规划</w:t>
            </w:r>
            <w:r>
              <w:rPr>
                <w:rFonts w:hint="eastAsia" w:ascii="Times New Roman" w:hAnsi="Times New Roman" w:cs="Times New Roman"/>
                <w:color w:val="auto"/>
                <w:szCs w:val="21"/>
                <w:lang w:val="en-US" w:eastAsia="zh-CN"/>
              </w:rPr>
              <w:t>图</w:t>
            </w:r>
            <w:r>
              <w:rPr>
                <w:rFonts w:hint="default" w:ascii="Times New Roman" w:hAnsi="Times New Roman" w:cs="Times New Roman"/>
                <w:color w:val="auto"/>
                <w:szCs w:val="21"/>
              </w:rPr>
              <w:t>（附图</w:t>
            </w:r>
            <w:r>
              <w:rPr>
                <w:rFonts w:hint="eastAsia" w:cs="Times New Roman"/>
                <w:color w:val="auto"/>
                <w:szCs w:val="21"/>
                <w:lang w:val="en-US" w:eastAsia="zh-CN"/>
              </w:rPr>
              <w:t>5</w:t>
            </w:r>
            <w:r>
              <w:rPr>
                <w:rFonts w:hint="default" w:ascii="Times New Roman" w:hAnsi="Times New Roman" w:cs="Times New Roman"/>
                <w:color w:val="auto"/>
                <w:szCs w:val="21"/>
              </w:rPr>
              <w:t>）</w:t>
            </w:r>
            <w:r>
              <w:rPr>
                <w:rFonts w:hint="eastAsia" w:cs="Times New Roman"/>
                <w:color w:val="auto"/>
                <w:szCs w:val="21"/>
                <w:lang w:val="en-US" w:eastAsia="zh-CN"/>
              </w:rPr>
              <w:t>可知，本项目占地性质为工业用地</w:t>
            </w:r>
            <w:r>
              <w:rPr>
                <w:rFonts w:hint="default" w:ascii="Times New Roman" w:hAnsi="Times New Roman" w:cs="Times New Roman"/>
                <w:color w:val="auto"/>
                <w:szCs w:val="21"/>
              </w:rPr>
              <w:t>，本项目占地</w:t>
            </w:r>
            <w:r>
              <w:rPr>
                <w:rFonts w:hint="eastAsia" w:cs="Times New Roman"/>
                <w:color w:val="auto"/>
                <w:szCs w:val="21"/>
                <w:lang w:val="en-US" w:eastAsia="zh-CN"/>
              </w:rPr>
              <w:t>不在永久基本农田、生态保护红线、城镇开发边界范围内</w:t>
            </w:r>
            <w:r>
              <w:rPr>
                <w:rFonts w:ascii="宋体" w:hAnsi="宋体" w:eastAsia="宋体" w:cs="宋体"/>
                <w:b w:val="0"/>
                <w:bCs w:val="0"/>
                <w:color w:val="auto"/>
                <w:sz w:val="20"/>
                <w:szCs w:val="20"/>
              </w:rPr>
              <w:t>。</w:t>
            </w:r>
          </w:p>
          <w:p w14:paraId="2FE01D27">
            <w:pPr>
              <w:pStyle w:val="16"/>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表1-</w:t>
            </w:r>
            <w:r>
              <w:rPr>
                <w:rFonts w:hint="eastAsia" w:cs="Times New Roman"/>
                <w:b/>
                <w:bCs/>
                <w:color w:val="auto"/>
                <w:sz w:val="18"/>
                <w:szCs w:val="18"/>
                <w:lang w:val="en-US" w:eastAsia="zh-CN"/>
              </w:rPr>
              <w:t>5</w:t>
            </w:r>
            <w:r>
              <w:rPr>
                <w:rFonts w:hint="default" w:ascii="Times New Roman" w:hAnsi="Times New Roman" w:cs="Times New Roman"/>
                <w:b/>
                <w:bCs/>
                <w:color w:val="auto"/>
                <w:sz w:val="18"/>
                <w:szCs w:val="18"/>
              </w:rPr>
              <w:t xml:space="preserve">    与</w:t>
            </w:r>
            <w:r>
              <w:rPr>
                <w:rFonts w:hint="eastAsia" w:ascii="Times New Roman" w:hAnsi="Times New Roman" w:cs="Times New Roman"/>
                <w:b/>
                <w:bCs/>
                <w:color w:val="auto"/>
                <w:sz w:val="18"/>
                <w:szCs w:val="18"/>
                <w:lang w:eastAsia="zh-CN"/>
              </w:rPr>
              <w:t>《</w:t>
            </w:r>
            <w:r>
              <w:rPr>
                <w:rFonts w:hint="eastAsia" w:ascii="Times New Roman" w:hAnsi="Times New Roman" w:cs="Times New Roman"/>
                <w:b/>
                <w:bCs/>
                <w:color w:val="auto"/>
                <w:sz w:val="18"/>
                <w:szCs w:val="18"/>
                <w:lang w:val="en-US" w:eastAsia="zh-CN"/>
              </w:rPr>
              <w:t>大同市人民政府关于印发“三线一单”生态环境分区管控实施方案的通知</w:t>
            </w:r>
            <w:r>
              <w:rPr>
                <w:rFonts w:hint="eastAsia" w:ascii="Times New Roman" w:hAnsi="Times New Roman" w:cs="Times New Roman"/>
                <w:b/>
                <w:bCs/>
                <w:color w:val="auto"/>
                <w:sz w:val="18"/>
                <w:szCs w:val="18"/>
                <w:lang w:eastAsia="zh-CN"/>
              </w:rPr>
              <w:t>》</w:t>
            </w:r>
            <w:r>
              <w:rPr>
                <w:rFonts w:hint="eastAsia" w:ascii="Times New Roman" w:hAnsi="Times New Roman" w:cs="Times New Roman"/>
                <w:b/>
                <w:bCs/>
                <w:color w:val="auto"/>
                <w:sz w:val="18"/>
                <w:szCs w:val="18"/>
                <w:lang w:val="en-US" w:eastAsia="zh-CN"/>
              </w:rPr>
              <w:t>符合性分析</w:t>
            </w:r>
            <w:r>
              <w:rPr>
                <w:rFonts w:hint="default" w:ascii="Times New Roman" w:hAnsi="Times New Roman" w:cs="Times New Roman"/>
                <w:b/>
                <w:bCs/>
                <w:color w:val="auto"/>
                <w:sz w:val="18"/>
                <w:szCs w:val="18"/>
              </w:rPr>
              <w:t>一览表</w:t>
            </w:r>
          </w:p>
          <w:tbl>
            <w:tblPr>
              <w:tblStyle w:val="48"/>
              <w:tblW w:w="0" w:type="auto"/>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3312"/>
              <w:gridCol w:w="2075"/>
              <w:gridCol w:w="855"/>
            </w:tblGrid>
            <w:tr w14:paraId="4094157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45" w:hRule="atLeast"/>
              </w:trPr>
              <w:tc>
                <w:tcPr>
                  <w:tcW w:w="3312" w:type="dxa"/>
                  <w:tcBorders>
                    <w:bottom w:val="single" w:color="auto" w:sz="4" w:space="0"/>
                  </w:tcBorders>
                  <w:vAlign w:val="center"/>
                </w:tcPr>
                <w:p w14:paraId="303C7E36">
                  <w:pPr>
                    <w:widowControl/>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文件内容</w:t>
                  </w:r>
                </w:p>
              </w:tc>
              <w:tc>
                <w:tcPr>
                  <w:tcW w:w="2075" w:type="dxa"/>
                  <w:vMerge w:val="restart"/>
                  <w:vAlign w:val="center"/>
                </w:tcPr>
                <w:p w14:paraId="7FDCF6DB">
                  <w:pPr>
                    <w:widowControl/>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本项目</w:t>
                  </w:r>
                </w:p>
              </w:tc>
              <w:tc>
                <w:tcPr>
                  <w:tcW w:w="855" w:type="dxa"/>
                  <w:vMerge w:val="restart"/>
                  <w:vAlign w:val="center"/>
                </w:tcPr>
                <w:p w14:paraId="2C295205">
                  <w:pPr>
                    <w:widowControl/>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符合性</w:t>
                  </w:r>
                </w:p>
              </w:tc>
            </w:tr>
            <w:tr w14:paraId="6EDAEE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0" w:hRule="atLeast"/>
              </w:trPr>
              <w:tc>
                <w:tcPr>
                  <w:tcW w:w="3312" w:type="dxa"/>
                  <w:tcBorders>
                    <w:top w:val="single" w:color="auto" w:sz="4" w:space="0"/>
                  </w:tcBorders>
                  <w:vAlign w:val="center"/>
                </w:tcPr>
                <w:p w14:paraId="719AF02C">
                  <w:pPr>
                    <w:widowControl/>
                    <w:spacing w:line="240" w:lineRule="exact"/>
                    <w:jc w:val="center"/>
                    <w:rPr>
                      <w:rFonts w:hint="default" w:ascii="Times New Roman" w:hAnsi="Times New Roman" w:cs="Times New Roman"/>
                      <w:b/>
                      <w:color w:val="auto"/>
                      <w:kern w:val="0"/>
                      <w:sz w:val="18"/>
                      <w:szCs w:val="18"/>
                    </w:rPr>
                  </w:pPr>
                  <w:r>
                    <w:rPr>
                      <w:rFonts w:hint="default" w:ascii="Times New Roman" w:hAnsi="Times New Roman" w:cs="Times New Roman"/>
                      <w:b/>
                      <w:color w:val="auto"/>
                      <w:sz w:val="18"/>
                      <w:szCs w:val="18"/>
                    </w:rPr>
                    <w:t>同政发[2021]23号</w:t>
                  </w:r>
                </w:p>
              </w:tc>
              <w:tc>
                <w:tcPr>
                  <w:tcW w:w="2075" w:type="dxa"/>
                  <w:vMerge w:val="continue"/>
                  <w:vAlign w:val="center"/>
                </w:tcPr>
                <w:p w14:paraId="069889D0">
                  <w:pPr>
                    <w:widowControl/>
                    <w:spacing w:line="240" w:lineRule="exact"/>
                    <w:jc w:val="center"/>
                    <w:rPr>
                      <w:rFonts w:hint="default" w:ascii="Times New Roman" w:hAnsi="Times New Roman" w:cs="Times New Roman"/>
                      <w:color w:val="auto"/>
                      <w:kern w:val="0"/>
                      <w:sz w:val="18"/>
                      <w:szCs w:val="18"/>
                    </w:rPr>
                  </w:pPr>
                </w:p>
              </w:tc>
              <w:tc>
                <w:tcPr>
                  <w:tcW w:w="855" w:type="dxa"/>
                  <w:vMerge w:val="continue"/>
                  <w:vAlign w:val="center"/>
                </w:tcPr>
                <w:p w14:paraId="60B0F3D8">
                  <w:pPr>
                    <w:widowControl/>
                    <w:spacing w:line="240" w:lineRule="exact"/>
                    <w:jc w:val="center"/>
                    <w:rPr>
                      <w:rFonts w:hint="default" w:ascii="Times New Roman" w:hAnsi="Times New Roman" w:cs="Times New Roman"/>
                      <w:color w:val="auto"/>
                      <w:kern w:val="0"/>
                      <w:sz w:val="18"/>
                      <w:szCs w:val="18"/>
                    </w:rPr>
                  </w:pPr>
                </w:p>
              </w:tc>
            </w:tr>
            <w:tr w14:paraId="045A3D9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872" w:hRule="atLeast"/>
              </w:trPr>
              <w:tc>
                <w:tcPr>
                  <w:tcW w:w="3312" w:type="dxa"/>
                  <w:vAlign w:val="center"/>
                </w:tcPr>
                <w:p w14:paraId="37BB52B6">
                  <w:pPr>
                    <w:widowControl/>
                    <w:spacing w:line="240" w:lineRule="exact"/>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生态环境管控单位分为优先保护单位、重点管控单元、一般管控单元三类，实施分类管控。</w:t>
                  </w:r>
                </w:p>
                <w:p w14:paraId="6D323016">
                  <w:pPr>
                    <w:widowControl/>
                    <w:spacing w:line="240" w:lineRule="exact"/>
                    <w:jc w:val="both"/>
                    <w:rPr>
                      <w:rFonts w:hint="default" w:ascii="Times New Roman" w:hAnsi="Times New Roman" w:cs="Times New Roman"/>
                      <w:color w:val="auto"/>
                      <w:kern w:val="0"/>
                      <w:sz w:val="18"/>
                      <w:szCs w:val="18"/>
                    </w:rPr>
                  </w:pPr>
                  <w:r>
                    <w:rPr>
                      <w:rFonts w:hint="eastAsia" w:cs="宋体"/>
                      <w:kern w:val="0"/>
                      <w:sz w:val="18"/>
                      <w:szCs w:val="18"/>
                    </w:rPr>
                    <w:t>重点管控单元生态环境准入清单：进一步优化空间布局，加强污染物排放总量控制和环境风险防控，不断提升资源能源利用效率，解决生态环境质量不达标、生态环境风险高等问题，实现减污降碳协同效应。加快调整优化产业结构、能源结构，严控“两高”企业准入门槛，加快实施城市规划区“两高”企业搬迁，完善能源消费双控制度。实施企业绩效分级分类管控，强化联防联控，持续推进清洁取暖散煤各县（区）人民政府、大治理，严防“散乱污”企业反弹，积极应对重污染天气。以资源环境承载力为约束，全面推进现有化工、钢铁、水泥、建材等重污染行业企业逐步退出城市规划区和县城建成区，推动“两高”产能向资源禀赋好、环境承载力强、大气扩散条件优、铁路运输便利的各县（区）人民政府、大区域转移。鼓励化工、水泥、建材等传统产业实施“飞地经济”。桑干河流域加强流域上下游左右岸污染统筹治理，严格入河排污口设置，实施桑干河入河排污总量控制，积极推行流域城镇生活污水处理厂“厂</w:t>
                  </w:r>
                  <w:r>
                    <w:rPr>
                      <w:rFonts w:cs="宋体"/>
                      <w:kern w:val="0"/>
                      <w:sz w:val="18"/>
                      <w:szCs w:val="18"/>
                    </w:rPr>
                    <w:t>-</w:t>
                  </w:r>
                  <w:r>
                    <w:rPr>
                      <w:rFonts w:hint="eastAsia" w:cs="宋体"/>
                      <w:kern w:val="0"/>
                      <w:sz w:val="18"/>
                      <w:szCs w:val="18"/>
                    </w:rPr>
                    <w:t>网</w:t>
                  </w:r>
                  <w:r>
                    <w:rPr>
                      <w:rFonts w:cs="宋体"/>
                      <w:kern w:val="0"/>
                      <w:sz w:val="18"/>
                      <w:szCs w:val="18"/>
                    </w:rPr>
                    <w:t>-</w:t>
                  </w:r>
                  <w:r>
                    <w:rPr>
                      <w:rFonts w:hint="eastAsia" w:cs="宋体"/>
                      <w:kern w:val="0"/>
                      <w:sz w:val="18"/>
                      <w:szCs w:val="18"/>
                    </w:rPr>
                    <w:t>河”一体化运营模式，大力推进工业废水近零排放和资源化利用，实施城镇生活再生水资源化分质利用。</w:t>
                  </w:r>
                </w:p>
              </w:tc>
              <w:tc>
                <w:tcPr>
                  <w:tcW w:w="2075" w:type="dxa"/>
                  <w:vAlign w:val="center"/>
                </w:tcPr>
                <w:p w14:paraId="109CA336">
                  <w:pPr>
                    <w:adjustRightInd w:val="0"/>
                    <w:snapToGrid w:val="0"/>
                    <w:jc w:val="both"/>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根据文件中生态环境管控体系的划定，本项目位于</w:t>
                  </w:r>
                  <w:r>
                    <w:rPr>
                      <w:rFonts w:hint="eastAsia" w:ascii="Times New Roman" w:hAnsi="Times New Roman" w:cs="Times New Roman"/>
                      <w:color w:val="auto"/>
                      <w:kern w:val="0"/>
                      <w:sz w:val="18"/>
                      <w:szCs w:val="18"/>
                      <w:lang w:val="en-US" w:eastAsia="zh-CN"/>
                    </w:rPr>
                    <w:t>大同经济技术开发区起步区控制性详细规划（装备制造业基地）</w:t>
                  </w:r>
                  <w:r>
                    <w:rPr>
                      <w:rFonts w:hint="default" w:ascii="Times New Roman" w:hAnsi="Times New Roman" w:cs="Times New Roman"/>
                      <w:color w:val="auto"/>
                      <w:kern w:val="0"/>
                      <w:sz w:val="18"/>
                      <w:szCs w:val="18"/>
                    </w:rPr>
                    <w:t>，占地属于</w:t>
                  </w:r>
                  <w:r>
                    <w:rPr>
                      <w:rFonts w:hint="eastAsia" w:cs="Times New Roman"/>
                      <w:color w:val="auto"/>
                      <w:kern w:val="0"/>
                      <w:sz w:val="18"/>
                      <w:szCs w:val="18"/>
                      <w:lang w:val="en-US" w:eastAsia="zh-CN"/>
                    </w:rPr>
                    <w:t>重点</w:t>
                  </w:r>
                  <w:r>
                    <w:rPr>
                      <w:rFonts w:hint="default" w:ascii="Times New Roman" w:hAnsi="Times New Roman" w:cs="Times New Roman"/>
                      <w:color w:val="auto"/>
                      <w:kern w:val="0"/>
                      <w:sz w:val="18"/>
                      <w:szCs w:val="18"/>
                    </w:rPr>
                    <w:t>管控单元。本项目不属于依法禁止或限制的建设活动，不属于“两高”项目；本项</w:t>
                  </w:r>
                  <w:r>
                    <w:rPr>
                      <w:rFonts w:hint="default" w:ascii="Times New Roman" w:hAnsi="Times New Roman" w:cs="Times New Roman"/>
                      <w:color w:val="auto"/>
                      <w:sz w:val="18"/>
                      <w:szCs w:val="18"/>
                    </w:rPr>
                    <w:t>目采取相应的环保措施，保证废水、废气、噪声</w:t>
                  </w:r>
                  <w:r>
                    <w:rPr>
                      <w:rFonts w:hint="default" w:ascii="Times New Roman" w:hAnsi="Times New Roman" w:cs="Times New Roman"/>
                      <w:color w:val="auto"/>
                      <w:sz w:val="18"/>
                      <w:szCs w:val="18"/>
                      <w:lang w:val="en-US" w:eastAsia="zh-CN"/>
                    </w:rPr>
                    <w:t>等达标排放，</w:t>
                  </w:r>
                  <w:r>
                    <w:rPr>
                      <w:rFonts w:hint="default" w:ascii="Times New Roman" w:hAnsi="Times New Roman" w:cs="Times New Roman"/>
                      <w:color w:val="auto"/>
                      <w:sz w:val="18"/>
                      <w:szCs w:val="18"/>
                    </w:rPr>
                    <w:t>固体废物合理处置</w:t>
                  </w:r>
                  <w:r>
                    <w:rPr>
                      <w:rFonts w:hint="default" w:ascii="Times New Roman" w:hAnsi="Times New Roman" w:cs="Times New Roman"/>
                      <w:color w:val="auto"/>
                      <w:sz w:val="18"/>
                      <w:szCs w:val="18"/>
                      <w:lang w:val="en-US" w:eastAsia="zh-CN"/>
                    </w:rPr>
                    <w:t>，运营期</w:t>
                  </w:r>
                  <w:r>
                    <w:rPr>
                      <w:rFonts w:hint="default" w:ascii="Times New Roman" w:hAnsi="Times New Roman" w:cs="Times New Roman"/>
                      <w:color w:val="auto"/>
                      <w:sz w:val="18"/>
                      <w:szCs w:val="18"/>
                    </w:rPr>
                    <w:t>不会对环境造成</w:t>
                  </w:r>
                  <w:r>
                    <w:rPr>
                      <w:rFonts w:hint="default" w:ascii="Times New Roman" w:hAnsi="Times New Roman" w:cs="Times New Roman"/>
                      <w:color w:val="auto"/>
                      <w:sz w:val="18"/>
                      <w:szCs w:val="18"/>
                      <w:lang w:val="en-US" w:eastAsia="zh-CN"/>
                    </w:rPr>
                    <w:t>明显</w:t>
                  </w:r>
                  <w:r>
                    <w:rPr>
                      <w:rFonts w:hint="default" w:ascii="Times New Roman" w:hAnsi="Times New Roman" w:cs="Times New Roman"/>
                      <w:color w:val="auto"/>
                      <w:sz w:val="18"/>
                      <w:szCs w:val="18"/>
                    </w:rPr>
                    <w:t>影响。</w:t>
                  </w:r>
                </w:p>
              </w:tc>
              <w:tc>
                <w:tcPr>
                  <w:tcW w:w="855" w:type="dxa"/>
                  <w:vAlign w:val="center"/>
                </w:tcPr>
                <w:p w14:paraId="5B4EF3CD">
                  <w:pPr>
                    <w:widowControl/>
                    <w:spacing w:line="240" w:lineRule="exact"/>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符合生态环境划定</w:t>
                  </w:r>
                  <w:r>
                    <w:rPr>
                      <w:rFonts w:hint="eastAsia" w:cs="Times New Roman"/>
                      <w:color w:val="auto"/>
                      <w:kern w:val="0"/>
                      <w:sz w:val="18"/>
                      <w:szCs w:val="18"/>
                      <w:lang w:val="en-US" w:eastAsia="zh-CN"/>
                    </w:rPr>
                    <w:t>重点</w:t>
                  </w:r>
                  <w:r>
                    <w:rPr>
                      <w:rFonts w:hint="default" w:ascii="Times New Roman" w:hAnsi="Times New Roman" w:cs="Times New Roman"/>
                      <w:color w:val="auto"/>
                      <w:kern w:val="0"/>
                      <w:sz w:val="18"/>
                      <w:szCs w:val="18"/>
                    </w:rPr>
                    <w:t>管控要求</w:t>
                  </w:r>
                </w:p>
              </w:tc>
            </w:tr>
          </w:tbl>
          <w:p w14:paraId="70D544AE">
            <w:pPr>
              <w:spacing w:line="360" w:lineRule="auto"/>
              <w:ind w:firstLine="420" w:firstLineChars="20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本项目占地属于大同市生态环境管控单元中的</w:t>
            </w:r>
            <w:r>
              <w:rPr>
                <w:rFonts w:hint="eastAsia" w:cs="Times New Roman"/>
                <w:color w:val="auto"/>
                <w:szCs w:val="21"/>
                <w:lang w:val="en-US" w:eastAsia="zh-CN"/>
              </w:rPr>
              <w:t>重点</w:t>
            </w:r>
            <w:r>
              <w:rPr>
                <w:rFonts w:hint="default" w:ascii="Times New Roman" w:hAnsi="Times New Roman" w:cs="Times New Roman"/>
                <w:color w:val="auto"/>
                <w:szCs w:val="21"/>
                <w:lang w:val="en-US" w:eastAsia="zh-CN"/>
              </w:rPr>
              <w:t>管控单元，项目的建设符合</w:t>
            </w:r>
            <w:r>
              <w:rPr>
                <w:rFonts w:hint="eastAsia" w:cs="Times New Roman"/>
                <w:color w:val="auto"/>
                <w:szCs w:val="21"/>
                <w:lang w:val="en-US" w:eastAsia="zh-CN"/>
              </w:rPr>
              <w:t>重点</w:t>
            </w:r>
            <w:r>
              <w:rPr>
                <w:rFonts w:hint="default" w:ascii="Times New Roman" w:hAnsi="Times New Roman" w:cs="Times New Roman"/>
                <w:color w:val="auto"/>
                <w:szCs w:val="21"/>
                <w:lang w:val="en-US" w:eastAsia="zh-CN"/>
              </w:rPr>
              <w:t>管控要求。</w:t>
            </w:r>
            <w:r>
              <w:rPr>
                <w:rFonts w:hint="default" w:ascii="Times New Roman" w:hAnsi="Times New Roman" w:cs="Times New Roman"/>
                <w:color w:val="auto"/>
                <w:szCs w:val="21"/>
              </w:rPr>
              <w:t>本项目选址不违背生态保护红线保护要求。</w:t>
            </w:r>
          </w:p>
          <w:p w14:paraId="1C4E7C4A">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（2）与环境质量底线的符合性分析</w:t>
            </w:r>
          </w:p>
          <w:p w14:paraId="73C5D45F">
            <w:pPr>
              <w:spacing w:line="360" w:lineRule="auto"/>
              <w:ind w:firstLine="420" w:firstLineChars="20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rPr>
              <w:t>①根据大同市202</w:t>
            </w:r>
            <w:r>
              <w:rPr>
                <w:rFonts w:hint="eastAsia" w:cs="Times New Roman"/>
                <w:color w:val="auto"/>
                <w:szCs w:val="21"/>
                <w:lang w:val="en-US" w:eastAsia="zh-CN"/>
              </w:rPr>
              <w:t>5</w:t>
            </w:r>
            <w:r>
              <w:rPr>
                <w:rFonts w:hint="default" w:ascii="Times New Roman" w:hAnsi="Times New Roman" w:cs="Times New Roman"/>
                <w:color w:val="auto"/>
                <w:szCs w:val="21"/>
              </w:rPr>
              <w:t>年公布的</w:t>
            </w:r>
            <w:r>
              <w:rPr>
                <w:rFonts w:hint="eastAsia" w:cs="Times New Roman"/>
                <w:color w:val="auto"/>
                <w:szCs w:val="21"/>
                <w:lang w:val="en-US" w:eastAsia="zh-CN"/>
              </w:rPr>
              <w:t>广灵县</w:t>
            </w:r>
            <w:r>
              <w:rPr>
                <w:rFonts w:hint="default" w:ascii="Times New Roman" w:hAnsi="Times New Roman" w:cs="Times New Roman"/>
                <w:color w:val="auto"/>
                <w:szCs w:val="21"/>
              </w:rPr>
              <w:t>环境空气质量状况中的数据显示，区域环境空气</w:t>
            </w:r>
            <w:r>
              <w:rPr>
                <w:rFonts w:hint="eastAsia" w:cs="Times New Roman"/>
                <w:color w:val="auto"/>
                <w:szCs w:val="21"/>
                <w:lang w:val="en-US" w:eastAsia="zh-CN"/>
              </w:rPr>
              <w:t>中</w:t>
            </w:r>
            <w:r>
              <w:rPr>
                <w:color w:val="auto"/>
                <w:szCs w:val="21"/>
              </w:rPr>
              <w:t>SO</w:t>
            </w:r>
            <w:r>
              <w:rPr>
                <w:color w:val="auto"/>
                <w:szCs w:val="21"/>
                <w:vertAlign w:val="subscript"/>
              </w:rPr>
              <w:t>2</w:t>
            </w:r>
            <w:r>
              <w:rPr>
                <w:color w:val="auto"/>
                <w:szCs w:val="21"/>
              </w:rPr>
              <w:t>、NO</w:t>
            </w:r>
            <w:r>
              <w:rPr>
                <w:color w:val="auto"/>
                <w:szCs w:val="21"/>
                <w:vertAlign w:val="subscript"/>
              </w:rPr>
              <w:t>2</w:t>
            </w:r>
            <w:r>
              <w:rPr>
                <w:color w:val="auto"/>
                <w:szCs w:val="21"/>
              </w:rPr>
              <w:t>、PM</w:t>
            </w:r>
            <w:r>
              <w:rPr>
                <w:color w:val="auto"/>
                <w:szCs w:val="21"/>
                <w:vertAlign w:val="subscript"/>
              </w:rPr>
              <w:t>10</w:t>
            </w:r>
            <w:r>
              <w:rPr>
                <w:color w:val="auto"/>
                <w:szCs w:val="21"/>
              </w:rPr>
              <w:t>、PM</w:t>
            </w:r>
            <w:r>
              <w:rPr>
                <w:color w:val="auto"/>
                <w:szCs w:val="21"/>
                <w:vertAlign w:val="subscript"/>
              </w:rPr>
              <w:t>2.5</w:t>
            </w:r>
            <w:r>
              <w:rPr>
                <w:color w:val="auto"/>
                <w:szCs w:val="21"/>
              </w:rPr>
              <w:t>、CO、O</w:t>
            </w:r>
            <w:r>
              <w:rPr>
                <w:color w:val="auto"/>
                <w:szCs w:val="21"/>
                <w:vertAlign w:val="subscript"/>
              </w:rPr>
              <w:t>3</w:t>
            </w:r>
            <w:r>
              <w:rPr>
                <w:rFonts w:hint="default" w:ascii="Times New Roman" w:hAnsi="Times New Roman" w:cs="Times New Roman"/>
                <w:color w:val="auto"/>
                <w:szCs w:val="21"/>
                <w:lang w:val="zh-CN"/>
              </w:rPr>
              <w:t>均未超标，</w:t>
            </w:r>
            <w:r>
              <w:rPr>
                <w:rFonts w:hint="default" w:ascii="Times New Roman" w:hAnsi="Times New Roman" w:cs="Times New Roman"/>
                <w:color w:val="auto"/>
                <w:szCs w:val="21"/>
              </w:rPr>
              <w:t>区域属达标区。</w:t>
            </w:r>
            <w:r>
              <w:rPr>
                <w:rFonts w:hint="eastAsia" w:cs="Times New Roman"/>
                <w:color w:val="auto"/>
                <w:szCs w:val="21"/>
                <w:lang w:val="en-US" w:eastAsia="zh-CN"/>
              </w:rPr>
              <w:t>根据现状环境监测数据可知，项目所在区域TSP、NMHC未超标。</w:t>
            </w:r>
          </w:p>
          <w:p w14:paraId="26190E4A">
            <w:pPr>
              <w:spacing w:line="360" w:lineRule="auto"/>
              <w:ind w:firstLine="420" w:firstLineChars="200"/>
              <w:rPr>
                <w:rFonts w:hint="default" w:ascii="宋体" w:hAnsi="宋体" w:eastAsia="宋体" w:cs="宋体"/>
                <w:color w:val="auto"/>
                <w:szCs w:val="21"/>
                <w:lang w:val="en-US" w:eastAsia="zh-CN"/>
              </w:rPr>
            </w:pPr>
            <w:r>
              <w:rPr>
                <w:rFonts w:hint="default" w:ascii="Times New Roman" w:hAnsi="Times New Roman" w:cs="Times New Roman"/>
                <w:color w:val="auto"/>
                <w:szCs w:val="21"/>
              </w:rPr>
              <w:t>②本项目运营期</w:t>
            </w:r>
            <w:r>
              <w:rPr>
                <w:rFonts w:hint="eastAsia" w:cs="Times New Roman"/>
                <w:color w:val="auto"/>
                <w:szCs w:val="21"/>
                <w:lang w:val="en-US" w:eastAsia="zh-CN"/>
              </w:rPr>
              <w:t>废水经化粪池沉淀后，进入园区市政污水管网系统，最终进入大同市御东污水处理厂，不直接外排，对地表水环境影响较小</w:t>
            </w:r>
            <w:r>
              <w:rPr>
                <w:rFonts w:hint="eastAsia" w:ascii="Times New Roman" w:hAnsi="Times New Roman" w:cs="Times New Roman"/>
                <w:color w:val="auto"/>
                <w:szCs w:val="21"/>
                <w:lang w:val="en-US" w:eastAsia="zh-CN"/>
              </w:rPr>
              <w:t>。</w:t>
            </w:r>
          </w:p>
          <w:p w14:paraId="521C472D">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③本项目运营期各设备均</w:t>
            </w:r>
            <w:r>
              <w:rPr>
                <w:rFonts w:hint="eastAsia" w:cs="Times New Roman"/>
                <w:color w:val="auto"/>
                <w:szCs w:val="21"/>
                <w:lang w:val="en-US" w:eastAsia="zh-CN"/>
              </w:rPr>
              <w:t>采取基础减振等措施</w:t>
            </w:r>
            <w:r>
              <w:rPr>
                <w:rFonts w:hint="default" w:ascii="Times New Roman" w:hAnsi="Times New Roman" w:cs="Times New Roman"/>
                <w:color w:val="auto"/>
                <w:szCs w:val="21"/>
              </w:rPr>
              <w:t>，经</w:t>
            </w:r>
            <w:r>
              <w:rPr>
                <w:rFonts w:hint="eastAsia" w:cs="Times New Roman"/>
                <w:color w:val="auto"/>
                <w:szCs w:val="21"/>
                <w:lang w:val="en-US" w:eastAsia="zh-CN"/>
              </w:rPr>
              <w:t>构筑物</w:t>
            </w:r>
            <w:r>
              <w:rPr>
                <w:rFonts w:hint="default" w:ascii="Times New Roman" w:hAnsi="Times New Roman" w:cs="Times New Roman"/>
                <w:color w:val="auto"/>
                <w:szCs w:val="21"/>
              </w:rPr>
              <w:t>及厂区绿化衰减后，运营期声环境影响较小，对周围声环境影响不大。</w:t>
            </w:r>
          </w:p>
          <w:p w14:paraId="629AB15F">
            <w:pPr>
              <w:spacing w:line="360" w:lineRule="auto"/>
              <w:ind w:firstLine="420" w:firstLineChars="200"/>
              <w:rPr>
                <w:rFonts w:hint="default" w:ascii="Times New Roman" w:hAnsi="Times New Roman" w:eastAsia="宋体" w:cs="Times New Roman"/>
                <w:color w:val="auto"/>
                <w:szCs w:val="21"/>
                <w:lang w:val="en-US" w:eastAsia="zh-CN"/>
              </w:rPr>
            </w:pPr>
            <w:r>
              <w:rPr>
                <w:rFonts w:hint="eastAsia" w:ascii="宋体" w:hAnsi="宋体" w:eastAsia="宋体" w:cs="宋体"/>
                <w:color w:val="auto"/>
                <w:szCs w:val="21"/>
                <w:lang w:val="en-US" w:eastAsia="zh-CN"/>
              </w:rPr>
              <w:t>④</w:t>
            </w:r>
            <w:r>
              <w:rPr>
                <w:rFonts w:hint="eastAsia" w:cs="Times New Roman"/>
                <w:color w:val="auto"/>
                <w:szCs w:val="21"/>
                <w:lang w:val="en-US" w:eastAsia="zh-CN"/>
              </w:rPr>
              <w:t>运营期危险废物合理贮存。</w:t>
            </w:r>
          </w:p>
          <w:p w14:paraId="22397FB0">
            <w:pPr>
              <w:spacing w:line="360" w:lineRule="auto"/>
              <w:ind w:firstLine="420" w:firstLineChars="200"/>
              <w:rPr>
                <w:rFonts w:hint="default" w:ascii="Times New Roman" w:hAnsi="Times New Roman" w:cs="Times New Roman"/>
                <w:color w:val="auto"/>
                <w:szCs w:val="21"/>
              </w:rPr>
            </w:pPr>
            <w:r>
              <w:rPr>
                <w:rFonts w:hint="eastAsia" w:cs="Times New Roman"/>
                <w:color w:val="auto"/>
                <w:szCs w:val="21"/>
                <w:lang w:val="en-US" w:eastAsia="zh-CN"/>
              </w:rPr>
              <w:t>综上所述，本项目的建设不违背环境质量底线要求</w:t>
            </w:r>
            <w:r>
              <w:rPr>
                <w:rFonts w:hint="default" w:ascii="Times New Roman" w:hAnsi="Times New Roman" w:cs="Times New Roman"/>
                <w:color w:val="auto"/>
                <w:szCs w:val="21"/>
              </w:rPr>
              <w:t>。</w:t>
            </w:r>
          </w:p>
          <w:p w14:paraId="3037C85E">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（3）与资源利用上线的符合性分析</w:t>
            </w:r>
          </w:p>
          <w:p w14:paraId="3CD55ABD">
            <w:pPr>
              <w:spacing w:line="360" w:lineRule="auto"/>
              <w:ind w:firstLine="420" w:firstLineChars="200"/>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本项目生产过程中不使用煤炭、燃料油等资源。项目不违背资源利用上限要求。</w:t>
            </w:r>
          </w:p>
          <w:p w14:paraId="0BAD1E5F">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（4）与环境准入负面清单的符合性分析</w:t>
            </w:r>
          </w:p>
          <w:p w14:paraId="4A3FF1D8">
            <w:pPr>
              <w:spacing w:line="360" w:lineRule="auto"/>
              <w:ind w:firstLine="420" w:firstLineChars="200"/>
              <w:jc w:val="both"/>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rPr>
              <w:t>据调查，</w:t>
            </w:r>
            <w:r>
              <w:rPr>
                <w:rFonts w:hint="eastAsia" w:cs="Times New Roman"/>
                <w:color w:val="auto"/>
                <w:szCs w:val="21"/>
                <w:lang w:val="en-US" w:eastAsia="zh-CN"/>
              </w:rPr>
              <w:t>项目占地区域未制定环境准入负面清单内容</w:t>
            </w:r>
            <w:r>
              <w:rPr>
                <w:rFonts w:hint="default" w:ascii="Times New Roman" w:hAnsi="Times New Roman" w:cs="Times New Roman"/>
                <w:color w:val="auto"/>
                <w:szCs w:val="21"/>
                <w:lang w:val="en-US" w:eastAsia="zh-CN"/>
              </w:rPr>
              <w:t>。</w:t>
            </w:r>
            <w:r>
              <w:rPr>
                <w:rFonts w:hint="eastAsia" w:cs="Times New Roman"/>
                <w:color w:val="auto"/>
                <w:szCs w:val="21"/>
                <w:lang w:val="en-US" w:eastAsia="zh-CN"/>
              </w:rPr>
              <w:t>本项目不在园区所制订的准入负面清单内容。</w:t>
            </w:r>
          </w:p>
          <w:p w14:paraId="352D1817">
            <w:pPr>
              <w:spacing w:line="360" w:lineRule="auto"/>
              <w:ind w:firstLine="420" w:firstLineChars="200"/>
              <w:rPr>
                <w:rFonts w:hint="default" w:ascii="Times New Roman" w:hAnsi="Times New Roman" w:cs="Times New Roman"/>
                <w:bCs/>
                <w:color w:val="auto"/>
                <w:szCs w:val="21"/>
              </w:rPr>
            </w:pPr>
            <w:r>
              <w:rPr>
                <w:rFonts w:hint="default" w:ascii="Times New Roman" w:hAnsi="Times New Roman" w:cs="Times New Roman"/>
                <w:bCs/>
                <w:color w:val="auto"/>
                <w:szCs w:val="21"/>
              </w:rPr>
              <w:t>另外，本项目建设单位承诺积极配合当地环境管理以及相关部门的各项管理与监督。</w:t>
            </w:r>
          </w:p>
          <w:p w14:paraId="0E2DBF5A">
            <w:pPr>
              <w:autoSpaceDE w:val="0"/>
              <w:autoSpaceDN w:val="0"/>
              <w:adjustRightInd w:val="0"/>
              <w:snapToGrid w:val="0"/>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综上所述，本项目的建设符合“三线一单”的管控要求。</w:t>
            </w:r>
          </w:p>
          <w:p w14:paraId="43122AEB">
            <w:pPr>
              <w:pStyle w:val="79"/>
              <w:snapToGrid/>
              <w:ind w:firstLine="422"/>
              <w:rPr>
                <w:rFonts w:hint="default" w:ascii="Times New Roman" w:hAnsi="Times New Roman" w:cs="Times New Roman"/>
                <w:bCs/>
                <w:color w:val="auto"/>
                <w:szCs w:val="21"/>
              </w:rPr>
            </w:pPr>
            <w:r>
              <w:rPr>
                <w:rFonts w:hint="eastAsia" w:ascii="Times New Roman" w:hAnsi="Times New Roman" w:cs="Times New Roman"/>
                <w:bCs/>
                <w:color w:val="auto"/>
                <w:szCs w:val="21"/>
                <w:lang w:val="en-US" w:eastAsia="zh-CN"/>
              </w:rPr>
              <w:t>3</w:t>
            </w:r>
            <w:r>
              <w:rPr>
                <w:rFonts w:hint="default" w:ascii="Times New Roman" w:hAnsi="Times New Roman" w:cs="Times New Roman"/>
                <w:bCs/>
                <w:color w:val="auto"/>
                <w:szCs w:val="21"/>
              </w:rPr>
              <w:t>、产业政策符合性分析</w:t>
            </w:r>
          </w:p>
          <w:p w14:paraId="5E2BB21B">
            <w:pPr>
              <w:pStyle w:val="79"/>
              <w:snapToGrid/>
              <w:ind w:firstLine="411" w:firstLineChars="196"/>
              <w:jc w:val="both"/>
              <w:rPr>
                <w:rFonts w:hint="eastAsia" w:ascii="Times New Roman" w:hAnsi="Times New Roman" w:cs="Times New Roman"/>
                <w:b w:val="0"/>
                <w:bCs/>
                <w:color w:val="auto"/>
                <w:szCs w:val="21"/>
                <w:lang w:val="en-US" w:eastAsia="zh-CN"/>
              </w:rPr>
            </w:pPr>
            <w:r>
              <w:rPr>
                <w:rFonts w:hint="default" w:ascii="Times New Roman" w:hAnsi="Times New Roman" w:cs="Times New Roman"/>
                <w:b w:val="0"/>
                <w:bCs/>
                <w:color w:val="auto"/>
                <w:szCs w:val="21"/>
                <w:lang w:val="en-US" w:eastAsia="zh-CN"/>
              </w:rPr>
              <w:t>根据《产业结构调整指导目录（2024年本）》，本项目不属于鼓励、限制、淘汰类项目。</w:t>
            </w:r>
            <w:r>
              <w:rPr>
                <w:rFonts w:hint="eastAsia" w:ascii="Times New Roman" w:hAnsi="Times New Roman" w:cs="Times New Roman"/>
                <w:b w:val="0"/>
                <w:bCs/>
                <w:color w:val="auto"/>
                <w:szCs w:val="21"/>
                <w:lang w:val="en-US" w:eastAsia="zh-CN"/>
              </w:rPr>
              <w:t>本项目不属于“两高一耗”项目，生产工艺符合相关规范和清洁生产相关要求，本环评提出的环保措施要求符合“环保技术目录”要求。</w:t>
            </w:r>
          </w:p>
          <w:p w14:paraId="58BD45AE">
            <w:pPr>
              <w:pStyle w:val="79"/>
              <w:snapToGrid/>
              <w:ind w:firstLine="411" w:firstLineChars="196"/>
              <w:jc w:val="both"/>
              <w:rPr>
                <w:rFonts w:hint="default" w:ascii="Times New Roman" w:hAnsi="Times New Roman" w:cs="Times New Roman"/>
                <w:b w:val="0"/>
                <w:bCs/>
                <w:color w:val="auto"/>
                <w:szCs w:val="21"/>
                <w:lang w:val="en-US" w:eastAsia="zh-CN"/>
              </w:rPr>
            </w:pPr>
            <w:r>
              <w:rPr>
                <w:rFonts w:hint="default" w:ascii="Times New Roman" w:hAnsi="Times New Roman" w:cs="Times New Roman"/>
                <w:b w:val="0"/>
                <w:bCs/>
                <w:color w:val="auto"/>
                <w:szCs w:val="21"/>
                <w:lang w:val="en-US" w:eastAsia="zh-CN"/>
              </w:rPr>
              <w:t>由此可知，本项目的建设不违背国家产业政策。</w:t>
            </w:r>
          </w:p>
          <w:p w14:paraId="0CBF1EF4">
            <w:pPr>
              <w:pStyle w:val="79"/>
              <w:snapToGrid/>
              <w:ind w:firstLine="413" w:firstLineChars="196"/>
              <w:rPr>
                <w:rFonts w:hint="eastAsia" w:ascii="Times New Roman" w:hAnsi="Times New Roman"/>
                <w:b/>
                <w:bCs w:val="0"/>
                <w:color w:val="auto"/>
                <w:szCs w:val="21"/>
                <w:lang w:val="en-US" w:eastAsia="zh-CN"/>
              </w:rPr>
            </w:pPr>
            <w:r>
              <w:rPr>
                <w:rFonts w:hint="eastAsia" w:ascii="Times New Roman" w:hAnsi="Times New Roman" w:cs="Times New Roman"/>
                <w:b/>
                <w:bCs w:val="0"/>
                <w:color w:val="auto"/>
                <w:szCs w:val="21"/>
                <w:lang w:val="en-US" w:eastAsia="zh-CN"/>
              </w:rPr>
              <w:t>4、</w:t>
            </w:r>
            <w:r>
              <w:rPr>
                <w:rFonts w:hint="eastAsia" w:ascii="Times New Roman" w:hAnsi="Times New Roman"/>
                <w:b/>
                <w:bCs w:val="0"/>
                <w:color w:val="auto"/>
                <w:szCs w:val="21"/>
                <w:lang w:val="en-US" w:eastAsia="zh-CN"/>
              </w:rPr>
              <w:t>水源地</w:t>
            </w:r>
          </w:p>
          <w:p w14:paraId="4CBCB2D5">
            <w:pPr>
              <w:spacing w:line="360" w:lineRule="auto"/>
              <w:ind w:firstLine="420" w:firstLineChars="200"/>
              <w:rPr>
                <w:szCs w:val="21"/>
              </w:rPr>
            </w:pPr>
            <w:r>
              <w:rPr>
                <w:rFonts w:hint="eastAsia"/>
                <w:szCs w:val="21"/>
              </w:rPr>
              <w:t>项目厂址距离最近的水源地为</w:t>
            </w:r>
            <w:r>
              <w:rPr>
                <w:szCs w:val="21"/>
              </w:rPr>
              <w:t>周士庄镇集中供水水源地。</w:t>
            </w:r>
          </w:p>
          <w:p w14:paraId="7A93AC11">
            <w:pPr>
              <w:spacing w:line="360" w:lineRule="auto"/>
              <w:ind w:firstLine="420" w:firstLineChars="200"/>
              <w:rPr>
                <w:szCs w:val="21"/>
              </w:rPr>
            </w:pPr>
            <w:r>
              <w:rPr>
                <w:szCs w:val="21"/>
              </w:rPr>
              <w:t>周士庄镇集中供水水源地设有一眼供水井，位于周士庄镇周士庄村西北角，水源井位置东经113°27′34.80″，北纬40°6′51.54″，地面标高1116m，含水层类型为孔隙层压水，井深100m，静水位27m，降深10m。一级保护区边界范围：以供水井为中心，半径R1为130m的圆形区域为边界，一级保护区面积为0.053km</w:t>
            </w:r>
            <w:r>
              <w:rPr>
                <w:szCs w:val="21"/>
                <w:vertAlign w:val="superscript"/>
              </w:rPr>
              <w:t>2</w:t>
            </w:r>
            <w:r>
              <w:rPr>
                <w:szCs w:val="21"/>
              </w:rPr>
              <w:t>。</w:t>
            </w:r>
          </w:p>
          <w:p w14:paraId="72BCDDE3">
            <w:pPr>
              <w:spacing w:line="360" w:lineRule="auto"/>
              <w:ind w:firstLine="420" w:firstLineChars="200"/>
              <w:rPr>
                <w:szCs w:val="21"/>
              </w:rPr>
            </w:pPr>
            <w:r>
              <w:rPr>
                <w:szCs w:val="21"/>
              </w:rPr>
              <w:t>本项目位于周士庄镇集中供水水源地西南侧，距离周士庄镇集中供水水源一级保护区约</w:t>
            </w:r>
            <w:r>
              <w:rPr>
                <w:rFonts w:hint="eastAsia"/>
                <w:szCs w:val="21"/>
              </w:rPr>
              <w:t>2.9</w:t>
            </w:r>
            <w:r>
              <w:rPr>
                <w:szCs w:val="21"/>
              </w:rPr>
              <w:t>km。不在水源地保护区范围内。本项目与周士庄镇集中供水水源地位置关系图见附图</w:t>
            </w:r>
            <w:r>
              <w:rPr>
                <w:rFonts w:hint="eastAsia"/>
                <w:szCs w:val="21"/>
                <w:lang w:val="en-US" w:eastAsia="zh-CN"/>
              </w:rPr>
              <w:t>6</w:t>
            </w:r>
            <w:r>
              <w:rPr>
                <w:szCs w:val="21"/>
              </w:rPr>
              <w:t>。</w:t>
            </w:r>
          </w:p>
          <w:p w14:paraId="60ADAF4F">
            <w:pPr>
              <w:spacing w:line="360" w:lineRule="auto"/>
              <w:ind w:firstLine="422" w:firstLineChars="200"/>
              <w:rPr>
                <w:szCs w:val="21"/>
              </w:rPr>
            </w:pPr>
            <w:r>
              <w:rPr>
                <w:rFonts w:hint="eastAsia" w:ascii="Times New Roman" w:hAnsi="Times New Roman"/>
                <w:b/>
                <w:bCs w:val="0"/>
                <w:color w:val="auto"/>
                <w:szCs w:val="21"/>
                <w:lang w:val="en-US" w:eastAsia="zh-CN"/>
              </w:rPr>
              <w:t>5、</w:t>
            </w:r>
            <w:r>
              <w:rPr>
                <w:rFonts w:hint="default" w:ascii="Times New Roman" w:hAnsi="Times New Roman" w:cs="Times New Roman"/>
                <w:b/>
                <w:bCs w:val="0"/>
                <w:color w:val="auto"/>
                <w:szCs w:val="21"/>
                <w:lang w:val="en-US" w:eastAsia="zh-CN"/>
              </w:rPr>
              <w:t>其他产业政策符合性分析</w:t>
            </w:r>
          </w:p>
          <w:p w14:paraId="75B61811">
            <w:pPr>
              <w:pStyle w:val="46"/>
              <w:jc w:val="center"/>
              <w:rPr>
                <w:rFonts w:ascii="Times New Roman"/>
                <w:sz w:val="18"/>
                <w:szCs w:val="18"/>
              </w:rPr>
            </w:pPr>
            <w:r>
              <w:rPr>
                <w:rFonts w:hint="eastAsia" w:ascii="Times New Roman"/>
                <w:b/>
                <w:bCs/>
                <w:sz w:val="18"/>
                <w:szCs w:val="18"/>
              </w:rPr>
              <w:t>表1-</w:t>
            </w:r>
            <w:r>
              <w:rPr>
                <w:rFonts w:hint="eastAsia" w:ascii="Times New Roman"/>
                <w:b/>
                <w:bCs/>
                <w:sz w:val="18"/>
                <w:szCs w:val="18"/>
                <w:lang w:val="en-US" w:eastAsia="zh-CN"/>
              </w:rPr>
              <w:t>6</w:t>
            </w:r>
            <w:r>
              <w:rPr>
                <w:rFonts w:hint="eastAsia" w:ascii="Times New Roman"/>
                <w:b/>
                <w:bCs/>
                <w:sz w:val="18"/>
                <w:szCs w:val="18"/>
              </w:rPr>
              <w:t xml:space="preserve">    </w:t>
            </w:r>
            <w:r>
              <w:rPr>
                <w:rFonts w:hint="eastAsia"/>
                <w:b/>
                <w:bCs/>
                <w:sz w:val="18"/>
                <w:szCs w:val="18"/>
              </w:rPr>
              <w:t>与</w:t>
            </w:r>
            <w:r>
              <w:rPr>
                <w:rFonts w:hint="eastAsia" w:ascii="Times New Roman"/>
                <w:b/>
                <w:color w:val="auto"/>
                <w:sz w:val="18"/>
                <w:szCs w:val="18"/>
              </w:rPr>
              <w:t>《挥发性有机物无组织排放控制标准》相符性分析一览表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84"/>
              <w:gridCol w:w="3349"/>
              <w:gridCol w:w="1714"/>
              <w:gridCol w:w="695"/>
            </w:tblGrid>
            <w:tr w14:paraId="621C73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784CEEAD">
                  <w:pPr>
                    <w:pStyle w:val="23"/>
                    <w:jc w:val="center"/>
                    <w:rPr>
                      <w:rFonts w:ascii="Times New Roman" w:hAnsi="Times New Roman"/>
                      <w:bCs/>
                      <w:sz w:val="18"/>
                      <w:szCs w:val="18"/>
                    </w:rPr>
                  </w:pPr>
                  <w:r>
                    <w:rPr>
                      <w:rFonts w:ascii="Times New Roman" w:hAnsi="宋体"/>
                      <w:bCs/>
                      <w:sz w:val="18"/>
                      <w:szCs w:val="18"/>
                    </w:rPr>
                    <w:t>序号</w:t>
                  </w:r>
                </w:p>
              </w:tc>
              <w:tc>
                <w:tcPr>
                  <w:tcW w:w="2683" w:type="pct"/>
                  <w:vAlign w:val="center"/>
                </w:tcPr>
                <w:p w14:paraId="10D4B199">
                  <w:pPr>
                    <w:pStyle w:val="23"/>
                    <w:jc w:val="center"/>
                    <w:rPr>
                      <w:rFonts w:ascii="Times New Roman" w:hAnsi="Times New Roman"/>
                      <w:bCs/>
                      <w:sz w:val="18"/>
                      <w:szCs w:val="18"/>
                    </w:rPr>
                  </w:pPr>
                  <w:r>
                    <w:rPr>
                      <w:rFonts w:hint="eastAsia" w:ascii="Times New Roman" w:hAnsi="宋体"/>
                      <w:bCs/>
                      <w:sz w:val="18"/>
                      <w:szCs w:val="18"/>
                    </w:rPr>
                    <w:t>方案</w:t>
                  </w:r>
                  <w:r>
                    <w:rPr>
                      <w:rFonts w:ascii="Times New Roman" w:hAnsi="宋体"/>
                      <w:bCs/>
                      <w:sz w:val="18"/>
                      <w:szCs w:val="18"/>
                    </w:rPr>
                    <w:t>要求</w:t>
                  </w:r>
                </w:p>
              </w:tc>
              <w:tc>
                <w:tcPr>
                  <w:tcW w:w="1373" w:type="pct"/>
                  <w:vAlign w:val="center"/>
                </w:tcPr>
                <w:p w14:paraId="74189BAC">
                  <w:pPr>
                    <w:pStyle w:val="23"/>
                    <w:jc w:val="center"/>
                    <w:rPr>
                      <w:rFonts w:ascii="Times New Roman" w:hAnsi="Times New Roman"/>
                      <w:bCs/>
                      <w:sz w:val="18"/>
                      <w:szCs w:val="18"/>
                    </w:rPr>
                  </w:pPr>
                  <w:r>
                    <w:rPr>
                      <w:rFonts w:ascii="Times New Roman" w:hAnsi="宋体"/>
                      <w:bCs/>
                      <w:sz w:val="18"/>
                      <w:szCs w:val="18"/>
                    </w:rPr>
                    <w:t>项目情况</w:t>
                  </w:r>
                </w:p>
              </w:tc>
              <w:tc>
                <w:tcPr>
                  <w:tcW w:w="556" w:type="pct"/>
                  <w:vAlign w:val="center"/>
                </w:tcPr>
                <w:p w14:paraId="2D0586F9">
                  <w:pPr>
                    <w:pStyle w:val="23"/>
                    <w:jc w:val="center"/>
                    <w:rPr>
                      <w:rFonts w:ascii="Times New Roman" w:hAnsi="Times New Roman"/>
                      <w:bCs/>
                      <w:sz w:val="18"/>
                      <w:szCs w:val="18"/>
                    </w:rPr>
                  </w:pPr>
                  <w:r>
                    <w:rPr>
                      <w:rFonts w:ascii="Times New Roman" w:hAnsi="宋体"/>
                      <w:bCs/>
                      <w:sz w:val="18"/>
                      <w:szCs w:val="18"/>
                    </w:rPr>
                    <w:t>符合</w:t>
                  </w:r>
                  <w:r>
                    <w:rPr>
                      <w:rFonts w:hint="eastAsia" w:ascii="Times New Roman" w:hAnsi="宋体"/>
                      <w:bCs/>
                      <w:sz w:val="18"/>
                      <w:szCs w:val="18"/>
                    </w:rPr>
                    <w:t>性</w:t>
                  </w:r>
                </w:p>
              </w:tc>
            </w:tr>
            <w:tr w14:paraId="5CE7B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4E64209E">
                  <w:pPr>
                    <w:pStyle w:val="23"/>
                    <w:jc w:val="center"/>
                    <w:rPr>
                      <w:rFonts w:ascii="Times New Roman" w:hAnsi="Times New Roman"/>
                      <w:bCs/>
                      <w:sz w:val="18"/>
                      <w:szCs w:val="18"/>
                    </w:rPr>
                  </w:pPr>
                  <w:r>
                    <w:rPr>
                      <w:rFonts w:ascii="Times New Roman" w:hAnsi="Times New Roman"/>
                      <w:bCs/>
                      <w:sz w:val="18"/>
                      <w:szCs w:val="18"/>
                    </w:rPr>
                    <w:t>1</w:t>
                  </w:r>
                </w:p>
              </w:tc>
              <w:tc>
                <w:tcPr>
                  <w:tcW w:w="2683" w:type="pct"/>
                  <w:vAlign w:val="center"/>
                </w:tcPr>
                <w:p w14:paraId="31CABA64">
                  <w:pPr>
                    <w:pStyle w:val="23"/>
                    <w:rPr>
                      <w:rFonts w:ascii="Times New Roman" w:hAnsi="Times New Roman"/>
                      <w:bCs/>
                      <w:sz w:val="18"/>
                      <w:szCs w:val="18"/>
                    </w:rPr>
                  </w:pPr>
                  <w:r>
                    <w:rPr>
                      <w:rFonts w:hint="eastAsia" w:ascii="Times New Roman" w:hAnsi="Times New Roman"/>
                      <w:bCs/>
                      <w:sz w:val="18"/>
                      <w:szCs w:val="18"/>
                    </w:rPr>
                    <w:t>有机聚合物产品用于制品生产的过程，在混合/混炼、塑炼/塑化/熔化、加工成型（挤出、注射、压制、压延、发泡、纺丝等）等作业中应采用密闭设备或在密闭空间内操作，废气应排至VOCs废气收集处理系统；无法密闭的，应采取局部气体收集措施，废气应排至VOCs废气收集处理系统。</w:t>
                  </w:r>
                </w:p>
              </w:tc>
              <w:tc>
                <w:tcPr>
                  <w:tcW w:w="1373" w:type="pct"/>
                  <w:vAlign w:val="center"/>
                </w:tcPr>
                <w:p w14:paraId="43550096">
                  <w:pPr>
                    <w:pStyle w:val="23"/>
                    <w:rPr>
                      <w:rFonts w:ascii="Times New Roman" w:hAnsi="Times New Roman"/>
                      <w:bCs/>
                      <w:sz w:val="18"/>
                      <w:szCs w:val="18"/>
                    </w:rPr>
                  </w:pPr>
                  <w:r>
                    <w:rPr>
                      <w:rFonts w:hint="eastAsia" w:ascii="Times New Roman" w:hAnsi="Times New Roman"/>
                      <w:bCs/>
                      <w:sz w:val="18"/>
                      <w:szCs w:val="18"/>
                    </w:rPr>
                    <w:t>项目设全密闭喷漆房，喷漆废气负压收集，送</w:t>
                  </w:r>
                  <w:r>
                    <w:rPr>
                      <w:rFonts w:hint="eastAsia" w:ascii="Times New Roman" w:hAnsi="宋体"/>
                      <w:bCs/>
                      <w:sz w:val="18"/>
                      <w:szCs w:val="18"/>
                    </w:rPr>
                    <w:t>“</w:t>
                  </w:r>
                  <w:r>
                    <w:rPr>
                      <w:rFonts w:hint="eastAsia" w:ascii="Times New Roman" w:hAnsi="宋体"/>
                      <w:bCs/>
                      <w:sz w:val="18"/>
                      <w:szCs w:val="18"/>
                      <w:lang w:eastAsia="zh-CN"/>
                    </w:rPr>
                    <w:t>干式过滤+活性炭吸附+CO催化燃烧</w:t>
                  </w:r>
                  <w:r>
                    <w:rPr>
                      <w:rFonts w:hint="eastAsia" w:ascii="Times New Roman" w:hAnsi="宋体"/>
                      <w:bCs/>
                      <w:sz w:val="18"/>
                      <w:szCs w:val="18"/>
                    </w:rPr>
                    <w:t>”，经处理后达标排放。</w:t>
                  </w:r>
                </w:p>
              </w:tc>
              <w:tc>
                <w:tcPr>
                  <w:tcW w:w="556" w:type="pct"/>
                  <w:vAlign w:val="center"/>
                </w:tcPr>
                <w:p w14:paraId="1F159E2D">
                  <w:pPr>
                    <w:pStyle w:val="23"/>
                    <w:jc w:val="center"/>
                    <w:rPr>
                      <w:rFonts w:ascii="Times New Roman" w:hAnsi="Times New Roman"/>
                      <w:bCs/>
                      <w:sz w:val="18"/>
                      <w:szCs w:val="18"/>
                    </w:rPr>
                  </w:pPr>
                  <w:r>
                    <w:rPr>
                      <w:rFonts w:ascii="Times New Roman" w:hAnsi="宋体"/>
                      <w:bCs/>
                      <w:sz w:val="18"/>
                      <w:szCs w:val="18"/>
                    </w:rPr>
                    <w:t>符合</w:t>
                  </w:r>
                </w:p>
              </w:tc>
            </w:tr>
            <w:tr w14:paraId="76B5A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75E3552B">
                  <w:pPr>
                    <w:pStyle w:val="23"/>
                    <w:jc w:val="center"/>
                    <w:rPr>
                      <w:rFonts w:ascii="Times New Roman" w:hAnsi="Times New Roman"/>
                      <w:bCs/>
                      <w:sz w:val="18"/>
                      <w:szCs w:val="18"/>
                    </w:rPr>
                  </w:pPr>
                  <w:r>
                    <w:rPr>
                      <w:rFonts w:hint="eastAsia" w:ascii="Times New Roman" w:hAnsi="Times New Roman"/>
                      <w:bCs/>
                      <w:sz w:val="18"/>
                      <w:szCs w:val="18"/>
                    </w:rPr>
                    <w:t>2</w:t>
                  </w:r>
                </w:p>
              </w:tc>
              <w:tc>
                <w:tcPr>
                  <w:tcW w:w="2683" w:type="pct"/>
                  <w:vAlign w:val="center"/>
                </w:tcPr>
                <w:p w14:paraId="063F21E6">
                  <w:pPr>
                    <w:pStyle w:val="23"/>
                    <w:rPr>
                      <w:rFonts w:ascii="Times New Roman" w:hAnsi="Times New Roman"/>
                      <w:bCs/>
                      <w:sz w:val="18"/>
                      <w:szCs w:val="18"/>
                    </w:rPr>
                  </w:pPr>
                  <w:r>
                    <w:rPr>
                      <w:rFonts w:hint="eastAsia" w:ascii="Times New Roman" w:hAnsi="Times New Roman"/>
                      <w:bCs/>
                      <w:sz w:val="18"/>
                      <w:szCs w:val="18"/>
                    </w:rPr>
                    <w:t>企业应建立台账，记录含VOCs原辅材料和含VOCs产品的名称、使用量、回收量、废弃量、去向以及VOCs 含量等信息。台账保存期限不少于3年。</w:t>
                  </w:r>
                </w:p>
              </w:tc>
              <w:tc>
                <w:tcPr>
                  <w:tcW w:w="1373" w:type="pct"/>
                  <w:vAlign w:val="center"/>
                </w:tcPr>
                <w:p w14:paraId="6F7024A4">
                  <w:pPr>
                    <w:pStyle w:val="23"/>
                    <w:rPr>
                      <w:rFonts w:ascii="Times New Roman" w:hAnsi="Times New Roman"/>
                      <w:bCs/>
                      <w:sz w:val="18"/>
                      <w:szCs w:val="18"/>
                    </w:rPr>
                  </w:pPr>
                  <w:r>
                    <w:rPr>
                      <w:rFonts w:hint="eastAsia" w:ascii="Times New Roman" w:hAnsi="Times New Roman"/>
                      <w:bCs/>
                      <w:sz w:val="18"/>
                      <w:szCs w:val="18"/>
                    </w:rPr>
                    <w:t>要求建设单位对原料的来源建立台账，且保存期限不少于3年。</w:t>
                  </w:r>
                </w:p>
              </w:tc>
              <w:tc>
                <w:tcPr>
                  <w:tcW w:w="556" w:type="pct"/>
                  <w:vAlign w:val="center"/>
                </w:tcPr>
                <w:p w14:paraId="399BF58D">
                  <w:pPr>
                    <w:pStyle w:val="23"/>
                    <w:jc w:val="center"/>
                    <w:rPr>
                      <w:rFonts w:ascii="Times New Roman" w:hAnsi="宋体"/>
                      <w:bCs/>
                      <w:sz w:val="18"/>
                      <w:szCs w:val="18"/>
                    </w:rPr>
                  </w:pPr>
                  <w:r>
                    <w:rPr>
                      <w:rFonts w:hint="eastAsia" w:ascii="Times New Roman" w:hAnsi="宋体"/>
                      <w:bCs/>
                      <w:sz w:val="18"/>
                      <w:szCs w:val="18"/>
                    </w:rPr>
                    <w:t>符合</w:t>
                  </w:r>
                </w:p>
              </w:tc>
            </w:tr>
            <w:tr w14:paraId="158D7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05641306">
                  <w:pPr>
                    <w:pStyle w:val="23"/>
                    <w:jc w:val="center"/>
                    <w:rPr>
                      <w:rFonts w:ascii="Times New Roman" w:hAnsi="Times New Roman"/>
                      <w:bCs/>
                      <w:sz w:val="18"/>
                      <w:szCs w:val="18"/>
                    </w:rPr>
                  </w:pPr>
                  <w:r>
                    <w:rPr>
                      <w:rFonts w:hint="eastAsia" w:ascii="Times New Roman" w:hAnsi="Times New Roman"/>
                      <w:bCs/>
                      <w:sz w:val="18"/>
                      <w:szCs w:val="18"/>
                    </w:rPr>
                    <w:t>3</w:t>
                  </w:r>
                </w:p>
              </w:tc>
              <w:tc>
                <w:tcPr>
                  <w:tcW w:w="2683" w:type="pct"/>
                  <w:vAlign w:val="center"/>
                </w:tcPr>
                <w:p w14:paraId="157994B6">
                  <w:pPr>
                    <w:pStyle w:val="23"/>
                    <w:rPr>
                      <w:rFonts w:ascii="Times New Roman" w:hAnsi="Times New Roman"/>
                      <w:bCs/>
                      <w:sz w:val="18"/>
                      <w:szCs w:val="18"/>
                    </w:rPr>
                  </w:pPr>
                  <w:r>
                    <w:rPr>
                      <w:rFonts w:hint="eastAsia" w:ascii="Times New Roman" w:hAnsi="Times New Roman"/>
                      <w:bCs/>
                      <w:sz w:val="18"/>
                      <w:szCs w:val="18"/>
                    </w:rPr>
                    <w:t>VOCs废气收集处理系统应与生产工艺设备同步运行。VOCs废气收集处理系统发生故障或检修时，对应的生产工艺设备应停止运行，待检修完毕后同步投入使用；生产工艺设备不能停止运行或不能及时停止运行的，应设置废气应急处理设施或采取其他替代措施。</w:t>
                  </w:r>
                </w:p>
              </w:tc>
              <w:tc>
                <w:tcPr>
                  <w:tcW w:w="1373" w:type="pct"/>
                  <w:vAlign w:val="center"/>
                </w:tcPr>
                <w:p w14:paraId="0691689A">
                  <w:pPr>
                    <w:pStyle w:val="23"/>
                    <w:rPr>
                      <w:rFonts w:ascii="Times New Roman" w:hAnsi="Times New Roman"/>
                      <w:bCs/>
                      <w:sz w:val="18"/>
                      <w:szCs w:val="18"/>
                    </w:rPr>
                  </w:pPr>
                  <w:r>
                    <w:rPr>
                      <w:rFonts w:hint="eastAsia" w:ascii="Times New Roman" w:hAnsi="Times New Roman"/>
                      <w:bCs/>
                      <w:sz w:val="18"/>
                      <w:szCs w:val="18"/>
                    </w:rPr>
                    <w:t>要求建设单位对废气治理设施与生产设备同步运行，且同步停止。</w:t>
                  </w:r>
                </w:p>
              </w:tc>
              <w:tc>
                <w:tcPr>
                  <w:tcW w:w="556" w:type="pct"/>
                  <w:vAlign w:val="center"/>
                </w:tcPr>
                <w:p w14:paraId="7432CE58">
                  <w:pPr>
                    <w:pStyle w:val="23"/>
                    <w:jc w:val="center"/>
                    <w:rPr>
                      <w:rFonts w:ascii="Times New Roman" w:hAnsi="宋体"/>
                      <w:bCs/>
                      <w:sz w:val="18"/>
                      <w:szCs w:val="18"/>
                    </w:rPr>
                  </w:pPr>
                  <w:r>
                    <w:rPr>
                      <w:rFonts w:hint="eastAsia" w:ascii="Times New Roman" w:hAnsi="宋体"/>
                      <w:bCs/>
                      <w:sz w:val="18"/>
                      <w:szCs w:val="18"/>
                    </w:rPr>
                    <w:t>符合</w:t>
                  </w:r>
                </w:p>
              </w:tc>
            </w:tr>
            <w:tr w14:paraId="3298CD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4B2D2D8B">
                  <w:pPr>
                    <w:pStyle w:val="23"/>
                    <w:jc w:val="center"/>
                    <w:rPr>
                      <w:rFonts w:ascii="Times New Roman" w:hAnsi="Times New Roman"/>
                      <w:bCs/>
                      <w:sz w:val="18"/>
                      <w:szCs w:val="18"/>
                    </w:rPr>
                  </w:pPr>
                  <w:r>
                    <w:rPr>
                      <w:rFonts w:hint="eastAsia" w:ascii="Times New Roman" w:hAnsi="Times New Roman"/>
                      <w:bCs/>
                      <w:sz w:val="18"/>
                      <w:szCs w:val="18"/>
                    </w:rPr>
                    <w:t>4</w:t>
                  </w:r>
                </w:p>
              </w:tc>
              <w:tc>
                <w:tcPr>
                  <w:tcW w:w="2683" w:type="pct"/>
                  <w:vAlign w:val="center"/>
                </w:tcPr>
                <w:p w14:paraId="28CE0857">
                  <w:pPr>
                    <w:pStyle w:val="23"/>
                    <w:rPr>
                      <w:rFonts w:ascii="Times New Roman" w:hAnsi="Times New Roman"/>
                      <w:bCs/>
                      <w:sz w:val="18"/>
                      <w:szCs w:val="18"/>
                    </w:rPr>
                  </w:pPr>
                  <w:r>
                    <w:rPr>
                      <w:rFonts w:hint="eastAsia" w:ascii="Times New Roman" w:hAnsi="Times New Roman"/>
                      <w:bCs/>
                      <w:sz w:val="18"/>
                      <w:szCs w:val="18"/>
                    </w:rPr>
                    <w:t>废气收集系统排风罩（集气罩）的设置应符合GB/T16758的规定。采用外部排风罩的，应按GB/T 16758、AQ/T 4274-2016规定的方法测量控制风速，测量点应选取在距排风罩开口面最远处的VOCs无组织排放位置，控制风速不应低于0.3 m/s。</w:t>
                  </w:r>
                </w:p>
              </w:tc>
              <w:tc>
                <w:tcPr>
                  <w:tcW w:w="1373" w:type="pct"/>
                  <w:vAlign w:val="center"/>
                </w:tcPr>
                <w:p w14:paraId="3F97120B">
                  <w:pPr>
                    <w:pStyle w:val="23"/>
                    <w:rPr>
                      <w:rFonts w:ascii="Times New Roman" w:hAnsi="Times New Roman"/>
                      <w:bCs/>
                      <w:sz w:val="18"/>
                      <w:szCs w:val="18"/>
                    </w:rPr>
                  </w:pPr>
                  <w:r>
                    <w:rPr>
                      <w:rFonts w:hint="eastAsia" w:ascii="Times New Roman" w:hAnsi="Times New Roman"/>
                      <w:bCs/>
                      <w:sz w:val="18"/>
                      <w:szCs w:val="18"/>
                    </w:rPr>
                    <w:t>项目设全密闭喷漆房，喷漆废气负压收集，送</w:t>
                  </w:r>
                  <w:r>
                    <w:rPr>
                      <w:rFonts w:hint="eastAsia" w:ascii="Times New Roman" w:hAnsi="宋体"/>
                      <w:bCs/>
                      <w:sz w:val="18"/>
                      <w:szCs w:val="18"/>
                    </w:rPr>
                    <w:t>“</w:t>
                  </w:r>
                  <w:r>
                    <w:rPr>
                      <w:rFonts w:hint="eastAsia" w:ascii="Times New Roman" w:hAnsi="宋体"/>
                      <w:bCs/>
                      <w:sz w:val="18"/>
                      <w:szCs w:val="18"/>
                      <w:lang w:eastAsia="zh-CN"/>
                    </w:rPr>
                    <w:t>干式过滤+活性炭吸附+CO催化燃烧</w:t>
                  </w:r>
                  <w:r>
                    <w:rPr>
                      <w:rFonts w:hint="eastAsia" w:ascii="Times New Roman" w:hAnsi="宋体"/>
                      <w:bCs/>
                      <w:sz w:val="18"/>
                      <w:szCs w:val="18"/>
                    </w:rPr>
                    <w:t>”，经处理后达标排放。</w:t>
                  </w:r>
                </w:p>
              </w:tc>
              <w:tc>
                <w:tcPr>
                  <w:tcW w:w="556" w:type="pct"/>
                  <w:vAlign w:val="center"/>
                </w:tcPr>
                <w:p w14:paraId="47469496">
                  <w:pPr>
                    <w:pStyle w:val="23"/>
                    <w:jc w:val="center"/>
                    <w:rPr>
                      <w:rFonts w:ascii="Times New Roman" w:hAnsi="宋体"/>
                      <w:bCs/>
                      <w:sz w:val="18"/>
                      <w:szCs w:val="18"/>
                    </w:rPr>
                  </w:pPr>
                  <w:r>
                    <w:rPr>
                      <w:rFonts w:hint="eastAsia" w:ascii="Times New Roman" w:hAnsi="宋体"/>
                      <w:bCs/>
                      <w:sz w:val="18"/>
                      <w:szCs w:val="18"/>
                    </w:rPr>
                    <w:t>符合</w:t>
                  </w:r>
                </w:p>
              </w:tc>
            </w:tr>
            <w:tr w14:paraId="4D4A9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5FD5751D">
                  <w:pPr>
                    <w:pStyle w:val="23"/>
                    <w:jc w:val="center"/>
                    <w:rPr>
                      <w:rFonts w:ascii="Times New Roman" w:hAnsi="Times New Roman"/>
                      <w:bCs/>
                      <w:sz w:val="18"/>
                      <w:szCs w:val="18"/>
                    </w:rPr>
                  </w:pPr>
                  <w:r>
                    <w:rPr>
                      <w:rFonts w:hint="eastAsia" w:ascii="Times New Roman" w:hAnsi="Times New Roman"/>
                      <w:bCs/>
                      <w:sz w:val="18"/>
                      <w:szCs w:val="18"/>
                    </w:rPr>
                    <w:t>5</w:t>
                  </w:r>
                </w:p>
              </w:tc>
              <w:tc>
                <w:tcPr>
                  <w:tcW w:w="2683" w:type="pct"/>
                  <w:vAlign w:val="center"/>
                </w:tcPr>
                <w:p w14:paraId="7F4A8219">
                  <w:pPr>
                    <w:pStyle w:val="23"/>
                    <w:rPr>
                      <w:rFonts w:ascii="Times New Roman" w:hAnsi="Times New Roman"/>
                      <w:bCs/>
                      <w:sz w:val="18"/>
                      <w:szCs w:val="18"/>
                    </w:rPr>
                  </w:pPr>
                  <w:r>
                    <w:rPr>
                      <w:rFonts w:hint="eastAsia" w:ascii="Times New Roman" w:hAnsi="Times New Roman"/>
                      <w:bCs/>
                      <w:sz w:val="18"/>
                      <w:szCs w:val="18"/>
                    </w:rPr>
                    <w:t>收集的废气中NMHC初始排放速率≥3kg/h时，应配置VOCs处理设施，处理效率不应低于80%；对于重点地区，收集的废气中NMHC初始排放速率≥2kg/h时，应配置VOCs处理设施，处理效率不应低于80%。</w:t>
                  </w:r>
                </w:p>
              </w:tc>
              <w:tc>
                <w:tcPr>
                  <w:tcW w:w="1373" w:type="pct"/>
                  <w:vAlign w:val="center"/>
                </w:tcPr>
                <w:p w14:paraId="65F97481">
                  <w:pPr>
                    <w:pStyle w:val="23"/>
                    <w:rPr>
                      <w:rFonts w:ascii="Times New Roman" w:hAnsi="Times New Roman"/>
                      <w:bCs/>
                      <w:sz w:val="18"/>
                      <w:szCs w:val="18"/>
                    </w:rPr>
                  </w:pPr>
                  <w:r>
                    <w:rPr>
                      <w:rFonts w:hint="eastAsia" w:ascii="Times New Roman" w:hAnsi="Times New Roman"/>
                      <w:bCs/>
                      <w:sz w:val="18"/>
                      <w:szCs w:val="18"/>
                    </w:rPr>
                    <w:t>项目非甲烷总烃初始产生速率＜2kg/h，且配置了相应处理设施。有机废气去除效率90%。</w:t>
                  </w:r>
                </w:p>
              </w:tc>
              <w:tc>
                <w:tcPr>
                  <w:tcW w:w="556" w:type="pct"/>
                  <w:vAlign w:val="center"/>
                </w:tcPr>
                <w:p w14:paraId="70EB3E26">
                  <w:pPr>
                    <w:pStyle w:val="23"/>
                    <w:jc w:val="center"/>
                    <w:rPr>
                      <w:rFonts w:ascii="Times New Roman" w:hAnsi="宋体"/>
                      <w:bCs/>
                      <w:sz w:val="18"/>
                      <w:szCs w:val="18"/>
                    </w:rPr>
                  </w:pPr>
                  <w:r>
                    <w:rPr>
                      <w:rFonts w:hint="eastAsia" w:ascii="Times New Roman" w:hAnsi="宋体"/>
                      <w:bCs/>
                      <w:sz w:val="18"/>
                      <w:szCs w:val="18"/>
                    </w:rPr>
                    <w:t>符合</w:t>
                  </w:r>
                </w:p>
              </w:tc>
            </w:tr>
            <w:tr w14:paraId="55C479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1C2A4F62">
                  <w:pPr>
                    <w:pStyle w:val="23"/>
                    <w:jc w:val="center"/>
                    <w:rPr>
                      <w:rFonts w:ascii="Times New Roman" w:hAnsi="Times New Roman"/>
                      <w:bCs/>
                      <w:sz w:val="18"/>
                      <w:szCs w:val="18"/>
                    </w:rPr>
                  </w:pPr>
                  <w:r>
                    <w:rPr>
                      <w:rFonts w:hint="eastAsia" w:ascii="Times New Roman" w:hAnsi="Times New Roman"/>
                      <w:bCs/>
                      <w:sz w:val="18"/>
                      <w:szCs w:val="18"/>
                    </w:rPr>
                    <w:t>6</w:t>
                  </w:r>
                </w:p>
              </w:tc>
              <w:tc>
                <w:tcPr>
                  <w:tcW w:w="2683" w:type="pct"/>
                  <w:vAlign w:val="center"/>
                </w:tcPr>
                <w:p w14:paraId="0B82FBDC">
                  <w:pPr>
                    <w:pStyle w:val="23"/>
                    <w:rPr>
                      <w:rFonts w:ascii="Times New Roman" w:hAnsi="Times New Roman"/>
                      <w:bCs/>
                      <w:sz w:val="18"/>
                      <w:szCs w:val="18"/>
                    </w:rPr>
                  </w:pPr>
                  <w:r>
                    <w:rPr>
                      <w:rFonts w:hint="eastAsia" w:ascii="Times New Roman" w:hAnsi="Times New Roman"/>
                      <w:bCs/>
                      <w:sz w:val="18"/>
                      <w:szCs w:val="18"/>
                    </w:rPr>
                    <w:t>企业应建立台账，记录废气收集系统、VOCs处理设施的主要运行和维护信息，如运行时间、废气处理量、操作温度、停留时间、吸附剂再生/更换周期和更换量、催化剂更换周期和更换量、吸收液pH值等关键运行参数。台账保存期限不少于3年。</w:t>
                  </w:r>
                </w:p>
              </w:tc>
              <w:tc>
                <w:tcPr>
                  <w:tcW w:w="1373" w:type="pct"/>
                  <w:vAlign w:val="center"/>
                </w:tcPr>
                <w:p w14:paraId="5C48D551">
                  <w:pPr>
                    <w:pStyle w:val="23"/>
                    <w:rPr>
                      <w:rFonts w:ascii="Times New Roman" w:hAnsi="Times New Roman"/>
                      <w:bCs/>
                      <w:sz w:val="18"/>
                      <w:szCs w:val="18"/>
                    </w:rPr>
                  </w:pPr>
                  <w:r>
                    <w:rPr>
                      <w:rFonts w:hint="eastAsia" w:ascii="Times New Roman" w:hAnsi="Times New Roman"/>
                      <w:bCs/>
                      <w:sz w:val="18"/>
                      <w:szCs w:val="18"/>
                    </w:rPr>
                    <w:t>要求建设单位严格记录非甲烷总烃处理系统运行时间、活性炭更换时间及更换量等，且保存时间不得少于3年。</w:t>
                  </w:r>
                </w:p>
              </w:tc>
              <w:tc>
                <w:tcPr>
                  <w:tcW w:w="556" w:type="pct"/>
                  <w:vAlign w:val="center"/>
                </w:tcPr>
                <w:p w14:paraId="470D178E">
                  <w:pPr>
                    <w:pStyle w:val="23"/>
                    <w:jc w:val="center"/>
                    <w:rPr>
                      <w:rFonts w:ascii="Times New Roman" w:hAnsi="宋体"/>
                      <w:bCs/>
                      <w:sz w:val="18"/>
                      <w:szCs w:val="18"/>
                    </w:rPr>
                  </w:pPr>
                  <w:r>
                    <w:rPr>
                      <w:rFonts w:hint="eastAsia" w:ascii="Times New Roman" w:hAnsi="宋体"/>
                      <w:bCs/>
                      <w:sz w:val="18"/>
                      <w:szCs w:val="18"/>
                    </w:rPr>
                    <w:t>符合</w:t>
                  </w:r>
                </w:p>
              </w:tc>
            </w:tr>
          </w:tbl>
          <w:p w14:paraId="037A52D7">
            <w:pPr>
              <w:pStyle w:val="46"/>
              <w:jc w:val="center"/>
              <w:rPr>
                <w:rFonts w:ascii="Times New Roman"/>
                <w:sz w:val="18"/>
                <w:szCs w:val="18"/>
              </w:rPr>
            </w:pPr>
            <w:r>
              <w:rPr>
                <w:rFonts w:hint="eastAsia" w:ascii="Times New Roman"/>
                <w:b/>
                <w:bCs/>
                <w:sz w:val="18"/>
                <w:szCs w:val="18"/>
              </w:rPr>
              <w:t>表1-</w:t>
            </w:r>
            <w:r>
              <w:rPr>
                <w:rFonts w:hint="eastAsia" w:ascii="Times New Roman"/>
                <w:b/>
                <w:bCs/>
                <w:sz w:val="18"/>
                <w:szCs w:val="18"/>
                <w:lang w:val="en-US" w:eastAsia="zh-CN"/>
              </w:rPr>
              <w:t>7</w:t>
            </w:r>
            <w:r>
              <w:rPr>
                <w:rFonts w:hint="eastAsia" w:ascii="Times New Roman"/>
                <w:b/>
                <w:bCs/>
                <w:sz w:val="18"/>
                <w:szCs w:val="18"/>
              </w:rPr>
              <w:t xml:space="preserve">    </w:t>
            </w:r>
            <w:r>
              <w:rPr>
                <w:rFonts w:hint="eastAsia"/>
                <w:b/>
                <w:bCs/>
                <w:sz w:val="18"/>
                <w:szCs w:val="18"/>
              </w:rPr>
              <w:t>与</w:t>
            </w:r>
            <w:r>
              <w:rPr>
                <w:rFonts w:hint="eastAsia" w:ascii="Times New Roman"/>
                <w:b/>
                <w:color w:val="auto"/>
                <w:sz w:val="18"/>
                <w:szCs w:val="18"/>
              </w:rPr>
              <w:t>《重点行业挥发性有机物综合治理方案》相符性分析一览表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84"/>
              <w:gridCol w:w="3706"/>
              <w:gridCol w:w="1357"/>
              <w:gridCol w:w="695"/>
            </w:tblGrid>
            <w:tr w14:paraId="7F4888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71190F9D">
                  <w:pPr>
                    <w:pStyle w:val="23"/>
                    <w:jc w:val="center"/>
                    <w:rPr>
                      <w:rFonts w:ascii="Times New Roman" w:hAnsi="Times New Roman"/>
                      <w:bCs/>
                      <w:sz w:val="18"/>
                      <w:szCs w:val="18"/>
                    </w:rPr>
                  </w:pPr>
                  <w:r>
                    <w:rPr>
                      <w:rFonts w:ascii="Times New Roman" w:hAnsi="宋体"/>
                      <w:bCs/>
                      <w:sz w:val="18"/>
                      <w:szCs w:val="18"/>
                    </w:rPr>
                    <w:t>序号</w:t>
                  </w:r>
                </w:p>
              </w:tc>
              <w:tc>
                <w:tcPr>
                  <w:tcW w:w="2968" w:type="pct"/>
                  <w:vAlign w:val="center"/>
                </w:tcPr>
                <w:p w14:paraId="05F3A867">
                  <w:pPr>
                    <w:pStyle w:val="23"/>
                    <w:jc w:val="center"/>
                    <w:rPr>
                      <w:rFonts w:ascii="Times New Roman" w:hAnsi="Times New Roman"/>
                      <w:bCs/>
                      <w:sz w:val="18"/>
                      <w:szCs w:val="18"/>
                    </w:rPr>
                  </w:pPr>
                  <w:r>
                    <w:rPr>
                      <w:rFonts w:hint="eastAsia" w:ascii="Times New Roman" w:hAnsi="宋体"/>
                      <w:bCs/>
                      <w:sz w:val="18"/>
                      <w:szCs w:val="18"/>
                    </w:rPr>
                    <w:t>方案</w:t>
                  </w:r>
                  <w:r>
                    <w:rPr>
                      <w:rFonts w:ascii="Times New Roman" w:hAnsi="宋体"/>
                      <w:bCs/>
                      <w:sz w:val="18"/>
                      <w:szCs w:val="18"/>
                    </w:rPr>
                    <w:t>要求</w:t>
                  </w:r>
                </w:p>
              </w:tc>
              <w:tc>
                <w:tcPr>
                  <w:tcW w:w="1087" w:type="pct"/>
                  <w:vAlign w:val="center"/>
                </w:tcPr>
                <w:p w14:paraId="1B8324A0">
                  <w:pPr>
                    <w:pStyle w:val="23"/>
                    <w:jc w:val="center"/>
                    <w:rPr>
                      <w:rFonts w:ascii="Times New Roman" w:hAnsi="Times New Roman"/>
                      <w:bCs/>
                      <w:sz w:val="18"/>
                      <w:szCs w:val="18"/>
                    </w:rPr>
                  </w:pPr>
                  <w:r>
                    <w:rPr>
                      <w:rFonts w:ascii="Times New Roman" w:hAnsi="宋体"/>
                      <w:bCs/>
                      <w:sz w:val="18"/>
                      <w:szCs w:val="18"/>
                    </w:rPr>
                    <w:t>项目情况</w:t>
                  </w:r>
                </w:p>
              </w:tc>
              <w:tc>
                <w:tcPr>
                  <w:tcW w:w="556" w:type="pct"/>
                  <w:vAlign w:val="center"/>
                </w:tcPr>
                <w:p w14:paraId="2585E305">
                  <w:pPr>
                    <w:pStyle w:val="23"/>
                    <w:jc w:val="center"/>
                    <w:rPr>
                      <w:rFonts w:ascii="Times New Roman" w:hAnsi="Times New Roman"/>
                      <w:bCs/>
                      <w:sz w:val="18"/>
                      <w:szCs w:val="18"/>
                    </w:rPr>
                  </w:pPr>
                  <w:r>
                    <w:rPr>
                      <w:rFonts w:ascii="Times New Roman" w:hAnsi="宋体"/>
                      <w:bCs/>
                      <w:sz w:val="18"/>
                      <w:szCs w:val="18"/>
                    </w:rPr>
                    <w:t>符合</w:t>
                  </w:r>
                  <w:r>
                    <w:rPr>
                      <w:rFonts w:hint="eastAsia" w:ascii="Times New Roman" w:hAnsi="宋体"/>
                      <w:bCs/>
                      <w:sz w:val="18"/>
                      <w:szCs w:val="18"/>
                    </w:rPr>
                    <w:t>性</w:t>
                  </w:r>
                </w:p>
              </w:tc>
            </w:tr>
            <w:tr w14:paraId="474D6C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53E178CD">
                  <w:pPr>
                    <w:pStyle w:val="23"/>
                    <w:jc w:val="center"/>
                    <w:rPr>
                      <w:rFonts w:ascii="Times New Roman" w:hAnsi="Times New Roman"/>
                      <w:bCs/>
                      <w:sz w:val="18"/>
                      <w:szCs w:val="18"/>
                    </w:rPr>
                  </w:pPr>
                  <w:r>
                    <w:rPr>
                      <w:rFonts w:ascii="Times New Roman" w:hAnsi="Times New Roman"/>
                      <w:bCs/>
                      <w:sz w:val="18"/>
                      <w:szCs w:val="18"/>
                    </w:rPr>
                    <w:t>1</w:t>
                  </w:r>
                </w:p>
              </w:tc>
              <w:tc>
                <w:tcPr>
                  <w:tcW w:w="2968" w:type="pct"/>
                  <w:vAlign w:val="center"/>
                </w:tcPr>
                <w:p w14:paraId="68DBB480">
                  <w:pPr>
                    <w:pStyle w:val="23"/>
                    <w:rPr>
                      <w:rFonts w:ascii="Times New Roman" w:hAnsi="Times New Roman"/>
                      <w:bCs/>
                      <w:sz w:val="18"/>
                      <w:szCs w:val="18"/>
                    </w:rPr>
                  </w:pPr>
                  <w:r>
                    <w:rPr>
                      <w:rFonts w:hint="eastAsia" w:ascii="Times New Roman" w:hAnsi="Times New Roman"/>
                      <w:bCs/>
                      <w:sz w:val="18"/>
                      <w:szCs w:val="18"/>
                    </w:rPr>
                    <w:t>大力推进源头替代。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工业涂装、包装印刷等行业要加大源头替代力度；化工行业要推广使用低（无）VOCs含量、低反应活性的原辅材料，加快对芳香烃、含卤素有机化合物的绿色替代。企业应大力推广使用低VOCs含量木器涂料、车辆涂料、机械设备涂料、集装箱涂料以及建筑物和构筑物防护涂料等，在技术成熟的行业，推广使用低VOCs含量油墨和胶粘剂，重点区域到2020年年底前基本完成。鼓励加快低VOCs含量涂料、油墨、胶粘剂等研发和生产。</w:t>
                  </w:r>
                </w:p>
              </w:tc>
              <w:tc>
                <w:tcPr>
                  <w:tcW w:w="1087" w:type="pct"/>
                  <w:vAlign w:val="center"/>
                </w:tcPr>
                <w:p w14:paraId="79B14EB4">
                  <w:pPr>
                    <w:pStyle w:val="23"/>
                    <w:rPr>
                      <w:rFonts w:ascii="Times New Roman" w:hAnsi="Times New Roman"/>
                      <w:bCs/>
                      <w:sz w:val="18"/>
                      <w:szCs w:val="18"/>
                    </w:rPr>
                  </w:pPr>
                  <w:r>
                    <w:rPr>
                      <w:rFonts w:hint="eastAsia" w:ascii="Times New Roman" w:hAnsi="Times New Roman"/>
                      <w:bCs/>
                      <w:sz w:val="18"/>
                      <w:szCs w:val="18"/>
                    </w:rPr>
                    <w:t>项目运营期使用少量水性漆，属于低VOCs含量的涂料。</w:t>
                  </w:r>
                </w:p>
              </w:tc>
              <w:tc>
                <w:tcPr>
                  <w:tcW w:w="556" w:type="pct"/>
                  <w:vAlign w:val="center"/>
                </w:tcPr>
                <w:p w14:paraId="38ADBD46">
                  <w:pPr>
                    <w:pStyle w:val="23"/>
                    <w:jc w:val="center"/>
                    <w:rPr>
                      <w:rFonts w:ascii="Times New Roman" w:hAnsi="Times New Roman"/>
                      <w:bCs/>
                      <w:sz w:val="18"/>
                      <w:szCs w:val="18"/>
                    </w:rPr>
                  </w:pPr>
                  <w:r>
                    <w:rPr>
                      <w:rFonts w:ascii="Times New Roman" w:hAnsi="宋体"/>
                      <w:bCs/>
                      <w:sz w:val="18"/>
                      <w:szCs w:val="18"/>
                    </w:rPr>
                    <w:t>符合</w:t>
                  </w:r>
                </w:p>
              </w:tc>
            </w:tr>
            <w:tr w14:paraId="50798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3D08C6F2">
                  <w:pPr>
                    <w:pStyle w:val="23"/>
                    <w:jc w:val="center"/>
                    <w:rPr>
                      <w:rFonts w:ascii="Times New Roman" w:hAnsi="Times New Roman"/>
                      <w:bCs/>
                      <w:sz w:val="18"/>
                      <w:szCs w:val="18"/>
                    </w:rPr>
                  </w:pPr>
                  <w:r>
                    <w:rPr>
                      <w:rFonts w:hint="eastAsia" w:ascii="Times New Roman" w:hAnsi="Times New Roman"/>
                      <w:bCs/>
                      <w:sz w:val="18"/>
                      <w:szCs w:val="18"/>
                    </w:rPr>
                    <w:t>2</w:t>
                  </w:r>
                </w:p>
              </w:tc>
              <w:tc>
                <w:tcPr>
                  <w:tcW w:w="2968" w:type="pct"/>
                  <w:vAlign w:val="center"/>
                </w:tcPr>
                <w:p w14:paraId="1804988A">
                  <w:pPr>
                    <w:pStyle w:val="23"/>
                    <w:rPr>
                      <w:rFonts w:ascii="Times New Roman" w:hAnsi="Times New Roman"/>
                      <w:bCs/>
                      <w:sz w:val="18"/>
                      <w:szCs w:val="18"/>
                    </w:rPr>
                  </w:pPr>
                  <w:r>
                    <w:rPr>
                      <w:rFonts w:hint="eastAsia" w:ascii="Times New Roman" w:hAnsi="Times New Roman"/>
                      <w:bCs/>
                      <w:sz w:val="18"/>
                      <w:szCs w:val="18"/>
                    </w:rP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087" w:type="pct"/>
                  <w:vAlign w:val="center"/>
                </w:tcPr>
                <w:p w14:paraId="0DE2D952">
                  <w:pPr>
                    <w:pStyle w:val="23"/>
                    <w:rPr>
                      <w:rFonts w:ascii="Times New Roman" w:hAnsi="Times New Roman"/>
                      <w:bCs/>
                      <w:sz w:val="18"/>
                      <w:szCs w:val="18"/>
                    </w:rPr>
                  </w:pPr>
                  <w:r>
                    <w:rPr>
                      <w:rFonts w:hint="eastAsia" w:ascii="Times New Roman" w:hAnsi="Times New Roman"/>
                      <w:bCs/>
                      <w:sz w:val="18"/>
                      <w:szCs w:val="18"/>
                    </w:rPr>
                    <w:t>项目运营期使用少量水性漆，属于低VOCs含量的涂料。暂存于全密闭原料储库内，最大程度上减少VOCs无组织排放。</w:t>
                  </w:r>
                </w:p>
              </w:tc>
              <w:tc>
                <w:tcPr>
                  <w:tcW w:w="556" w:type="pct"/>
                  <w:vAlign w:val="center"/>
                </w:tcPr>
                <w:p w14:paraId="69C87178">
                  <w:pPr>
                    <w:pStyle w:val="23"/>
                    <w:jc w:val="center"/>
                    <w:rPr>
                      <w:rFonts w:ascii="Times New Roman" w:hAnsi="宋体"/>
                      <w:bCs/>
                      <w:sz w:val="18"/>
                      <w:szCs w:val="18"/>
                    </w:rPr>
                  </w:pPr>
                  <w:r>
                    <w:rPr>
                      <w:rFonts w:hint="eastAsia" w:ascii="Times New Roman" w:hAnsi="宋体"/>
                      <w:bCs/>
                      <w:sz w:val="18"/>
                      <w:szCs w:val="18"/>
                    </w:rPr>
                    <w:t>符合</w:t>
                  </w:r>
                </w:p>
              </w:tc>
            </w:tr>
            <w:tr w14:paraId="5D435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1D9E49EF">
                  <w:pPr>
                    <w:pStyle w:val="23"/>
                    <w:jc w:val="center"/>
                    <w:rPr>
                      <w:rFonts w:ascii="Times New Roman" w:hAnsi="Times New Roman"/>
                      <w:bCs/>
                      <w:sz w:val="18"/>
                      <w:szCs w:val="18"/>
                    </w:rPr>
                  </w:pPr>
                  <w:r>
                    <w:rPr>
                      <w:rFonts w:hint="eastAsia" w:ascii="Times New Roman" w:hAnsi="Times New Roman"/>
                      <w:bCs/>
                      <w:sz w:val="18"/>
                      <w:szCs w:val="18"/>
                    </w:rPr>
                    <w:t>3</w:t>
                  </w:r>
                </w:p>
              </w:tc>
              <w:tc>
                <w:tcPr>
                  <w:tcW w:w="2968" w:type="pct"/>
                  <w:vAlign w:val="center"/>
                </w:tcPr>
                <w:p w14:paraId="4520949D">
                  <w:pPr>
                    <w:pStyle w:val="23"/>
                    <w:rPr>
                      <w:rFonts w:ascii="Times New Roman" w:hAnsi="Times New Roman"/>
                      <w:bCs/>
                      <w:sz w:val="18"/>
                      <w:szCs w:val="18"/>
                    </w:rPr>
                  </w:pPr>
                  <w:r>
                    <w:rPr>
                      <w:rFonts w:hint="eastAsia" w:ascii="Times New Roman" w:hAnsi="Times New Roman"/>
                      <w:bCs/>
                      <w:sz w:val="18"/>
                      <w:szCs w:val="18"/>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087" w:type="pct"/>
                  <w:vAlign w:val="center"/>
                </w:tcPr>
                <w:p w14:paraId="0AA6917C">
                  <w:pPr>
                    <w:pStyle w:val="23"/>
                    <w:rPr>
                      <w:rFonts w:ascii="Times New Roman" w:hAnsi="Times New Roman"/>
                      <w:bCs/>
                      <w:sz w:val="18"/>
                      <w:szCs w:val="18"/>
                    </w:rPr>
                  </w:pPr>
                  <w:r>
                    <w:rPr>
                      <w:rFonts w:hint="eastAsia" w:ascii="Times New Roman" w:hAnsi="Times New Roman"/>
                      <w:bCs/>
                      <w:sz w:val="18"/>
                      <w:szCs w:val="18"/>
                    </w:rPr>
                    <w:t>项目设全密闭喷漆房，喷漆废气采取负压收集废气，收集后送</w:t>
                  </w:r>
                  <w:r>
                    <w:rPr>
                      <w:rFonts w:hint="eastAsia" w:ascii="Times New Roman" w:hAnsi="宋体"/>
                      <w:bCs/>
                      <w:sz w:val="18"/>
                      <w:szCs w:val="18"/>
                    </w:rPr>
                    <w:t>“</w:t>
                  </w:r>
                  <w:r>
                    <w:rPr>
                      <w:rFonts w:hint="eastAsia" w:ascii="Times New Roman" w:hAnsi="宋体"/>
                      <w:bCs/>
                      <w:sz w:val="18"/>
                      <w:szCs w:val="18"/>
                      <w:lang w:eastAsia="zh-CN"/>
                    </w:rPr>
                    <w:t>干式过滤+活性炭吸附+CO催化燃烧</w:t>
                  </w:r>
                  <w:r>
                    <w:rPr>
                      <w:rFonts w:hint="eastAsia" w:ascii="Times New Roman" w:hAnsi="宋体"/>
                      <w:bCs/>
                      <w:sz w:val="18"/>
                      <w:szCs w:val="18"/>
                    </w:rPr>
                    <w:t>”，</w:t>
                  </w:r>
                  <w:r>
                    <w:rPr>
                      <w:rFonts w:hint="eastAsia" w:ascii="Times New Roman" w:hAnsi="Times New Roman"/>
                      <w:bCs/>
                      <w:sz w:val="18"/>
                      <w:szCs w:val="18"/>
                    </w:rPr>
                    <w:t>最终由1根15m高排气筒达标排放。</w:t>
                  </w:r>
                </w:p>
              </w:tc>
              <w:tc>
                <w:tcPr>
                  <w:tcW w:w="556" w:type="pct"/>
                  <w:vAlign w:val="center"/>
                </w:tcPr>
                <w:p w14:paraId="5F5183CE">
                  <w:pPr>
                    <w:pStyle w:val="23"/>
                    <w:jc w:val="center"/>
                    <w:rPr>
                      <w:rFonts w:ascii="Times New Roman" w:hAnsi="宋体"/>
                      <w:bCs/>
                      <w:sz w:val="18"/>
                      <w:szCs w:val="18"/>
                    </w:rPr>
                  </w:pPr>
                  <w:r>
                    <w:rPr>
                      <w:rFonts w:hint="eastAsia" w:ascii="Times New Roman" w:hAnsi="宋体"/>
                      <w:bCs/>
                      <w:sz w:val="18"/>
                      <w:szCs w:val="18"/>
                    </w:rPr>
                    <w:t>符合</w:t>
                  </w:r>
                </w:p>
              </w:tc>
            </w:tr>
            <w:tr w14:paraId="1A6732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660C0DE0">
                  <w:pPr>
                    <w:pStyle w:val="23"/>
                    <w:jc w:val="center"/>
                    <w:rPr>
                      <w:rFonts w:ascii="Times New Roman" w:hAnsi="Times New Roman"/>
                      <w:bCs/>
                      <w:sz w:val="18"/>
                      <w:szCs w:val="18"/>
                    </w:rPr>
                  </w:pPr>
                  <w:r>
                    <w:rPr>
                      <w:rFonts w:hint="eastAsia" w:ascii="Times New Roman" w:hAnsi="Times New Roman"/>
                      <w:bCs/>
                      <w:sz w:val="18"/>
                      <w:szCs w:val="18"/>
                    </w:rPr>
                    <w:t>4</w:t>
                  </w:r>
                </w:p>
              </w:tc>
              <w:tc>
                <w:tcPr>
                  <w:tcW w:w="2968" w:type="pct"/>
                  <w:vAlign w:val="center"/>
                </w:tcPr>
                <w:p w14:paraId="6CFE00C6">
                  <w:pPr>
                    <w:pStyle w:val="23"/>
                    <w:rPr>
                      <w:rFonts w:ascii="Times New Roman" w:hAnsi="Times New Roman"/>
                      <w:bCs/>
                      <w:sz w:val="18"/>
                      <w:szCs w:val="18"/>
                    </w:rPr>
                  </w:pPr>
                  <w:r>
                    <w:rPr>
                      <w:rFonts w:hint="eastAsia" w:ascii="Times New Roman" w:hAnsi="Times New Roman"/>
                      <w:bCs/>
                      <w:sz w:val="18"/>
                      <w:szCs w:val="18"/>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1087" w:type="pct"/>
                  <w:vAlign w:val="center"/>
                </w:tcPr>
                <w:p w14:paraId="18236F14">
                  <w:pPr>
                    <w:pStyle w:val="23"/>
                    <w:rPr>
                      <w:rFonts w:ascii="Times New Roman" w:hAnsi="Times New Roman"/>
                      <w:bCs/>
                      <w:sz w:val="18"/>
                      <w:szCs w:val="18"/>
                    </w:rPr>
                  </w:pPr>
                  <w:r>
                    <w:rPr>
                      <w:rFonts w:hint="eastAsia" w:ascii="Times New Roman" w:hAnsi="Times New Roman"/>
                      <w:bCs/>
                      <w:sz w:val="18"/>
                      <w:szCs w:val="18"/>
                    </w:rPr>
                    <w:t>项目设全密闭喷漆房，有机废气负压收集，最终送</w:t>
                  </w:r>
                  <w:r>
                    <w:rPr>
                      <w:rFonts w:hint="eastAsia" w:ascii="Times New Roman" w:hAnsi="宋体"/>
                      <w:bCs/>
                      <w:sz w:val="18"/>
                      <w:szCs w:val="18"/>
                    </w:rPr>
                    <w:t>“</w:t>
                  </w:r>
                  <w:r>
                    <w:rPr>
                      <w:rFonts w:hint="eastAsia" w:ascii="Times New Roman" w:hAnsi="宋体"/>
                      <w:bCs/>
                      <w:sz w:val="18"/>
                      <w:szCs w:val="18"/>
                      <w:lang w:eastAsia="zh-CN"/>
                    </w:rPr>
                    <w:t>干式过滤+活性炭吸附+CO催化燃烧</w:t>
                  </w:r>
                  <w:r>
                    <w:rPr>
                      <w:rFonts w:hint="eastAsia" w:ascii="Times New Roman" w:hAnsi="宋体"/>
                      <w:bCs/>
                      <w:sz w:val="18"/>
                      <w:szCs w:val="18"/>
                    </w:rPr>
                    <w:t>”</w:t>
                  </w:r>
                  <w:r>
                    <w:rPr>
                      <w:rFonts w:hint="eastAsia" w:ascii="Times New Roman" w:hAnsi="Times New Roman"/>
                      <w:bCs/>
                      <w:sz w:val="18"/>
                      <w:szCs w:val="18"/>
                    </w:rPr>
                    <w:t>。</w:t>
                  </w:r>
                </w:p>
              </w:tc>
              <w:tc>
                <w:tcPr>
                  <w:tcW w:w="556" w:type="pct"/>
                  <w:vAlign w:val="center"/>
                </w:tcPr>
                <w:p w14:paraId="215263F6">
                  <w:pPr>
                    <w:pStyle w:val="23"/>
                    <w:jc w:val="center"/>
                    <w:rPr>
                      <w:rFonts w:ascii="Times New Roman" w:hAnsi="宋体"/>
                      <w:bCs/>
                      <w:sz w:val="18"/>
                      <w:szCs w:val="18"/>
                    </w:rPr>
                  </w:pPr>
                  <w:r>
                    <w:rPr>
                      <w:rFonts w:hint="eastAsia" w:ascii="Times New Roman" w:hAnsi="宋体"/>
                      <w:bCs/>
                      <w:sz w:val="18"/>
                      <w:szCs w:val="18"/>
                    </w:rPr>
                    <w:t>符合</w:t>
                  </w:r>
                </w:p>
              </w:tc>
            </w:tr>
            <w:tr w14:paraId="03683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88" w:type="pct"/>
                  <w:vAlign w:val="center"/>
                </w:tcPr>
                <w:p w14:paraId="625D3870">
                  <w:pPr>
                    <w:pStyle w:val="23"/>
                    <w:jc w:val="center"/>
                    <w:rPr>
                      <w:rFonts w:ascii="Times New Roman" w:hAnsi="Times New Roman"/>
                      <w:bCs/>
                      <w:sz w:val="18"/>
                      <w:szCs w:val="18"/>
                    </w:rPr>
                  </w:pPr>
                  <w:r>
                    <w:rPr>
                      <w:rFonts w:hint="eastAsia" w:ascii="Times New Roman" w:hAnsi="Times New Roman"/>
                      <w:bCs/>
                      <w:sz w:val="18"/>
                      <w:szCs w:val="18"/>
                    </w:rPr>
                    <w:t>5</w:t>
                  </w:r>
                </w:p>
              </w:tc>
              <w:tc>
                <w:tcPr>
                  <w:tcW w:w="2968" w:type="pct"/>
                  <w:vAlign w:val="center"/>
                </w:tcPr>
                <w:p w14:paraId="67DFE575">
                  <w:pPr>
                    <w:pStyle w:val="23"/>
                    <w:rPr>
                      <w:rFonts w:ascii="Times New Roman" w:hAnsi="Times New Roman"/>
                      <w:bCs/>
                      <w:sz w:val="18"/>
                      <w:szCs w:val="18"/>
                    </w:rPr>
                  </w:pPr>
                  <w:r>
                    <w:rPr>
                      <w:rFonts w:hint="eastAsia" w:ascii="Times New Roman" w:hAnsi="Times New Roman"/>
                      <w:bCs/>
                      <w:sz w:val="18"/>
                      <w:szCs w:val="18"/>
                    </w:rPr>
                    <w:t>强化源头控制，加快使用粉末、水性、高固体分、辐射固化等低VOCs含量的涂料替代溶剂型涂料。重点区域汽车制造底漆大力推广使用水性涂料，乘用车中涂、色漆大力推广使用高固体分或水性涂料，加快客车、货车等中涂、色漆改造。钢制集装箱制造在箱内、箱外、木地板涂装等工序大力推广使用水性涂料，在确保防腐蚀功能的前提下，加快推进特种集装箱采用水性涂料。木质家具制造大力推广使用水性、辐射固化、粉末等涂料和水性胶粘剂；金属家具制造大力推广使用粉末涂料；软体家具制造大力推广使用水性胶粘剂。工程机械制造大力推广使用水性、粉末和高固体分涂料。电子产品制造推广使用粉末、水性、辐射固化等涂料。</w:t>
                  </w:r>
                </w:p>
              </w:tc>
              <w:tc>
                <w:tcPr>
                  <w:tcW w:w="1087" w:type="pct"/>
                  <w:vAlign w:val="center"/>
                </w:tcPr>
                <w:p w14:paraId="0F1EB394">
                  <w:pPr>
                    <w:pStyle w:val="23"/>
                    <w:rPr>
                      <w:rFonts w:ascii="Times New Roman" w:hAnsi="Times New Roman"/>
                      <w:bCs/>
                      <w:sz w:val="18"/>
                      <w:szCs w:val="18"/>
                    </w:rPr>
                  </w:pPr>
                  <w:r>
                    <w:rPr>
                      <w:rFonts w:hint="eastAsia" w:ascii="Times New Roman" w:hAnsi="Times New Roman"/>
                      <w:bCs/>
                      <w:sz w:val="18"/>
                      <w:szCs w:val="18"/>
                    </w:rPr>
                    <w:t>项目运营期有少量喷漆，所使用为水性漆，从源头减少VOCs排放。</w:t>
                  </w:r>
                </w:p>
              </w:tc>
              <w:tc>
                <w:tcPr>
                  <w:tcW w:w="556" w:type="pct"/>
                  <w:vAlign w:val="center"/>
                </w:tcPr>
                <w:p w14:paraId="1656F0D7">
                  <w:pPr>
                    <w:pStyle w:val="23"/>
                    <w:jc w:val="center"/>
                    <w:rPr>
                      <w:rFonts w:ascii="Times New Roman" w:hAnsi="宋体"/>
                      <w:bCs/>
                      <w:sz w:val="18"/>
                      <w:szCs w:val="18"/>
                    </w:rPr>
                  </w:pPr>
                  <w:r>
                    <w:rPr>
                      <w:rFonts w:hint="eastAsia" w:ascii="Times New Roman" w:hAnsi="宋体"/>
                      <w:bCs/>
                      <w:sz w:val="18"/>
                      <w:szCs w:val="18"/>
                    </w:rPr>
                    <w:t>符合</w:t>
                  </w:r>
                </w:p>
              </w:tc>
            </w:tr>
          </w:tbl>
          <w:p w14:paraId="33F3BCFF">
            <w:pPr>
              <w:pStyle w:val="46"/>
              <w:jc w:val="center"/>
              <w:rPr>
                <w:rFonts w:hint="eastAsia" w:ascii="Times New Roman"/>
                <w:b/>
                <w:sz w:val="18"/>
                <w:szCs w:val="18"/>
              </w:rPr>
            </w:pPr>
            <w:r>
              <w:rPr>
                <w:rFonts w:hint="eastAsia" w:ascii="Times New Roman"/>
                <w:b/>
                <w:sz w:val="18"/>
                <w:szCs w:val="18"/>
              </w:rPr>
              <w:t>表1-</w:t>
            </w:r>
            <w:r>
              <w:rPr>
                <w:rFonts w:hint="eastAsia" w:ascii="Times New Roman"/>
                <w:b/>
                <w:sz w:val="18"/>
                <w:szCs w:val="18"/>
                <w:lang w:val="en-US" w:eastAsia="zh-CN"/>
              </w:rPr>
              <w:t>8</w:t>
            </w:r>
            <w:r>
              <w:rPr>
                <w:rFonts w:hint="eastAsia" w:ascii="Times New Roman"/>
                <w:b/>
                <w:sz w:val="18"/>
                <w:szCs w:val="18"/>
              </w:rPr>
              <w:t xml:space="preserve">  与《关于加快解决当前挥发性有机物治理突出问题的通知》</w:t>
            </w:r>
          </w:p>
          <w:p w14:paraId="391CC256">
            <w:pPr>
              <w:pStyle w:val="46"/>
              <w:jc w:val="center"/>
              <w:rPr>
                <w:rFonts w:ascii="Times New Roman"/>
                <w:b/>
                <w:sz w:val="18"/>
                <w:szCs w:val="18"/>
              </w:rPr>
            </w:pPr>
            <w:r>
              <w:rPr>
                <w:rFonts w:hint="eastAsia" w:ascii="Times New Roman"/>
                <w:b/>
                <w:sz w:val="18"/>
                <w:szCs w:val="18"/>
              </w:rPr>
              <w:t>符合性分析一览表</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632"/>
              <w:gridCol w:w="1951"/>
              <w:gridCol w:w="659"/>
            </w:tblGrid>
            <w:tr w14:paraId="426D3D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trPr>
              <w:tc>
                <w:tcPr>
                  <w:tcW w:w="2909" w:type="pct"/>
                  <w:vAlign w:val="center"/>
                </w:tcPr>
                <w:p w14:paraId="5826F200">
                  <w:pPr>
                    <w:pStyle w:val="46"/>
                    <w:jc w:val="center"/>
                    <w:rPr>
                      <w:rFonts w:ascii="Times New Roman"/>
                      <w:bCs/>
                      <w:sz w:val="18"/>
                      <w:szCs w:val="18"/>
                    </w:rPr>
                  </w:pPr>
                  <w:r>
                    <w:rPr>
                      <w:rFonts w:ascii="Times New Roman"/>
                      <w:bCs/>
                      <w:sz w:val="18"/>
                      <w:szCs w:val="18"/>
                    </w:rPr>
                    <w:t>环大气</w:t>
                  </w:r>
                  <w:r>
                    <w:rPr>
                      <w:rFonts w:hint="eastAsia" w:ascii="Times New Roman"/>
                      <w:bCs/>
                      <w:sz w:val="18"/>
                      <w:szCs w:val="18"/>
                    </w:rPr>
                    <w:t>【</w:t>
                  </w:r>
                  <w:r>
                    <w:rPr>
                      <w:rFonts w:ascii="Times New Roman"/>
                      <w:bCs/>
                      <w:sz w:val="18"/>
                      <w:szCs w:val="18"/>
                    </w:rPr>
                    <w:t>2021</w:t>
                  </w:r>
                  <w:r>
                    <w:rPr>
                      <w:rFonts w:hint="eastAsia" w:ascii="Times New Roman"/>
                      <w:bCs/>
                      <w:sz w:val="18"/>
                      <w:szCs w:val="18"/>
                    </w:rPr>
                    <w:t>】</w:t>
                  </w:r>
                  <w:r>
                    <w:rPr>
                      <w:rFonts w:ascii="Times New Roman"/>
                      <w:bCs/>
                      <w:sz w:val="18"/>
                      <w:szCs w:val="18"/>
                    </w:rPr>
                    <w:t>65号治理要求</w:t>
                  </w:r>
                </w:p>
              </w:tc>
              <w:tc>
                <w:tcPr>
                  <w:tcW w:w="1563" w:type="pct"/>
                  <w:vAlign w:val="center"/>
                </w:tcPr>
                <w:p w14:paraId="7096A33E">
                  <w:pPr>
                    <w:pStyle w:val="46"/>
                    <w:jc w:val="center"/>
                    <w:rPr>
                      <w:rFonts w:ascii="Times New Roman"/>
                      <w:bCs/>
                      <w:sz w:val="18"/>
                      <w:szCs w:val="18"/>
                    </w:rPr>
                  </w:pPr>
                  <w:r>
                    <w:rPr>
                      <w:rFonts w:ascii="Times New Roman"/>
                      <w:bCs/>
                      <w:sz w:val="18"/>
                      <w:szCs w:val="18"/>
                    </w:rPr>
                    <w:t>本项目</w:t>
                  </w:r>
                </w:p>
              </w:tc>
              <w:tc>
                <w:tcPr>
                  <w:tcW w:w="528" w:type="pct"/>
                  <w:vAlign w:val="center"/>
                </w:tcPr>
                <w:p w14:paraId="0BDCEFF3">
                  <w:pPr>
                    <w:pStyle w:val="46"/>
                    <w:jc w:val="center"/>
                    <w:rPr>
                      <w:rFonts w:ascii="Times New Roman"/>
                      <w:bCs/>
                      <w:sz w:val="18"/>
                      <w:szCs w:val="18"/>
                    </w:rPr>
                  </w:pPr>
                  <w:r>
                    <w:rPr>
                      <w:rFonts w:ascii="Times New Roman"/>
                      <w:bCs/>
                      <w:sz w:val="18"/>
                      <w:szCs w:val="18"/>
                    </w:rPr>
                    <w:t>符合性</w:t>
                  </w:r>
                </w:p>
              </w:tc>
            </w:tr>
            <w:tr w14:paraId="6AB9DF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79" w:hRule="atLeast"/>
              </w:trPr>
              <w:tc>
                <w:tcPr>
                  <w:tcW w:w="2909" w:type="pct"/>
                  <w:vAlign w:val="center"/>
                </w:tcPr>
                <w:p w14:paraId="7D482189">
                  <w:pPr>
                    <w:pStyle w:val="46"/>
                    <w:jc w:val="both"/>
                    <w:rPr>
                      <w:rFonts w:ascii="Times New Roman"/>
                      <w:bCs/>
                      <w:sz w:val="18"/>
                      <w:szCs w:val="18"/>
                    </w:rPr>
                  </w:pPr>
                  <w:r>
                    <w:rPr>
                      <w:rFonts w:ascii="Times New Roman"/>
                      <w:sz w:val="18"/>
                      <w:szCs w:val="18"/>
                    </w:rPr>
                    <w:t>产生VOCs的生产环节优先采用密闭设备、在密闭空间中操作或采用全密闭集气罩收集方式，并保持负压运行。对采用局部收集方式的企业，距废气收集系统排风罩开口面最远处的VOCs无组织排放位置控制风速不低于0.3</w:t>
                  </w:r>
                  <w:r>
                    <w:rPr>
                      <w:rFonts w:hint="eastAsia" w:ascii="Times New Roman"/>
                      <w:sz w:val="18"/>
                      <w:szCs w:val="18"/>
                    </w:rPr>
                    <w:t xml:space="preserve"> </w:t>
                  </w:r>
                  <w:r>
                    <w:rPr>
                      <w:rFonts w:ascii="Times New Roman"/>
                      <w:sz w:val="18"/>
                      <w:szCs w:val="18"/>
                    </w:rPr>
                    <w:t>m/s；推广以生产线或设备为单位设置隔间收集风量应确保隔间保持微负压。当废气产生点较多、彼此距离较远时，在满足设计规范、风压平衡的基础上，适当分设多套收集系统或中继风机。废气收集系统的输送管道应密闭、无破损。</w:t>
                  </w:r>
                </w:p>
              </w:tc>
              <w:tc>
                <w:tcPr>
                  <w:tcW w:w="1563" w:type="pct"/>
                  <w:vAlign w:val="center"/>
                </w:tcPr>
                <w:p w14:paraId="1F42B46F">
                  <w:pPr>
                    <w:pStyle w:val="46"/>
                    <w:jc w:val="both"/>
                    <w:rPr>
                      <w:rFonts w:ascii="Times New Roman"/>
                      <w:bCs/>
                      <w:sz w:val="18"/>
                      <w:szCs w:val="18"/>
                    </w:rPr>
                  </w:pPr>
                  <w:r>
                    <w:rPr>
                      <w:rFonts w:hint="eastAsia" w:ascii="Times New Roman"/>
                      <w:sz w:val="18"/>
                      <w:szCs w:val="18"/>
                    </w:rPr>
                    <w:t>喷漆废气密闭负压收集，送“</w:t>
                  </w:r>
                  <w:r>
                    <w:rPr>
                      <w:rFonts w:hint="eastAsia" w:ascii="Times New Roman"/>
                      <w:sz w:val="18"/>
                      <w:szCs w:val="18"/>
                      <w:lang w:eastAsia="zh-CN"/>
                    </w:rPr>
                    <w:t>干式过滤+活性炭吸附+CO催化燃烧</w:t>
                  </w:r>
                  <w:r>
                    <w:rPr>
                      <w:rFonts w:hint="eastAsia" w:ascii="Times New Roman"/>
                      <w:sz w:val="18"/>
                      <w:szCs w:val="18"/>
                    </w:rPr>
                    <w:t>”</w:t>
                  </w:r>
                  <w:r>
                    <w:rPr>
                      <w:rFonts w:ascii="Times New Roman"/>
                      <w:sz w:val="18"/>
                      <w:szCs w:val="18"/>
                    </w:rPr>
                    <w:t>；且要求建设单位对废气收集系统做好日常监管，避免发生管道破损等现象。</w:t>
                  </w:r>
                </w:p>
              </w:tc>
              <w:tc>
                <w:tcPr>
                  <w:tcW w:w="528" w:type="pct"/>
                  <w:vAlign w:val="center"/>
                </w:tcPr>
                <w:p w14:paraId="0E593428">
                  <w:pPr>
                    <w:pStyle w:val="46"/>
                    <w:jc w:val="center"/>
                    <w:rPr>
                      <w:rFonts w:ascii="Times New Roman"/>
                      <w:bCs/>
                      <w:sz w:val="18"/>
                      <w:szCs w:val="18"/>
                    </w:rPr>
                  </w:pPr>
                  <w:r>
                    <w:rPr>
                      <w:rFonts w:ascii="Times New Roman"/>
                      <w:bCs/>
                      <w:sz w:val="18"/>
                      <w:szCs w:val="18"/>
                    </w:rPr>
                    <w:t>符合</w:t>
                  </w:r>
                </w:p>
              </w:tc>
            </w:tr>
            <w:tr w14:paraId="0A585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41" w:hRule="atLeast"/>
              </w:trPr>
              <w:tc>
                <w:tcPr>
                  <w:tcW w:w="2909" w:type="pct"/>
                  <w:vAlign w:val="center"/>
                </w:tcPr>
                <w:p w14:paraId="0E4B5052">
                  <w:pPr>
                    <w:pStyle w:val="46"/>
                    <w:jc w:val="both"/>
                    <w:rPr>
                      <w:rFonts w:ascii="Times New Roman"/>
                      <w:bCs/>
                      <w:sz w:val="18"/>
                      <w:szCs w:val="18"/>
                    </w:rPr>
                  </w:pPr>
                  <w:r>
                    <w:rPr>
                      <w:rFonts w:ascii="Times New Roman"/>
                      <w:sz w:val="18"/>
                      <w:szCs w:val="18"/>
                    </w:rPr>
                    <w:t>新建治理设施或对现有治理设施实施改造，应依据排放废气特征、VOCs组分及浓度、生产工况等，合理选择治理技术；对治理难度大、单一治理工艺难以稳定达标的，宜采用多种技术的组合工艺；除恶臭异味治理外，一般不使用低温等离子、光催化、光氧化等技术。</w:t>
                  </w:r>
                </w:p>
              </w:tc>
              <w:tc>
                <w:tcPr>
                  <w:tcW w:w="1563" w:type="pct"/>
                  <w:vAlign w:val="center"/>
                </w:tcPr>
                <w:p w14:paraId="476C4C2D">
                  <w:pPr>
                    <w:pStyle w:val="46"/>
                    <w:jc w:val="both"/>
                    <w:rPr>
                      <w:rFonts w:ascii="Times New Roman"/>
                      <w:bCs/>
                      <w:sz w:val="18"/>
                      <w:szCs w:val="18"/>
                    </w:rPr>
                  </w:pPr>
                  <w:r>
                    <w:rPr>
                      <w:rFonts w:ascii="Times New Roman"/>
                      <w:sz w:val="18"/>
                      <w:szCs w:val="18"/>
                    </w:rPr>
                    <w:t>项目有机废气产生量较少，采用</w:t>
                  </w:r>
                  <w:r>
                    <w:rPr>
                      <w:rFonts w:hint="eastAsia" w:ascii="Times New Roman"/>
                      <w:sz w:val="18"/>
                      <w:szCs w:val="18"/>
                    </w:rPr>
                    <w:t>负压抽风装置+“</w:t>
                  </w:r>
                  <w:r>
                    <w:rPr>
                      <w:rFonts w:hint="eastAsia" w:ascii="Times New Roman"/>
                      <w:sz w:val="18"/>
                      <w:szCs w:val="18"/>
                      <w:lang w:eastAsia="zh-CN"/>
                    </w:rPr>
                    <w:t>干式过滤+活性炭吸附+CO催化燃烧</w:t>
                  </w:r>
                  <w:r>
                    <w:rPr>
                      <w:rFonts w:hint="eastAsia" w:ascii="Times New Roman"/>
                      <w:sz w:val="18"/>
                      <w:szCs w:val="18"/>
                    </w:rPr>
                    <w:t>”，经处理后达标排放。</w:t>
                  </w:r>
                </w:p>
              </w:tc>
              <w:tc>
                <w:tcPr>
                  <w:tcW w:w="528" w:type="pct"/>
                  <w:vAlign w:val="center"/>
                </w:tcPr>
                <w:p w14:paraId="431FCEB6">
                  <w:pPr>
                    <w:pStyle w:val="46"/>
                    <w:jc w:val="center"/>
                    <w:rPr>
                      <w:rFonts w:ascii="Times New Roman"/>
                      <w:bCs/>
                      <w:sz w:val="18"/>
                      <w:szCs w:val="18"/>
                    </w:rPr>
                  </w:pPr>
                  <w:r>
                    <w:rPr>
                      <w:rFonts w:ascii="Times New Roman"/>
                      <w:bCs/>
                      <w:sz w:val="18"/>
                      <w:szCs w:val="18"/>
                    </w:rPr>
                    <w:t>符合</w:t>
                  </w:r>
                </w:p>
              </w:tc>
            </w:tr>
            <w:tr w14:paraId="249A8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26" w:hRule="atLeast"/>
              </w:trPr>
              <w:tc>
                <w:tcPr>
                  <w:tcW w:w="2909" w:type="pct"/>
                  <w:vAlign w:val="center"/>
                </w:tcPr>
                <w:p w14:paraId="13BEC219">
                  <w:pPr>
                    <w:pStyle w:val="46"/>
                    <w:jc w:val="both"/>
                    <w:rPr>
                      <w:rFonts w:ascii="Times New Roman"/>
                      <w:bCs/>
                      <w:sz w:val="18"/>
                      <w:szCs w:val="18"/>
                    </w:rPr>
                  </w:pPr>
                  <w:r>
                    <w:rPr>
                      <w:rFonts w:ascii="Times New Roman"/>
                      <w:bCs/>
                      <w:sz w:val="18"/>
                      <w:szCs w:val="18"/>
                    </w:rPr>
                    <w:t>采用活性炭吸附工艺的企业，应根据废气排放特征，按照相关工程技术规范设计净化工艺和设备，使废气在吸附装置中有足够的停留时间，选择符合相关产品质量标准的活性炭，并足额充填、及时更换。采用蜂窝活性炭作为吸附剂时，其碘值不宜低于650 mg/g。</w:t>
                  </w:r>
                </w:p>
              </w:tc>
              <w:tc>
                <w:tcPr>
                  <w:tcW w:w="1563" w:type="pct"/>
                  <w:vAlign w:val="center"/>
                </w:tcPr>
                <w:p w14:paraId="5D30C0CA">
                  <w:pPr>
                    <w:pStyle w:val="46"/>
                    <w:jc w:val="both"/>
                    <w:rPr>
                      <w:rFonts w:ascii="Times New Roman"/>
                      <w:bCs/>
                      <w:sz w:val="18"/>
                      <w:szCs w:val="18"/>
                    </w:rPr>
                  </w:pPr>
                  <w:r>
                    <w:rPr>
                      <w:rFonts w:ascii="Times New Roman"/>
                      <w:bCs/>
                      <w:sz w:val="18"/>
                      <w:szCs w:val="18"/>
                    </w:rPr>
                    <w:t>项目活性炭吸附设施使用的是蜂窝活性炭，其碘值为650mg/g，并足额充填、及时更换。</w:t>
                  </w:r>
                </w:p>
              </w:tc>
              <w:tc>
                <w:tcPr>
                  <w:tcW w:w="528" w:type="pct"/>
                  <w:vAlign w:val="center"/>
                </w:tcPr>
                <w:p w14:paraId="2586ADCB">
                  <w:pPr>
                    <w:pStyle w:val="46"/>
                    <w:jc w:val="center"/>
                    <w:rPr>
                      <w:rFonts w:ascii="Times New Roman"/>
                      <w:bCs/>
                      <w:sz w:val="18"/>
                      <w:szCs w:val="18"/>
                    </w:rPr>
                  </w:pPr>
                  <w:r>
                    <w:rPr>
                      <w:rFonts w:ascii="Times New Roman"/>
                      <w:bCs/>
                      <w:sz w:val="18"/>
                      <w:szCs w:val="18"/>
                    </w:rPr>
                    <w:t>符合</w:t>
                  </w:r>
                </w:p>
              </w:tc>
            </w:tr>
            <w:tr w14:paraId="4799F4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68" w:hRule="atLeast"/>
              </w:trPr>
              <w:tc>
                <w:tcPr>
                  <w:tcW w:w="2909" w:type="pct"/>
                  <w:vAlign w:val="center"/>
                </w:tcPr>
                <w:p w14:paraId="2B965977">
                  <w:pPr>
                    <w:pStyle w:val="46"/>
                    <w:jc w:val="both"/>
                    <w:rPr>
                      <w:rFonts w:ascii="Times New Roman"/>
                      <w:bCs/>
                      <w:sz w:val="18"/>
                      <w:szCs w:val="18"/>
                    </w:rPr>
                  </w:pPr>
                  <w:r>
                    <w:rPr>
                      <w:rFonts w:ascii="Times New Roman"/>
                      <w:bCs/>
                      <w:sz w:val="18"/>
                      <w:szCs w:val="18"/>
                    </w:rPr>
                    <w:t>加强运行维护管理，做到治理设施较生产设备“先启后停”，在治理设施达到正常运行条件后方可启动生产设备，在生产设备停止、残留VOCs废气收集处理完毕后，方可停运治理设施；及时清理、更换吸附剂、吸收剂、催化剂、蓄热体、过滤棉、灯管、电器元件等治理设施耗材，确保设施能够稳定高效运行；做好生产设备和治理设施启停机时间、检维修情况、治理设施耗材维护更换、处置情况等台账记录；对于VOCs治理设施产生的废过滤棉、废催化剂、废吸附剂、废吸收剂、废有机溶剂等，应及时清运，属于危险废物的应交有资质的单位处理处置。</w:t>
                  </w:r>
                </w:p>
              </w:tc>
              <w:tc>
                <w:tcPr>
                  <w:tcW w:w="1563" w:type="pct"/>
                  <w:vAlign w:val="center"/>
                </w:tcPr>
                <w:p w14:paraId="36FED113">
                  <w:pPr>
                    <w:pStyle w:val="46"/>
                    <w:jc w:val="both"/>
                    <w:rPr>
                      <w:rFonts w:ascii="Times New Roman"/>
                      <w:bCs/>
                      <w:sz w:val="18"/>
                      <w:szCs w:val="18"/>
                    </w:rPr>
                  </w:pPr>
                  <w:r>
                    <w:rPr>
                      <w:rFonts w:ascii="Times New Roman"/>
                      <w:bCs/>
                      <w:sz w:val="18"/>
                      <w:szCs w:val="18"/>
                    </w:rPr>
                    <w:t>严格按照标准运行维护管理；做好台账记录；废活性炭</w:t>
                  </w:r>
                  <w:r>
                    <w:rPr>
                      <w:rFonts w:ascii="Times New Roman"/>
                      <w:sz w:val="18"/>
                      <w:szCs w:val="18"/>
                    </w:rPr>
                    <w:t>临时存放于</w:t>
                  </w:r>
                  <w:r>
                    <w:rPr>
                      <w:rFonts w:hint="eastAsia" w:ascii="Times New Roman"/>
                      <w:sz w:val="18"/>
                      <w:szCs w:val="18"/>
                    </w:rPr>
                    <w:t>危险废物贮存间</w:t>
                  </w:r>
                  <w:r>
                    <w:rPr>
                      <w:rFonts w:ascii="Times New Roman"/>
                      <w:sz w:val="18"/>
                      <w:szCs w:val="18"/>
                    </w:rPr>
                    <w:t>，由有资质的单位定期清运。</w:t>
                  </w:r>
                </w:p>
              </w:tc>
              <w:tc>
                <w:tcPr>
                  <w:tcW w:w="528" w:type="pct"/>
                  <w:vAlign w:val="center"/>
                </w:tcPr>
                <w:p w14:paraId="19A919DC">
                  <w:pPr>
                    <w:pStyle w:val="46"/>
                    <w:jc w:val="center"/>
                    <w:rPr>
                      <w:rFonts w:ascii="Times New Roman"/>
                      <w:bCs/>
                      <w:sz w:val="18"/>
                      <w:szCs w:val="18"/>
                    </w:rPr>
                  </w:pPr>
                  <w:r>
                    <w:rPr>
                      <w:rFonts w:ascii="Times New Roman"/>
                      <w:bCs/>
                      <w:sz w:val="18"/>
                      <w:szCs w:val="18"/>
                    </w:rPr>
                    <w:t>符合</w:t>
                  </w:r>
                </w:p>
              </w:tc>
            </w:tr>
          </w:tbl>
          <w:p w14:paraId="52D44482">
            <w:pPr>
              <w:pStyle w:val="46"/>
              <w:jc w:val="center"/>
              <w:rPr>
                <w:rFonts w:hint="eastAsia" w:ascii="Times New Roman"/>
                <w:b/>
                <w:bCs/>
                <w:sz w:val="18"/>
                <w:szCs w:val="18"/>
                <w:lang w:val="en-US" w:eastAsia="zh-CN"/>
              </w:rPr>
            </w:pPr>
            <w:r>
              <w:rPr>
                <w:rFonts w:hint="eastAsia" w:ascii="Times New Roman"/>
                <w:b/>
                <w:sz w:val="18"/>
                <w:szCs w:val="18"/>
              </w:rPr>
              <w:t>表1-</w:t>
            </w:r>
            <w:r>
              <w:rPr>
                <w:rFonts w:hint="eastAsia" w:ascii="Times New Roman"/>
                <w:b/>
                <w:sz w:val="18"/>
                <w:szCs w:val="18"/>
                <w:lang w:val="en-US" w:eastAsia="zh-CN"/>
              </w:rPr>
              <w:t>9</w:t>
            </w:r>
            <w:r>
              <w:rPr>
                <w:rFonts w:hint="eastAsia" w:ascii="Times New Roman"/>
                <w:b/>
                <w:sz w:val="18"/>
                <w:szCs w:val="18"/>
              </w:rPr>
              <w:t xml:space="preserve">  与</w:t>
            </w:r>
            <w:r>
              <w:rPr>
                <w:rFonts w:ascii="Times New Roman"/>
                <w:b/>
                <w:bCs/>
                <w:sz w:val="18"/>
                <w:szCs w:val="18"/>
              </w:rPr>
              <w:t>《山西省重点行业VOCs治理要点一览表（2023年版）》</w:t>
            </w:r>
            <w:r>
              <w:rPr>
                <w:rFonts w:hint="eastAsia" w:ascii="Times New Roman"/>
                <w:b/>
                <w:bCs/>
                <w:sz w:val="18"/>
                <w:szCs w:val="18"/>
                <w:lang w:val="en-US" w:eastAsia="zh-CN"/>
              </w:rPr>
              <w:t xml:space="preserve"> </w:t>
            </w:r>
          </w:p>
          <w:p w14:paraId="1B659DB7">
            <w:pPr>
              <w:pStyle w:val="46"/>
              <w:jc w:val="center"/>
              <w:rPr>
                <w:rFonts w:ascii="Times New Roman"/>
                <w:b/>
                <w:sz w:val="18"/>
                <w:szCs w:val="18"/>
              </w:rPr>
            </w:pPr>
            <w:r>
              <w:rPr>
                <w:rFonts w:hint="eastAsia" w:ascii="Times New Roman"/>
                <w:b/>
                <w:sz w:val="18"/>
                <w:szCs w:val="18"/>
              </w:rPr>
              <w:t>符合性分析一览表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40"/>
              <w:gridCol w:w="3195"/>
              <w:gridCol w:w="1985"/>
              <w:gridCol w:w="522"/>
            </w:tblGrid>
            <w:tr w14:paraId="34784F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04" w:hRule="atLeast"/>
                <w:jc w:val="center"/>
              </w:trPr>
              <w:tc>
                <w:tcPr>
                  <w:tcW w:w="433" w:type="pct"/>
                  <w:vAlign w:val="center"/>
                </w:tcPr>
                <w:p w14:paraId="0C5DDF00">
                  <w:pPr>
                    <w:pStyle w:val="46"/>
                    <w:jc w:val="center"/>
                    <w:rPr>
                      <w:rFonts w:ascii="Times New Roman"/>
                      <w:bCs/>
                      <w:sz w:val="18"/>
                      <w:szCs w:val="18"/>
                    </w:rPr>
                  </w:pPr>
                  <w:r>
                    <w:rPr>
                      <w:rFonts w:hint="eastAsia" w:ascii="Times New Roman"/>
                      <w:bCs/>
                      <w:sz w:val="18"/>
                      <w:szCs w:val="18"/>
                    </w:rPr>
                    <w:t>实施要求</w:t>
                  </w:r>
                </w:p>
              </w:tc>
              <w:tc>
                <w:tcPr>
                  <w:tcW w:w="2559" w:type="pct"/>
                  <w:vAlign w:val="center"/>
                </w:tcPr>
                <w:p w14:paraId="79054467">
                  <w:pPr>
                    <w:pStyle w:val="46"/>
                    <w:jc w:val="center"/>
                    <w:rPr>
                      <w:rFonts w:ascii="Times New Roman"/>
                      <w:bCs/>
                      <w:sz w:val="18"/>
                      <w:szCs w:val="18"/>
                    </w:rPr>
                  </w:pPr>
                  <w:r>
                    <w:rPr>
                      <w:rFonts w:hint="eastAsia" w:ascii="Times New Roman"/>
                      <w:bCs/>
                      <w:sz w:val="18"/>
                      <w:szCs w:val="18"/>
                    </w:rPr>
                    <w:t>治理要点要求</w:t>
                  </w:r>
                </w:p>
              </w:tc>
              <w:tc>
                <w:tcPr>
                  <w:tcW w:w="1590" w:type="pct"/>
                  <w:vAlign w:val="center"/>
                </w:tcPr>
                <w:p w14:paraId="2C8DAF04">
                  <w:pPr>
                    <w:pStyle w:val="46"/>
                    <w:jc w:val="center"/>
                    <w:rPr>
                      <w:rFonts w:ascii="Times New Roman"/>
                      <w:bCs/>
                      <w:sz w:val="18"/>
                      <w:szCs w:val="18"/>
                    </w:rPr>
                  </w:pPr>
                  <w:r>
                    <w:rPr>
                      <w:rFonts w:ascii="Times New Roman"/>
                      <w:bCs/>
                      <w:sz w:val="18"/>
                      <w:szCs w:val="18"/>
                    </w:rPr>
                    <w:t>本项目</w:t>
                  </w:r>
                </w:p>
              </w:tc>
              <w:tc>
                <w:tcPr>
                  <w:tcW w:w="418" w:type="pct"/>
                  <w:vAlign w:val="center"/>
                </w:tcPr>
                <w:p w14:paraId="1399BEAD">
                  <w:pPr>
                    <w:pStyle w:val="46"/>
                    <w:jc w:val="center"/>
                    <w:rPr>
                      <w:rFonts w:ascii="Times New Roman"/>
                      <w:bCs/>
                      <w:sz w:val="18"/>
                      <w:szCs w:val="18"/>
                    </w:rPr>
                  </w:pPr>
                  <w:r>
                    <w:rPr>
                      <w:rFonts w:ascii="Times New Roman"/>
                      <w:bCs/>
                      <w:sz w:val="18"/>
                      <w:szCs w:val="18"/>
                    </w:rPr>
                    <w:t>符合性</w:t>
                  </w:r>
                </w:p>
              </w:tc>
            </w:tr>
            <w:tr w14:paraId="29870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3" w:type="pct"/>
                  <w:vAlign w:val="center"/>
                </w:tcPr>
                <w:p w14:paraId="557590CB">
                  <w:pPr>
                    <w:pStyle w:val="46"/>
                    <w:rPr>
                      <w:rFonts w:ascii="Times New Roman"/>
                      <w:bCs/>
                      <w:sz w:val="18"/>
                      <w:szCs w:val="18"/>
                    </w:rPr>
                  </w:pPr>
                  <w:r>
                    <w:rPr>
                      <w:rFonts w:hint="eastAsia" w:ascii="Times New Roman"/>
                      <w:bCs/>
                      <w:sz w:val="18"/>
                      <w:szCs w:val="18"/>
                    </w:rPr>
                    <w:t>要求</w:t>
                  </w:r>
                </w:p>
              </w:tc>
              <w:tc>
                <w:tcPr>
                  <w:tcW w:w="2559" w:type="pct"/>
                  <w:vAlign w:val="center"/>
                </w:tcPr>
                <w:p w14:paraId="2B290106">
                  <w:pPr>
                    <w:pStyle w:val="46"/>
                    <w:jc w:val="both"/>
                    <w:rPr>
                      <w:rFonts w:ascii="Times New Roman"/>
                      <w:bCs/>
                      <w:sz w:val="18"/>
                      <w:szCs w:val="18"/>
                    </w:rPr>
                  </w:pPr>
                  <w:r>
                    <w:rPr>
                      <w:rFonts w:hint="eastAsia" w:ascii="Times New Roman"/>
                      <w:bCs/>
                      <w:sz w:val="18"/>
                      <w:szCs w:val="18"/>
                    </w:rPr>
                    <w:t>木器涂料（限工厂化涂装用）VOCs含量≤420g/L。</w:t>
                  </w:r>
                </w:p>
              </w:tc>
              <w:tc>
                <w:tcPr>
                  <w:tcW w:w="1590" w:type="pct"/>
                  <w:vAlign w:val="center"/>
                </w:tcPr>
                <w:p w14:paraId="58F2CABF">
                  <w:pPr>
                    <w:pStyle w:val="46"/>
                    <w:jc w:val="both"/>
                    <w:rPr>
                      <w:rFonts w:ascii="Times New Roman"/>
                      <w:bCs/>
                      <w:sz w:val="18"/>
                      <w:szCs w:val="18"/>
                    </w:rPr>
                  </w:pPr>
                  <w:r>
                    <w:rPr>
                      <w:rFonts w:hint="eastAsia" w:ascii="Times New Roman"/>
                      <w:bCs/>
                      <w:sz w:val="18"/>
                      <w:szCs w:val="18"/>
                    </w:rPr>
                    <w:t>本项目</w:t>
                  </w:r>
                  <w:r>
                    <w:rPr>
                      <w:rFonts w:ascii="Times New Roman"/>
                      <w:bCs/>
                      <w:sz w:val="18"/>
                      <w:szCs w:val="18"/>
                    </w:rPr>
                    <w:t>喷漆工序使用少量水性漆</w:t>
                  </w:r>
                  <w:r>
                    <w:rPr>
                      <w:rFonts w:hint="eastAsia" w:ascii="Times New Roman"/>
                      <w:bCs/>
                      <w:sz w:val="18"/>
                      <w:szCs w:val="18"/>
                    </w:rPr>
                    <w:t>，VOCs含量≤420g/L。</w:t>
                  </w:r>
                </w:p>
              </w:tc>
              <w:tc>
                <w:tcPr>
                  <w:tcW w:w="418" w:type="pct"/>
                  <w:vAlign w:val="center"/>
                </w:tcPr>
                <w:p w14:paraId="046FBF3D">
                  <w:pPr>
                    <w:pStyle w:val="46"/>
                    <w:rPr>
                      <w:rFonts w:ascii="Times New Roman"/>
                      <w:bCs/>
                      <w:sz w:val="18"/>
                      <w:szCs w:val="18"/>
                    </w:rPr>
                  </w:pPr>
                  <w:r>
                    <w:rPr>
                      <w:rFonts w:ascii="Times New Roman"/>
                      <w:bCs/>
                      <w:sz w:val="18"/>
                      <w:szCs w:val="18"/>
                    </w:rPr>
                    <w:t>符合</w:t>
                  </w:r>
                </w:p>
              </w:tc>
            </w:tr>
            <w:tr w14:paraId="0BAEA9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Align w:val="center"/>
                </w:tcPr>
                <w:p w14:paraId="5D20B514">
                  <w:pPr>
                    <w:pStyle w:val="46"/>
                    <w:rPr>
                      <w:rFonts w:ascii="Times New Roman"/>
                      <w:bCs/>
                      <w:sz w:val="18"/>
                      <w:szCs w:val="18"/>
                    </w:rPr>
                  </w:pPr>
                  <w:r>
                    <w:rPr>
                      <w:rFonts w:hint="eastAsia" w:ascii="Times New Roman"/>
                      <w:bCs/>
                      <w:sz w:val="18"/>
                      <w:szCs w:val="18"/>
                    </w:rPr>
                    <w:t>推荐</w:t>
                  </w:r>
                </w:p>
              </w:tc>
              <w:tc>
                <w:tcPr>
                  <w:tcW w:w="2559" w:type="pct"/>
                  <w:vAlign w:val="center"/>
                </w:tcPr>
                <w:p w14:paraId="358D88F6">
                  <w:pPr>
                    <w:pStyle w:val="46"/>
                    <w:jc w:val="both"/>
                    <w:rPr>
                      <w:rFonts w:ascii="Times New Roman"/>
                      <w:bCs/>
                      <w:sz w:val="18"/>
                      <w:szCs w:val="18"/>
                    </w:rPr>
                  </w:pPr>
                  <w:r>
                    <w:rPr>
                      <w:rFonts w:hint="eastAsia" w:ascii="Times New Roman"/>
                      <w:bCs/>
                      <w:sz w:val="18"/>
                      <w:szCs w:val="18"/>
                    </w:rPr>
                    <w:t>木质家具制造搭理推广使用水性、辐射固化、粉末等涂料和水性胶粘剂。</w:t>
                  </w:r>
                </w:p>
              </w:tc>
              <w:tc>
                <w:tcPr>
                  <w:tcW w:w="1590" w:type="pct"/>
                  <w:vAlign w:val="center"/>
                </w:tcPr>
                <w:p w14:paraId="228695A1">
                  <w:pPr>
                    <w:pStyle w:val="46"/>
                    <w:jc w:val="both"/>
                    <w:rPr>
                      <w:rFonts w:ascii="Times New Roman"/>
                      <w:bCs/>
                      <w:sz w:val="18"/>
                      <w:szCs w:val="18"/>
                    </w:rPr>
                  </w:pPr>
                  <w:r>
                    <w:rPr>
                      <w:rFonts w:hint="eastAsia" w:ascii="Times New Roman"/>
                      <w:bCs/>
                      <w:sz w:val="18"/>
                      <w:szCs w:val="18"/>
                    </w:rPr>
                    <w:t>本项目使用水性漆和水性胶。</w:t>
                  </w:r>
                </w:p>
              </w:tc>
              <w:tc>
                <w:tcPr>
                  <w:tcW w:w="418" w:type="pct"/>
                  <w:vAlign w:val="center"/>
                </w:tcPr>
                <w:p w14:paraId="77173048">
                  <w:pPr>
                    <w:pStyle w:val="46"/>
                    <w:rPr>
                      <w:rFonts w:ascii="Times New Roman"/>
                      <w:bCs/>
                      <w:sz w:val="18"/>
                      <w:szCs w:val="18"/>
                    </w:rPr>
                  </w:pPr>
                  <w:r>
                    <w:rPr>
                      <w:rFonts w:ascii="Times New Roman"/>
                      <w:bCs/>
                      <w:sz w:val="18"/>
                      <w:szCs w:val="18"/>
                    </w:rPr>
                    <w:t>符合</w:t>
                  </w:r>
                </w:p>
              </w:tc>
            </w:tr>
            <w:tr w14:paraId="4420E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Merge w:val="restart"/>
                  <w:vAlign w:val="center"/>
                </w:tcPr>
                <w:p w14:paraId="53E64217">
                  <w:pPr>
                    <w:pStyle w:val="46"/>
                    <w:rPr>
                      <w:rFonts w:ascii="Times New Roman"/>
                      <w:bCs/>
                      <w:sz w:val="18"/>
                      <w:szCs w:val="18"/>
                    </w:rPr>
                  </w:pPr>
                  <w:r>
                    <w:rPr>
                      <w:rFonts w:hint="eastAsia" w:ascii="Times New Roman"/>
                      <w:bCs/>
                      <w:sz w:val="18"/>
                      <w:szCs w:val="18"/>
                    </w:rPr>
                    <w:t>要求</w:t>
                  </w:r>
                </w:p>
              </w:tc>
              <w:tc>
                <w:tcPr>
                  <w:tcW w:w="2559" w:type="pct"/>
                  <w:vAlign w:val="center"/>
                </w:tcPr>
                <w:p w14:paraId="0AA083D0">
                  <w:pPr>
                    <w:pStyle w:val="46"/>
                    <w:jc w:val="both"/>
                    <w:rPr>
                      <w:rFonts w:ascii="Times New Roman"/>
                      <w:bCs/>
                      <w:sz w:val="18"/>
                      <w:szCs w:val="18"/>
                    </w:rPr>
                  </w:pPr>
                  <w:r>
                    <w:rPr>
                      <w:rFonts w:ascii="Times New Roman"/>
                      <w:bCs/>
                      <w:sz w:val="18"/>
                      <w:szCs w:val="18"/>
                    </w:rPr>
                    <w:t>涂料、粘胶剂、固化剂、稀释剂、清洗剂等含VOCs原辅材料应集中储存于密闭的容器、包装袋、储罐、储库、料仓中</w:t>
                  </w:r>
                  <w:r>
                    <w:rPr>
                      <w:rFonts w:hint="eastAsia" w:ascii="Times New Roman"/>
                      <w:bCs/>
                      <w:sz w:val="18"/>
                      <w:szCs w:val="18"/>
                    </w:rPr>
                    <w:t>。</w:t>
                  </w:r>
                </w:p>
              </w:tc>
              <w:tc>
                <w:tcPr>
                  <w:tcW w:w="1590" w:type="pct"/>
                  <w:vAlign w:val="center"/>
                </w:tcPr>
                <w:p w14:paraId="3579ACA1">
                  <w:pPr>
                    <w:pStyle w:val="46"/>
                    <w:jc w:val="both"/>
                    <w:rPr>
                      <w:rFonts w:ascii="Times New Roman"/>
                      <w:bCs/>
                      <w:sz w:val="18"/>
                      <w:szCs w:val="18"/>
                    </w:rPr>
                  </w:pPr>
                  <w:r>
                    <w:rPr>
                      <w:rFonts w:hint="eastAsia" w:ascii="Times New Roman"/>
                      <w:bCs/>
                      <w:sz w:val="18"/>
                      <w:szCs w:val="18"/>
                    </w:rPr>
                    <w:t>项目涂料采用密闭容器包装。</w:t>
                  </w:r>
                </w:p>
              </w:tc>
              <w:tc>
                <w:tcPr>
                  <w:tcW w:w="418" w:type="pct"/>
                  <w:vAlign w:val="center"/>
                </w:tcPr>
                <w:p w14:paraId="35A98231">
                  <w:pPr>
                    <w:pStyle w:val="46"/>
                    <w:rPr>
                      <w:rFonts w:ascii="Times New Roman"/>
                      <w:bCs/>
                      <w:sz w:val="18"/>
                      <w:szCs w:val="18"/>
                    </w:rPr>
                  </w:pPr>
                  <w:r>
                    <w:rPr>
                      <w:rFonts w:hint="eastAsia" w:ascii="Times New Roman"/>
                      <w:bCs/>
                      <w:sz w:val="18"/>
                      <w:szCs w:val="18"/>
                    </w:rPr>
                    <w:t>符合</w:t>
                  </w:r>
                </w:p>
              </w:tc>
            </w:tr>
            <w:tr w14:paraId="2CAA8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Merge w:val="continue"/>
                  <w:vAlign w:val="center"/>
                </w:tcPr>
                <w:p w14:paraId="7DF6C164">
                  <w:pPr>
                    <w:pStyle w:val="46"/>
                    <w:rPr>
                      <w:rFonts w:ascii="Times New Roman"/>
                      <w:bCs/>
                      <w:sz w:val="18"/>
                      <w:szCs w:val="18"/>
                    </w:rPr>
                  </w:pPr>
                </w:p>
              </w:tc>
              <w:tc>
                <w:tcPr>
                  <w:tcW w:w="2559" w:type="pct"/>
                  <w:vAlign w:val="center"/>
                </w:tcPr>
                <w:p w14:paraId="1B15B0F9">
                  <w:pPr>
                    <w:pStyle w:val="46"/>
                    <w:jc w:val="both"/>
                    <w:rPr>
                      <w:rFonts w:ascii="Times New Roman"/>
                      <w:bCs/>
                      <w:sz w:val="18"/>
                      <w:szCs w:val="18"/>
                    </w:rPr>
                  </w:pPr>
                  <w:r>
                    <w:rPr>
                      <w:rFonts w:ascii="Times New Roman"/>
                      <w:bCs/>
                      <w:sz w:val="18"/>
                      <w:szCs w:val="18"/>
                    </w:rPr>
                    <w:t>盛装涂料、粘胶剂、固化剂、稀释剂、清洗剂等含VOC</w:t>
                  </w:r>
                  <w:r>
                    <w:rPr>
                      <w:rFonts w:hint="eastAsia" w:ascii="Times New Roman"/>
                      <w:bCs/>
                      <w:sz w:val="18"/>
                      <w:szCs w:val="18"/>
                    </w:rPr>
                    <w:t>s</w:t>
                  </w:r>
                  <w:r>
                    <w:rPr>
                      <w:rFonts w:ascii="Times New Roman"/>
                      <w:bCs/>
                      <w:sz w:val="18"/>
                      <w:szCs w:val="18"/>
                    </w:rPr>
                    <w:t>原辅材料的容器存放于室内，或存放于设置有雨棚、遮阳和防渗设施的专用场地。盛装VOCs物料的容器在非取用状态时应加盖、封口，保持密闭。</w:t>
                  </w:r>
                </w:p>
              </w:tc>
              <w:tc>
                <w:tcPr>
                  <w:tcW w:w="1590" w:type="pct"/>
                  <w:vAlign w:val="center"/>
                </w:tcPr>
                <w:p w14:paraId="0ED153F4">
                  <w:pPr>
                    <w:pStyle w:val="46"/>
                    <w:jc w:val="both"/>
                    <w:rPr>
                      <w:rFonts w:ascii="Times New Roman"/>
                      <w:bCs/>
                      <w:sz w:val="18"/>
                      <w:szCs w:val="18"/>
                    </w:rPr>
                  </w:pPr>
                  <w:r>
                    <w:rPr>
                      <w:rFonts w:hint="eastAsia" w:ascii="Times New Roman"/>
                      <w:bCs/>
                      <w:sz w:val="18"/>
                      <w:szCs w:val="18"/>
                    </w:rPr>
                    <w:t>项目涂料容器放置于库内；要求建设单位对涂料不使用情况下保持密闭。</w:t>
                  </w:r>
                </w:p>
              </w:tc>
              <w:tc>
                <w:tcPr>
                  <w:tcW w:w="418" w:type="pct"/>
                  <w:vAlign w:val="center"/>
                </w:tcPr>
                <w:p w14:paraId="20002EB2">
                  <w:pPr>
                    <w:pStyle w:val="46"/>
                    <w:rPr>
                      <w:rFonts w:ascii="Times New Roman"/>
                      <w:bCs/>
                      <w:sz w:val="18"/>
                      <w:szCs w:val="18"/>
                    </w:rPr>
                  </w:pPr>
                  <w:r>
                    <w:rPr>
                      <w:rFonts w:hint="eastAsia" w:ascii="Times New Roman"/>
                      <w:bCs/>
                      <w:sz w:val="18"/>
                      <w:szCs w:val="18"/>
                    </w:rPr>
                    <w:t>符合</w:t>
                  </w:r>
                </w:p>
              </w:tc>
            </w:tr>
            <w:tr w14:paraId="41ED6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Align w:val="center"/>
                </w:tcPr>
                <w:p w14:paraId="018E9BAB">
                  <w:pPr>
                    <w:pStyle w:val="46"/>
                    <w:rPr>
                      <w:rFonts w:ascii="Times New Roman"/>
                      <w:bCs/>
                      <w:sz w:val="18"/>
                      <w:szCs w:val="18"/>
                    </w:rPr>
                  </w:pPr>
                  <w:r>
                    <w:rPr>
                      <w:rFonts w:hint="eastAsia" w:ascii="Times New Roman"/>
                      <w:bCs/>
                      <w:sz w:val="18"/>
                      <w:szCs w:val="18"/>
                    </w:rPr>
                    <w:t>要求</w:t>
                  </w:r>
                </w:p>
              </w:tc>
              <w:tc>
                <w:tcPr>
                  <w:tcW w:w="2559" w:type="pct"/>
                  <w:vAlign w:val="center"/>
                </w:tcPr>
                <w:p w14:paraId="3547692A">
                  <w:pPr>
                    <w:pStyle w:val="46"/>
                    <w:jc w:val="both"/>
                    <w:rPr>
                      <w:rFonts w:ascii="Times New Roman"/>
                      <w:bCs/>
                      <w:sz w:val="18"/>
                      <w:szCs w:val="18"/>
                    </w:rPr>
                  </w:pPr>
                  <w:r>
                    <w:rPr>
                      <w:rFonts w:hint="eastAsia" w:ascii="Times New Roman"/>
                      <w:bCs/>
                      <w:sz w:val="18"/>
                      <w:szCs w:val="18"/>
                    </w:rPr>
                    <w:t>调配</w:t>
                  </w:r>
                  <w:r>
                    <w:rPr>
                      <w:rFonts w:ascii="Times New Roman"/>
                      <w:bCs/>
                      <w:sz w:val="18"/>
                      <w:szCs w:val="18"/>
                    </w:rPr>
                    <w:t>、涂装、干燥、修补漆、施胶、喷枪清流等使用VOC</w:t>
                  </w:r>
                  <w:r>
                    <w:rPr>
                      <w:rFonts w:hint="eastAsia" w:ascii="Times New Roman"/>
                      <w:bCs/>
                      <w:sz w:val="18"/>
                      <w:szCs w:val="18"/>
                    </w:rPr>
                    <w:t>s</w:t>
                  </w:r>
                  <w:r>
                    <w:rPr>
                      <w:rFonts w:ascii="Times New Roman"/>
                      <w:bCs/>
                      <w:sz w:val="18"/>
                      <w:szCs w:val="18"/>
                    </w:rPr>
                    <w:t>质量占比大于等于10%物料的工艺过程应采用密闭设备或在密闭空间内操作，废气应排至VOCs废气收集处理系统，无法密闭的，应采取局部气体收集措施，废气排至VOCs度气收集处理系统</w:t>
                  </w:r>
                  <w:r>
                    <w:rPr>
                      <w:rFonts w:hint="eastAsia" w:ascii="Times New Roman"/>
                      <w:bCs/>
                      <w:sz w:val="18"/>
                      <w:szCs w:val="18"/>
                    </w:rPr>
                    <w:t>。</w:t>
                  </w:r>
                </w:p>
              </w:tc>
              <w:tc>
                <w:tcPr>
                  <w:tcW w:w="1590" w:type="pct"/>
                  <w:vAlign w:val="center"/>
                </w:tcPr>
                <w:p w14:paraId="0F3798D5">
                  <w:pPr>
                    <w:pStyle w:val="46"/>
                    <w:jc w:val="both"/>
                    <w:rPr>
                      <w:rFonts w:ascii="Times New Roman"/>
                      <w:bCs/>
                      <w:sz w:val="18"/>
                      <w:szCs w:val="18"/>
                    </w:rPr>
                  </w:pPr>
                  <w:r>
                    <w:rPr>
                      <w:rFonts w:hint="eastAsia" w:ascii="Times New Roman"/>
                      <w:bCs/>
                      <w:sz w:val="18"/>
                      <w:szCs w:val="18"/>
                    </w:rPr>
                    <w:t>项目涂装、晾干均在密闭喷漆房内，负压收集排至</w:t>
                  </w:r>
                  <w:r>
                    <w:rPr>
                      <w:rFonts w:ascii="Times New Roman"/>
                      <w:bCs/>
                      <w:sz w:val="18"/>
                      <w:szCs w:val="18"/>
                    </w:rPr>
                    <w:t>VOCs度气收集处理系统</w:t>
                  </w:r>
                  <w:r>
                    <w:rPr>
                      <w:rFonts w:hint="eastAsia" w:ascii="Times New Roman"/>
                      <w:bCs/>
                      <w:sz w:val="18"/>
                      <w:szCs w:val="18"/>
                    </w:rPr>
                    <w:t>。</w:t>
                  </w:r>
                </w:p>
              </w:tc>
              <w:tc>
                <w:tcPr>
                  <w:tcW w:w="418" w:type="pct"/>
                  <w:vAlign w:val="center"/>
                </w:tcPr>
                <w:p w14:paraId="373D5CA8">
                  <w:pPr>
                    <w:pStyle w:val="46"/>
                    <w:rPr>
                      <w:rFonts w:ascii="Times New Roman"/>
                      <w:bCs/>
                      <w:sz w:val="18"/>
                      <w:szCs w:val="18"/>
                    </w:rPr>
                  </w:pPr>
                  <w:r>
                    <w:rPr>
                      <w:rFonts w:hint="eastAsia" w:ascii="Times New Roman"/>
                      <w:bCs/>
                      <w:sz w:val="18"/>
                      <w:szCs w:val="18"/>
                    </w:rPr>
                    <w:t>符合</w:t>
                  </w:r>
                </w:p>
              </w:tc>
            </w:tr>
            <w:tr w14:paraId="3BFD3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Align w:val="center"/>
                </w:tcPr>
                <w:p w14:paraId="70D2CFE0">
                  <w:pPr>
                    <w:pStyle w:val="46"/>
                    <w:rPr>
                      <w:rFonts w:ascii="Times New Roman"/>
                      <w:bCs/>
                      <w:sz w:val="18"/>
                      <w:szCs w:val="18"/>
                    </w:rPr>
                  </w:pPr>
                  <w:r>
                    <w:rPr>
                      <w:rFonts w:hint="eastAsia" w:ascii="Times New Roman"/>
                      <w:bCs/>
                      <w:sz w:val="18"/>
                      <w:szCs w:val="18"/>
                    </w:rPr>
                    <w:t>要求</w:t>
                  </w:r>
                </w:p>
              </w:tc>
              <w:tc>
                <w:tcPr>
                  <w:tcW w:w="2559" w:type="pct"/>
                  <w:vAlign w:val="center"/>
                </w:tcPr>
                <w:p w14:paraId="19A11BE6">
                  <w:pPr>
                    <w:pStyle w:val="46"/>
                    <w:jc w:val="both"/>
                    <w:rPr>
                      <w:rFonts w:ascii="Times New Roman"/>
                      <w:bCs/>
                      <w:sz w:val="18"/>
                      <w:szCs w:val="18"/>
                    </w:rPr>
                  </w:pPr>
                  <w:r>
                    <w:rPr>
                      <w:rFonts w:hint="eastAsia" w:ascii="Times New Roman"/>
                      <w:bCs/>
                      <w:sz w:val="18"/>
                      <w:szCs w:val="18"/>
                    </w:rPr>
                    <w:t>废气收集系统的输送管道应密闭。废气收集系统应在负压下运行，若处于正压状态，应对皆道组件的密封点进行泄满检测，泄溺检测值不应超过 500 umol/ol，亦不应有感官可察觉泄满。</w:t>
                  </w:r>
                </w:p>
              </w:tc>
              <w:tc>
                <w:tcPr>
                  <w:tcW w:w="1590" w:type="pct"/>
                  <w:vAlign w:val="center"/>
                </w:tcPr>
                <w:p w14:paraId="306E0893">
                  <w:pPr>
                    <w:pStyle w:val="46"/>
                    <w:jc w:val="both"/>
                    <w:rPr>
                      <w:rFonts w:ascii="Times New Roman"/>
                      <w:bCs/>
                      <w:sz w:val="18"/>
                      <w:szCs w:val="18"/>
                    </w:rPr>
                  </w:pPr>
                  <w:r>
                    <w:rPr>
                      <w:rFonts w:hint="eastAsia" w:ascii="Times New Roman"/>
                      <w:bCs/>
                      <w:sz w:val="18"/>
                      <w:szCs w:val="18"/>
                    </w:rPr>
                    <w:t>项目采取负压收集喷涂废气。</w:t>
                  </w:r>
                </w:p>
              </w:tc>
              <w:tc>
                <w:tcPr>
                  <w:tcW w:w="418" w:type="pct"/>
                  <w:vAlign w:val="center"/>
                </w:tcPr>
                <w:p w14:paraId="475A3485">
                  <w:pPr>
                    <w:pStyle w:val="46"/>
                    <w:rPr>
                      <w:rFonts w:ascii="Times New Roman"/>
                      <w:bCs/>
                      <w:sz w:val="18"/>
                      <w:szCs w:val="18"/>
                    </w:rPr>
                  </w:pPr>
                  <w:r>
                    <w:rPr>
                      <w:rFonts w:hint="eastAsia" w:ascii="Times New Roman"/>
                      <w:bCs/>
                      <w:sz w:val="18"/>
                      <w:szCs w:val="18"/>
                    </w:rPr>
                    <w:t>符合</w:t>
                  </w:r>
                </w:p>
              </w:tc>
            </w:tr>
            <w:tr w14:paraId="3C2B6B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Align w:val="center"/>
                </w:tcPr>
                <w:p w14:paraId="3E3994F5">
                  <w:pPr>
                    <w:pStyle w:val="46"/>
                    <w:rPr>
                      <w:rFonts w:ascii="Times New Roman"/>
                      <w:bCs/>
                      <w:sz w:val="18"/>
                      <w:szCs w:val="18"/>
                    </w:rPr>
                  </w:pPr>
                  <w:r>
                    <w:rPr>
                      <w:rFonts w:hint="eastAsia" w:ascii="Times New Roman"/>
                      <w:bCs/>
                      <w:sz w:val="18"/>
                      <w:szCs w:val="18"/>
                    </w:rPr>
                    <w:t>要求</w:t>
                  </w:r>
                </w:p>
              </w:tc>
              <w:tc>
                <w:tcPr>
                  <w:tcW w:w="2559" w:type="pct"/>
                  <w:vAlign w:val="center"/>
                </w:tcPr>
                <w:p w14:paraId="5300BAE1">
                  <w:pPr>
                    <w:pStyle w:val="46"/>
                    <w:jc w:val="both"/>
                    <w:rPr>
                      <w:rFonts w:ascii="Times New Roman"/>
                      <w:bCs/>
                      <w:sz w:val="18"/>
                      <w:szCs w:val="18"/>
                    </w:rPr>
                  </w:pPr>
                  <w:r>
                    <w:rPr>
                      <w:rFonts w:hint="eastAsia" w:ascii="Times New Roman"/>
                      <w:bCs/>
                      <w:sz w:val="18"/>
                      <w:szCs w:val="18"/>
                    </w:rPr>
                    <w:t>喷涂废气应设置高效漆雾处理装置。喷涂、晾（风）干废气宣采用吸附浓缩+燃烧处理方式，小风量的可采用一次性活性炭吸附等工艺。使用溶剂型涂料的生产线，烘于废气宜采用燃烧方式单独处理，具备条件的可采用回收式热力燃烧装置（TNV）。</w:t>
                  </w:r>
                </w:p>
              </w:tc>
              <w:tc>
                <w:tcPr>
                  <w:tcW w:w="1590" w:type="pct"/>
                  <w:vAlign w:val="center"/>
                </w:tcPr>
                <w:p w14:paraId="3528504F">
                  <w:pPr>
                    <w:pStyle w:val="46"/>
                    <w:jc w:val="both"/>
                    <w:rPr>
                      <w:rFonts w:ascii="Times New Roman"/>
                      <w:bCs/>
                      <w:sz w:val="18"/>
                      <w:szCs w:val="18"/>
                    </w:rPr>
                  </w:pPr>
                  <w:r>
                    <w:rPr>
                      <w:rFonts w:hint="eastAsia" w:ascii="Times New Roman"/>
                      <w:bCs/>
                      <w:sz w:val="18"/>
                      <w:szCs w:val="18"/>
                    </w:rPr>
                    <w:t>项目喷涂废气采用“</w:t>
                  </w:r>
                  <w:r>
                    <w:rPr>
                      <w:rFonts w:hint="eastAsia" w:ascii="Times New Roman"/>
                      <w:bCs/>
                      <w:sz w:val="18"/>
                      <w:szCs w:val="18"/>
                      <w:lang w:eastAsia="zh-CN"/>
                    </w:rPr>
                    <w:t>干式过滤+活性炭吸附+CO催化燃烧</w:t>
                  </w:r>
                  <w:r>
                    <w:rPr>
                      <w:rFonts w:hint="eastAsia" w:ascii="Times New Roman"/>
                      <w:bCs/>
                      <w:sz w:val="18"/>
                      <w:szCs w:val="18"/>
                    </w:rPr>
                    <w:t>”收集处理。</w:t>
                  </w:r>
                </w:p>
              </w:tc>
              <w:tc>
                <w:tcPr>
                  <w:tcW w:w="418" w:type="pct"/>
                  <w:vAlign w:val="center"/>
                </w:tcPr>
                <w:p w14:paraId="30E34435">
                  <w:pPr>
                    <w:pStyle w:val="46"/>
                    <w:rPr>
                      <w:rFonts w:ascii="Times New Roman"/>
                      <w:bCs/>
                      <w:sz w:val="18"/>
                      <w:szCs w:val="18"/>
                    </w:rPr>
                  </w:pPr>
                  <w:r>
                    <w:rPr>
                      <w:rFonts w:hint="eastAsia" w:ascii="Times New Roman"/>
                      <w:bCs/>
                      <w:sz w:val="18"/>
                      <w:szCs w:val="18"/>
                    </w:rPr>
                    <w:t>符合</w:t>
                  </w:r>
                </w:p>
              </w:tc>
            </w:tr>
            <w:tr w14:paraId="2D4BF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Align w:val="center"/>
                </w:tcPr>
                <w:p w14:paraId="2197513B">
                  <w:pPr>
                    <w:pStyle w:val="46"/>
                    <w:rPr>
                      <w:rFonts w:ascii="Times New Roman"/>
                      <w:bCs/>
                      <w:sz w:val="18"/>
                      <w:szCs w:val="18"/>
                    </w:rPr>
                  </w:pPr>
                  <w:r>
                    <w:rPr>
                      <w:rFonts w:hint="eastAsia" w:ascii="Times New Roman"/>
                      <w:bCs/>
                      <w:sz w:val="18"/>
                      <w:szCs w:val="18"/>
                    </w:rPr>
                    <w:t>要求</w:t>
                  </w:r>
                </w:p>
              </w:tc>
              <w:tc>
                <w:tcPr>
                  <w:tcW w:w="2559" w:type="pct"/>
                  <w:vAlign w:val="center"/>
                </w:tcPr>
                <w:p w14:paraId="156B02D8">
                  <w:pPr>
                    <w:pStyle w:val="46"/>
                    <w:jc w:val="both"/>
                    <w:rPr>
                      <w:rFonts w:ascii="Times New Roman"/>
                      <w:bCs/>
                      <w:sz w:val="18"/>
                      <w:szCs w:val="18"/>
                    </w:rPr>
                  </w:pPr>
                  <w:r>
                    <w:rPr>
                      <w:rFonts w:hint="eastAsia" w:ascii="Times New Roman"/>
                      <w:bCs/>
                      <w:sz w:val="18"/>
                      <w:szCs w:val="18"/>
                    </w:rPr>
                    <w:t>若收集的废气中NMHC初始排放速率≥2kg/h，处理效率≥80%。VOCs废气处理系统污染物排放暂执行《&lt;山西省重点行业挥发性有机物 2017 年专项治理方案的通知》（晋气防办[2017]32 号）若国家和我省出台实施适用于工业涂装的大气污染物排放标准，则应满足相应排放标准要求。</w:t>
                  </w:r>
                </w:p>
              </w:tc>
              <w:tc>
                <w:tcPr>
                  <w:tcW w:w="1590" w:type="pct"/>
                  <w:vAlign w:val="center"/>
                </w:tcPr>
                <w:p w14:paraId="6B810C32">
                  <w:pPr>
                    <w:pStyle w:val="46"/>
                    <w:jc w:val="both"/>
                    <w:rPr>
                      <w:rFonts w:ascii="Times New Roman"/>
                      <w:bCs/>
                      <w:sz w:val="18"/>
                      <w:szCs w:val="18"/>
                    </w:rPr>
                  </w:pPr>
                  <w:r>
                    <w:rPr>
                      <w:rFonts w:hint="eastAsia" w:ascii="Times New Roman"/>
                      <w:bCs/>
                      <w:sz w:val="18"/>
                      <w:szCs w:val="18"/>
                    </w:rPr>
                    <w:t>项目喷涂废气处理后可满足《&lt;山西省重点行业挥发性有机物2017年专项治理方案的通知》（晋气防办[2017]32号）中标准限值。</w:t>
                  </w:r>
                </w:p>
              </w:tc>
              <w:tc>
                <w:tcPr>
                  <w:tcW w:w="418" w:type="pct"/>
                  <w:vAlign w:val="center"/>
                </w:tcPr>
                <w:p w14:paraId="7ED04967">
                  <w:pPr>
                    <w:pStyle w:val="46"/>
                    <w:rPr>
                      <w:rFonts w:ascii="Times New Roman"/>
                      <w:bCs/>
                      <w:sz w:val="18"/>
                      <w:szCs w:val="18"/>
                    </w:rPr>
                  </w:pPr>
                  <w:r>
                    <w:rPr>
                      <w:rFonts w:hint="eastAsia" w:ascii="Times New Roman"/>
                      <w:bCs/>
                      <w:sz w:val="18"/>
                      <w:szCs w:val="18"/>
                    </w:rPr>
                    <w:t>符合</w:t>
                  </w:r>
                </w:p>
              </w:tc>
            </w:tr>
            <w:tr w14:paraId="0D6B2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Merge w:val="restart"/>
                  <w:vAlign w:val="center"/>
                </w:tcPr>
                <w:p w14:paraId="04A7F843">
                  <w:pPr>
                    <w:pStyle w:val="46"/>
                    <w:rPr>
                      <w:rFonts w:ascii="Times New Roman"/>
                      <w:bCs/>
                      <w:sz w:val="18"/>
                      <w:szCs w:val="18"/>
                    </w:rPr>
                  </w:pPr>
                  <w:r>
                    <w:rPr>
                      <w:rFonts w:hint="eastAsia" w:ascii="Times New Roman"/>
                      <w:bCs/>
                      <w:sz w:val="18"/>
                      <w:szCs w:val="18"/>
                    </w:rPr>
                    <w:t>要求</w:t>
                  </w:r>
                </w:p>
              </w:tc>
              <w:tc>
                <w:tcPr>
                  <w:tcW w:w="2559" w:type="pct"/>
                  <w:vAlign w:val="center"/>
                </w:tcPr>
                <w:p w14:paraId="10ABBB4D">
                  <w:pPr>
                    <w:pStyle w:val="46"/>
                    <w:jc w:val="both"/>
                    <w:rPr>
                      <w:rFonts w:ascii="Times New Roman"/>
                      <w:bCs/>
                      <w:sz w:val="18"/>
                      <w:szCs w:val="18"/>
                    </w:rPr>
                  </w:pPr>
                  <w:r>
                    <w:rPr>
                      <w:rFonts w:hint="eastAsia" w:ascii="Times New Roman"/>
                      <w:bCs/>
                      <w:sz w:val="18"/>
                      <w:szCs w:val="18"/>
                    </w:rPr>
                    <w:t>建立含VOCs原输材料台账，记录含 VOCs原辅材料的名称及其VOCs含量、采购量、使用量、库存量、含VOCs 原辅材料回收方式及回收量</w:t>
                  </w:r>
                </w:p>
              </w:tc>
              <w:tc>
                <w:tcPr>
                  <w:tcW w:w="1590" w:type="pct"/>
                  <w:vAlign w:val="center"/>
                </w:tcPr>
                <w:p w14:paraId="18368E36">
                  <w:pPr>
                    <w:pStyle w:val="46"/>
                    <w:jc w:val="both"/>
                    <w:rPr>
                      <w:rFonts w:ascii="Times New Roman"/>
                      <w:bCs/>
                      <w:sz w:val="18"/>
                      <w:szCs w:val="18"/>
                    </w:rPr>
                  </w:pPr>
                  <w:r>
                    <w:rPr>
                      <w:rFonts w:hint="eastAsia" w:ascii="Times New Roman"/>
                      <w:bCs/>
                      <w:sz w:val="18"/>
                      <w:szCs w:val="18"/>
                    </w:rPr>
                    <w:t>要求建设单位对涂料使用量、库存量等相关内容做好台账管理。</w:t>
                  </w:r>
                </w:p>
              </w:tc>
              <w:tc>
                <w:tcPr>
                  <w:tcW w:w="418" w:type="pct"/>
                  <w:vAlign w:val="center"/>
                </w:tcPr>
                <w:p w14:paraId="79DA324F">
                  <w:pPr>
                    <w:pStyle w:val="46"/>
                    <w:rPr>
                      <w:rFonts w:ascii="Times New Roman"/>
                      <w:bCs/>
                      <w:sz w:val="18"/>
                      <w:szCs w:val="18"/>
                    </w:rPr>
                  </w:pPr>
                  <w:r>
                    <w:rPr>
                      <w:rFonts w:hint="eastAsia" w:ascii="Times New Roman"/>
                      <w:bCs/>
                      <w:sz w:val="18"/>
                      <w:szCs w:val="18"/>
                    </w:rPr>
                    <w:t>符合</w:t>
                  </w:r>
                </w:p>
              </w:tc>
            </w:tr>
            <w:tr w14:paraId="3BF125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Merge w:val="continue"/>
                  <w:vAlign w:val="center"/>
                </w:tcPr>
                <w:p w14:paraId="2F711B2D">
                  <w:pPr>
                    <w:pStyle w:val="46"/>
                    <w:rPr>
                      <w:rFonts w:ascii="Times New Roman"/>
                      <w:bCs/>
                      <w:sz w:val="18"/>
                      <w:szCs w:val="18"/>
                    </w:rPr>
                  </w:pPr>
                </w:p>
              </w:tc>
              <w:tc>
                <w:tcPr>
                  <w:tcW w:w="2559" w:type="pct"/>
                  <w:vAlign w:val="center"/>
                </w:tcPr>
                <w:p w14:paraId="7D3982AA">
                  <w:pPr>
                    <w:pStyle w:val="46"/>
                    <w:jc w:val="both"/>
                    <w:rPr>
                      <w:rFonts w:ascii="Times New Roman"/>
                      <w:bCs/>
                      <w:sz w:val="18"/>
                      <w:szCs w:val="18"/>
                    </w:rPr>
                  </w:pPr>
                  <w:r>
                    <w:rPr>
                      <w:rFonts w:hint="eastAsia" w:ascii="Times New Roman"/>
                      <w:bCs/>
                      <w:sz w:val="18"/>
                      <w:szCs w:val="18"/>
                    </w:rPr>
                    <w:t>建立废气收集处理设施台账，记录废气处理设施进出口的监测数据（废气量、浓度、温度、含氧等）、废气收集与处理设施关键参、废气处理设施相关（吸收剂、吸附剂、化剂等）购和处理记录。</w:t>
                  </w:r>
                </w:p>
              </w:tc>
              <w:tc>
                <w:tcPr>
                  <w:tcW w:w="1590" w:type="pct"/>
                  <w:vAlign w:val="center"/>
                </w:tcPr>
                <w:p w14:paraId="39018663">
                  <w:pPr>
                    <w:pStyle w:val="46"/>
                    <w:jc w:val="both"/>
                    <w:rPr>
                      <w:rFonts w:ascii="Times New Roman"/>
                      <w:bCs/>
                      <w:sz w:val="18"/>
                      <w:szCs w:val="18"/>
                    </w:rPr>
                  </w:pPr>
                  <w:r>
                    <w:rPr>
                      <w:rFonts w:hint="eastAsia" w:ascii="Times New Roman"/>
                      <w:bCs/>
                      <w:sz w:val="18"/>
                      <w:szCs w:val="18"/>
                    </w:rPr>
                    <w:t>要求建设单位建立喷涂废气处理设施管理台账，做好日常监测管理工作。</w:t>
                  </w:r>
                </w:p>
              </w:tc>
              <w:tc>
                <w:tcPr>
                  <w:tcW w:w="418" w:type="pct"/>
                  <w:vAlign w:val="center"/>
                </w:tcPr>
                <w:p w14:paraId="043EB64D">
                  <w:pPr>
                    <w:pStyle w:val="46"/>
                    <w:rPr>
                      <w:rFonts w:ascii="Times New Roman"/>
                      <w:bCs/>
                      <w:sz w:val="18"/>
                      <w:szCs w:val="18"/>
                    </w:rPr>
                  </w:pPr>
                  <w:r>
                    <w:rPr>
                      <w:rFonts w:hint="eastAsia" w:ascii="Times New Roman"/>
                      <w:bCs/>
                      <w:sz w:val="18"/>
                      <w:szCs w:val="18"/>
                    </w:rPr>
                    <w:t>符合</w:t>
                  </w:r>
                </w:p>
              </w:tc>
            </w:tr>
            <w:tr w14:paraId="2E7646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433" w:type="pct"/>
                  <w:vMerge w:val="continue"/>
                  <w:vAlign w:val="center"/>
                </w:tcPr>
                <w:p w14:paraId="574A7C13">
                  <w:pPr>
                    <w:pStyle w:val="46"/>
                    <w:rPr>
                      <w:rFonts w:ascii="Times New Roman"/>
                      <w:bCs/>
                      <w:sz w:val="18"/>
                      <w:szCs w:val="18"/>
                    </w:rPr>
                  </w:pPr>
                </w:p>
              </w:tc>
              <w:tc>
                <w:tcPr>
                  <w:tcW w:w="2559" w:type="pct"/>
                  <w:vAlign w:val="center"/>
                </w:tcPr>
                <w:p w14:paraId="6B9F4D69">
                  <w:pPr>
                    <w:pStyle w:val="46"/>
                    <w:jc w:val="both"/>
                    <w:rPr>
                      <w:rFonts w:ascii="Times New Roman"/>
                      <w:bCs/>
                      <w:sz w:val="18"/>
                      <w:szCs w:val="18"/>
                    </w:rPr>
                  </w:pPr>
                  <w:r>
                    <w:rPr>
                      <w:rFonts w:hint="eastAsia" w:ascii="Times New Roman"/>
                      <w:bCs/>
                      <w:sz w:val="18"/>
                      <w:szCs w:val="18"/>
                    </w:rPr>
                    <w:t>建立危废台账，整理危废处置合同、转移联单及危废处理方资质佐证材料。</w:t>
                  </w:r>
                </w:p>
              </w:tc>
              <w:tc>
                <w:tcPr>
                  <w:tcW w:w="1590" w:type="pct"/>
                  <w:vAlign w:val="center"/>
                </w:tcPr>
                <w:p w14:paraId="565E2C27">
                  <w:pPr>
                    <w:pStyle w:val="46"/>
                    <w:jc w:val="both"/>
                    <w:rPr>
                      <w:rFonts w:ascii="Times New Roman"/>
                      <w:bCs/>
                      <w:sz w:val="18"/>
                      <w:szCs w:val="18"/>
                    </w:rPr>
                  </w:pPr>
                  <w:r>
                    <w:rPr>
                      <w:rFonts w:hint="eastAsia" w:ascii="Times New Roman"/>
                      <w:bCs/>
                      <w:sz w:val="18"/>
                      <w:szCs w:val="18"/>
                    </w:rPr>
                    <w:t>要求建设单位做好危废管理台账管理工作。</w:t>
                  </w:r>
                </w:p>
              </w:tc>
              <w:tc>
                <w:tcPr>
                  <w:tcW w:w="418" w:type="pct"/>
                  <w:vAlign w:val="center"/>
                </w:tcPr>
                <w:p w14:paraId="5AF70720">
                  <w:pPr>
                    <w:pStyle w:val="46"/>
                    <w:rPr>
                      <w:rFonts w:ascii="Times New Roman"/>
                      <w:bCs/>
                      <w:sz w:val="18"/>
                      <w:szCs w:val="18"/>
                    </w:rPr>
                  </w:pPr>
                  <w:r>
                    <w:rPr>
                      <w:rFonts w:hint="eastAsia" w:ascii="Times New Roman"/>
                      <w:bCs/>
                      <w:sz w:val="18"/>
                      <w:szCs w:val="18"/>
                    </w:rPr>
                    <w:t>符合</w:t>
                  </w:r>
                </w:p>
              </w:tc>
            </w:tr>
            <w:tr w14:paraId="598DC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433" w:type="pct"/>
                  <w:vMerge w:val="continue"/>
                  <w:vAlign w:val="center"/>
                </w:tcPr>
                <w:p w14:paraId="1C44BAAD">
                  <w:pPr>
                    <w:pStyle w:val="46"/>
                    <w:rPr>
                      <w:rFonts w:ascii="Times New Roman"/>
                      <w:bCs/>
                      <w:sz w:val="18"/>
                      <w:szCs w:val="18"/>
                    </w:rPr>
                  </w:pPr>
                </w:p>
              </w:tc>
              <w:tc>
                <w:tcPr>
                  <w:tcW w:w="2559" w:type="pct"/>
                  <w:vAlign w:val="center"/>
                </w:tcPr>
                <w:p w14:paraId="72238E71">
                  <w:pPr>
                    <w:pStyle w:val="46"/>
                    <w:jc w:val="both"/>
                    <w:rPr>
                      <w:rFonts w:ascii="Times New Roman"/>
                      <w:bCs/>
                      <w:sz w:val="18"/>
                      <w:szCs w:val="18"/>
                    </w:rPr>
                  </w:pPr>
                  <w:r>
                    <w:rPr>
                      <w:rFonts w:hint="eastAsia" w:ascii="Times New Roman"/>
                      <w:bCs/>
                      <w:sz w:val="18"/>
                      <w:szCs w:val="18"/>
                    </w:rPr>
                    <w:t>台账保存期限不少于3年</w:t>
                  </w:r>
                </w:p>
              </w:tc>
              <w:tc>
                <w:tcPr>
                  <w:tcW w:w="1590" w:type="pct"/>
                  <w:vAlign w:val="center"/>
                </w:tcPr>
                <w:p w14:paraId="4842A1DA">
                  <w:pPr>
                    <w:pStyle w:val="46"/>
                    <w:jc w:val="both"/>
                    <w:rPr>
                      <w:rFonts w:ascii="Times New Roman"/>
                      <w:bCs/>
                      <w:sz w:val="18"/>
                      <w:szCs w:val="18"/>
                    </w:rPr>
                  </w:pPr>
                  <w:r>
                    <w:rPr>
                      <w:rFonts w:hint="eastAsia" w:ascii="Times New Roman"/>
                      <w:bCs/>
                      <w:sz w:val="18"/>
                      <w:szCs w:val="18"/>
                    </w:rPr>
                    <w:t>要求建设单位对相关台账保存不少于3年。</w:t>
                  </w:r>
                </w:p>
              </w:tc>
              <w:tc>
                <w:tcPr>
                  <w:tcW w:w="418" w:type="pct"/>
                  <w:vAlign w:val="center"/>
                </w:tcPr>
                <w:p w14:paraId="19E0D970">
                  <w:pPr>
                    <w:pStyle w:val="46"/>
                    <w:rPr>
                      <w:rFonts w:ascii="Times New Roman"/>
                      <w:bCs/>
                      <w:sz w:val="18"/>
                      <w:szCs w:val="18"/>
                    </w:rPr>
                  </w:pPr>
                </w:p>
              </w:tc>
            </w:tr>
          </w:tbl>
          <w:p w14:paraId="53BC3BBA">
            <w:pPr>
              <w:pStyle w:val="138"/>
              <w:spacing w:line="240" w:lineRule="exact"/>
              <w:ind w:firstLine="0" w:firstLineChars="0"/>
              <w:jc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表1-</w:t>
            </w:r>
            <w:r>
              <w:rPr>
                <w:rFonts w:hint="eastAsia" w:cs="Times New Roman"/>
                <w:b/>
                <w:bCs/>
                <w:color w:val="auto"/>
                <w:sz w:val="18"/>
                <w:szCs w:val="18"/>
                <w:lang w:val="en-US" w:eastAsia="zh-CN"/>
              </w:rPr>
              <w:t>3</w:t>
            </w:r>
            <w:r>
              <w:rPr>
                <w:rFonts w:hint="default" w:ascii="Times New Roman" w:hAnsi="Times New Roman" w:cs="Times New Roman"/>
                <w:b/>
                <w:bCs/>
                <w:color w:val="auto"/>
                <w:sz w:val="18"/>
                <w:szCs w:val="18"/>
              </w:rPr>
              <w:t xml:space="preserve">  与</w:t>
            </w:r>
            <w:r>
              <w:rPr>
                <w:rFonts w:hint="default" w:ascii="Times New Roman" w:hAnsi="Times New Roman" w:cs="Times New Roman"/>
                <w:b/>
                <w:bCs/>
                <w:color w:val="auto"/>
                <w:sz w:val="18"/>
                <w:szCs w:val="18"/>
                <w:lang w:val="en-US" w:eastAsia="zh-CN"/>
              </w:rPr>
              <w:t>《山西省工业炉窑大气污染综合治理方案》</w:t>
            </w:r>
            <w:r>
              <w:rPr>
                <w:rFonts w:hint="default" w:ascii="Times New Roman" w:hAnsi="Times New Roman" w:cs="Times New Roman"/>
                <w:b/>
                <w:bCs/>
                <w:color w:val="auto"/>
                <w:sz w:val="18"/>
                <w:szCs w:val="18"/>
              </w:rPr>
              <w:t>符合性分析表</w:t>
            </w:r>
          </w:p>
          <w:tbl>
            <w:tblPr>
              <w:tblStyle w:val="4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61"/>
              <w:gridCol w:w="3158"/>
              <w:gridCol w:w="2175"/>
              <w:gridCol w:w="448"/>
            </w:tblGrid>
            <w:tr w14:paraId="447CB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0" w:type="auto"/>
                  <w:tcBorders>
                    <w:right w:val="single" w:color="auto" w:sz="4" w:space="0"/>
                  </w:tcBorders>
                  <w:vAlign w:val="center"/>
                </w:tcPr>
                <w:p w14:paraId="5C3716B4">
                  <w:pPr>
                    <w:autoSpaceDE w:val="0"/>
                    <w:autoSpaceDN w:val="0"/>
                    <w:adjustRightInd w:val="0"/>
                    <w:snapToGrid w:val="0"/>
                    <w:jc w:val="center"/>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类别</w:t>
                  </w:r>
                </w:p>
              </w:tc>
              <w:tc>
                <w:tcPr>
                  <w:tcW w:w="0" w:type="auto"/>
                  <w:tcBorders>
                    <w:left w:val="single" w:color="auto" w:sz="4" w:space="0"/>
                  </w:tcBorders>
                  <w:vAlign w:val="center"/>
                </w:tcPr>
                <w:p w14:paraId="1041C924">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治理方案</w:t>
                  </w:r>
                </w:p>
              </w:tc>
              <w:tc>
                <w:tcPr>
                  <w:tcW w:w="0" w:type="auto"/>
                  <w:vAlign w:val="center"/>
                </w:tcPr>
                <w:p w14:paraId="071E7E27">
                  <w:pPr>
                    <w:autoSpaceDE w:val="0"/>
                    <w:autoSpaceDN w:val="0"/>
                    <w:adjustRightInd w:val="0"/>
                    <w:snapToGrid w:val="0"/>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本项目情况</w:t>
                  </w:r>
                </w:p>
              </w:tc>
              <w:tc>
                <w:tcPr>
                  <w:tcW w:w="0" w:type="auto"/>
                  <w:vAlign w:val="center"/>
                </w:tcPr>
                <w:p w14:paraId="5A68C55A">
                  <w:pPr>
                    <w:autoSpaceDE w:val="0"/>
                    <w:autoSpaceDN w:val="0"/>
                    <w:adjustRightInd w:val="0"/>
                    <w:snapToGrid w:val="0"/>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符合性分析</w:t>
                  </w:r>
                </w:p>
              </w:tc>
            </w:tr>
            <w:tr w14:paraId="147C33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0" w:type="auto"/>
                  <w:tcBorders>
                    <w:right w:val="single" w:color="auto" w:sz="4" w:space="0"/>
                  </w:tcBorders>
                  <w:shd w:val="clear" w:color="auto" w:fill="auto"/>
                  <w:vAlign w:val="center"/>
                </w:tcPr>
                <w:p w14:paraId="493B939F">
                  <w:pPr>
                    <w:autoSpaceDE w:val="0"/>
                    <w:autoSpaceDN w:val="0"/>
                    <w:adjustRightInd w:val="0"/>
                    <w:snapToGrid w:val="0"/>
                    <w:jc w:val="center"/>
                    <w:rPr>
                      <w:rFonts w:hint="eastAsia" w:ascii="Times New Roman" w:hAnsi="Times New Roman" w:eastAsia="宋体" w:cs="Times New Roman"/>
                      <w:color w:val="auto"/>
                      <w:kern w:val="0"/>
                      <w:sz w:val="18"/>
                      <w:szCs w:val="18"/>
                      <w:lang w:val="en-US" w:eastAsia="zh-CN" w:bidi="ar-SA"/>
                    </w:rPr>
                  </w:pPr>
                  <w:r>
                    <w:rPr>
                      <w:rFonts w:hint="eastAsia" w:cs="Times New Roman"/>
                      <w:color w:val="auto"/>
                      <w:kern w:val="0"/>
                      <w:sz w:val="18"/>
                      <w:szCs w:val="18"/>
                      <w:lang w:val="en-US" w:eastAsia="zh-CN"/>
                    </w:rPr>
                    <w:t>综合治理范围</w:t>
                  </w:r>
                </w:p>
              </w:tc>
              <w:tc>
                <w:tcPr>
                  <w:tcW w:w="0" w:type="auto"/>
                  <w:tcBorders>
                    <w:left w:val="single" w:color="auto" w:sz="4" w:space="0"/>
                  </w:tcBorders>
                  <w:shd w:val="clear" w:color="auto" w:fill="auto"/>
                  <w:vAlign w:val="center"/>
                </w:tcPr>
                <w:p w14:paraId="73C77665">
                  <w:pPr>
                    <w:autoSpaceDE w:val="0"/>
                    <w:autoSpaceDN w:val="0"/>
                    <w:adjustRightInd w:val="0"/>
                    <w:snapToGrid w:val="0"/>
                    <w:jc w:val="center"/>
                    <w:rPr>
                      <w:rFonts w:hint="eastAsia" w:ascii="Times New Roman" w:hAnsi="Times New Roman" w:eastAsia="宋体" w:cs="Times New Roman"/>
                      <w:color w:val="auto"/>
                      <w:kern w:val="0"/>
                      <w:sz w:val="18"/>
                      <w:szCs w:val="18"/>
                      <w:lang w:val="en-US" w:eastAsia="zh-CN" w:bidi="ar-SA"/>
                    </w:rPr>
                  </w:pPr>
                  <w:r>
                    <w:rPr>
                      <w:rFonts w:hint="eastAsia" w:cs="Times New Roman"/>
                      <w:color w:val="auto"/>
                      <w:kern w:val="0"/>
                      <w:sz w:val="18"/>
                      <w:szCs w:val="18"/>
                      <w:lang w:val="en-US" w:eastAsia="zh-CN"/>
                    </w:rPr>
                    <w:t>工业炉窑是指在工业生产中利用燃料燃烧或电能等转换产生的热量，将物料或工件进行熔炼、熔化、焙（煅）烧、加热、干馏、气化等的热工设备，包括熔炼炉、熔化炉、焙（煅）烧炉（窑）、加热炉、热处理炉、干燥炉（窑）、焦炉、煤气发生炉等八类（附件1）。涉及钢铁、焦化、有色、建材、石化、化工、机械制造等7大行业，31个子行业。</w:t>
                  </w:r>
                </w:p>
              </w:tc>
              <w:tc>
                <w:tcPr>
                  <w:tcW w:w="0" w:type="auto"/>
                  <w:vAlign w:val="center"/>
                </w:tcPr>
                <w:p w14:paraId="741500A3">
                  <w:pPr>
                    <w:autoSpaceDE w:val="0"/>
                    <w:autoSpaceDN w:val="0"/>
                    <w:adjustRightInd w:val="0"/>
                    <w:snapToGrid w:val="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本项目一车间内设置有1台砖隧道窑，燃料为自产生物天然气，属于《治理方案》附件1中的工业炉窑类别。</w:t>
                  </w:r>
                </w:p>
                <w:p w14:paraId="2217038C">
                  <w:pPr>
                    <w:autoSpaceDE w:val="0"/>
                    <w:autoSpaceDN w:val="0"/>
                    <w:adjustRightInd w:val="0"/>
                    <w:snapToGrid w:val="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本项目所属行业不属于《治理方案》附件2中重点行业。</w:t>
                  </w:r>
                </w:p>
              </w:tc>
              <w:tc>
                <w:tcPr>
                  <w:tcW w:w="0" w:type="auto"/>
                  <w:vAlign w:val="center"/>
                </w:tcPr>
                <w:p w14:paraId="5015B1CA">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r>
                    <w:rPr>
                      <w:rFonts w:hint="eastAsia" w:cs="Times New Roman"/>
                      <w:color w:val="auto"/>
                      <w:kern w:val="0"/>
                      <w:sz w:val="18"/>
                      <w:szCs w:val="18"/>
                      <w:lang w:val="en-US" w:eastAsia="zh-CN"/>
                    </w:rPr>
                    <w:t>符合</w:t>
                  </w:r>
                </w:p>
              </w:tc>
            </w:tr>
            <w:tr w14:paraId="5A8F1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0" w:type="auto"/>
                  <w:vMerge w:val="restart"/>
                  <w:tcBorders>
                    <w:right w:val="single" w:color="auto" w:sz="4" w:space="0"/>
                  </w:tcBorders>
                  <w:vAlign w:val="center"/>
                </w:tcPr>
                <w:p w14:paraId="74B75F93">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重点治理任务</w:t>
                  </w:r>
                </w:p>
              </w:tc>
              <w:tc>
                <w:tcPr>
                  <w:tcW w:w="0" w:type="auto"/>
                  <w:tcBorders>
                    <w:left w:val="single" w:color="auto" w:sz="4" w:space="0"/>
                  </w:tcBorders>
                  <w:vAlign w:val="center"/>
                </w:tcPr>
                <w:p w14:paraId="09A1FB06">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严格建设项目环境准入。新建涉工业炉窑的建设项目，原则上要入园区，并符合园区规划环境影响评价要求，配套建设高效环保治理措施。落实国家和我省相关产业政策及产能置换办法。重点区域严格控制涉工业炉窑建设项目，严禁新增钢铁、焦化、铸造、水泥、平板玻璃等产能。全省禁止新建燃料类煤气发生炉（园区现有企业统一建设的清洁煤制气中心除外）。</w:t>
                  </w:r>
                </w:p>
              </w:tc>
              <w:tc>
                <w:tcPr>
                  <w:tcW w:w="0" w:type="auto"/>
                  <w:vAlign w:val="center"/>
                </w:tcPr>
                <w:p w14:paraId="0E2AE299">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r>
                    <w:rPr>
                      <w:rFonts w:hint="eastAsia" w:ascii="Times New Roman" w:hAnsi="Times New Roman" w:cs="Times New Roman"/>
                      <w:color w:val="auto"/>
                      <w:kern w:val="0"/>
                      <w:sz w:val="18"/>
                      <w:szCs w:val="18"/>
                      <w:lang w:val="en-US" w:eastAsia="zh-CN"/>
                    </w:rPr>
                    <w:t>本项目设有1座</w:t>
                  </w:r>
                  <w:r>
                    <w:rPr>
                      <w:rFonts w:hint="eastAsia" w:cs="Times New Roman"/>
                      <w:color w:val="auto"/>
                      <w:kern w:val="0"/>
                      <w:sz w:val="18"/>
                      <w:szCs w:val="18"/>
                      <w:lang w:val="en-US" w:eastAsia="zh-CN"/>
                    </w:rPr>
                    <w:t>隧道窑</w:t>
                  </w:r>
                  <w:r>
                    <w:rPr>
                      <w:rFonts w:hint="eastAsia" w:ascii="Times New Roman" w:hAnsi="Times New Roman" w:cs="Times New Roman"/>
                      <w:color w:val="auto"/>
                      <w:kern w:val="0"/>
                      <w:sz w:val="18"/>
                      <w:szCs w:val="18"/>
                      <w:lang w:val="en-US" w:eastAsia="zh-CN"/>
                    </w:rPr>
                    <w:t>，用于对</w:t>
                  </w:r>
                  <w:r>
                    <w:rPr>
                      <w:rFonts w:hint="eastAsia" w:cs="Times New Roman"/>
                      <w:color w:val="auto"/>
                      <w:kern w:val="0"/>
                      <w:sz w:val="18"/>
                      <w:szCs w:val="18"/>
                      <w:lang w:val="en-US" w:eastAsia="zh-CN"/>
                    </w:rPr>
                    <w:t>产品（砖）</w:t>
                  </w:r>
                  <w:r>
                    <w:rPr>
                      <w:rFonts w:hint="eastAsia" w:ascii="Times New Roman" w:hAnsi="Times New Roman" w:cs="Times New Roman"/>
                      <w:color w:val="auto"/>
                      <w:kern w:val="0"/>
                      <w:sz w:val="18"/>
                      <w:szCs w:val="18"/>
                      <w:lang w:val="en-US" w:eastAsia="zh-CN"/>
                    </w:rPr>
                    <w:t>的</w:t>
                  </w:r>
                  <w:r>
                    <w:rPr>
                      <w:rFonts w:hint="eastAsia" w:cs="Times New Roman"/>
                      <w:color w:val="auto"/>
                      <w:kern w:val="0"/>
                      <w:sz w:val="18"/>
                      <w:szCs w:val="18"/>
                      <w:lang w:val="en-US" w:eastAsia="zh-CN"/>
                    </w:rPr>
                    <w:t>烧制</w:t>
                  </w:r>
                  <w:r>
                    <w:rPr>
                      <w:rFonts w:hint="eastAsia" w:ascii="Times New Roman" w:hAnsi="Times New Roman" w:cs="Times New Roman"/>
                      <w:color w:val="auto"/>
                      <w:kern w:val="0"/>
                      <w:sz w:val="18"/>
                      <w:szCs w:val="18"/>
                      <w:lang w:val="en-US" w:eastAsia="zh-CN"/>
                    </w:rPr>
                    <w:t>，燃料为</w:t>
                  </w:r>
                  <w:r>
                    <w:rPr>
                      <w:rFonts w:hint="eastAsia" w:cs="Times New Roman"/>
                      <w:color w:val="auto"/>
                      <w:kern w:val="0"/>
                      <w:sz w:val="18"/>
                      <w:szCs w:val="18"/>
                      <w:lang w:val="en-US" w:eastAsia="zh-CN"/>
                    </w:rPr>
                    <w:t>市政</w:t>
                  </w:r>
                  <w:r>
                    <w:rPr>
                      <w:rFonts w:hint="eastAsia" w:ascii="Times New Roman" w:hAnsi="Times New Roman" w:cs="Times New Roman"/>
                      <w:color w:val="auto"/>
                      <w:kern w:val="0"/>
                      <w:sz w:val="18"/>
                      <w:szCs w:val="18"/>
                      <w:lang w:val="en-US" w:eastAsia="zh-CN"/>
                    </w:rPr>
                    <w:t>天然气。</w:t>
                  </w:r>
                  <w:r>
                    <w:rPr>
                      <w:rFonts w:hint="eastAsia" w:cs="Times New Roman"/>
                      <w:color w:val="auto"/>
                      <w:kern w:val="0"/>
                      <w:sz w:val="18"/>
                      <w:szCs w:val="18"/>
                      <w:lang w:val="en-US" w:eastAsia="zh-CN"/>
                    </w:rPr>
                    <w:t>本项目选址为园区占地范围内工业用地</w:t>
                  </w:r>
                  <w:r>
                    <w:rPr>
                      <w:rFonts w:hint="eastAsia" w:ascii="Times New Roman" w:hAnsi="Times New Roman" w:cs="Times New Roman"/>
                      <w:color w:val="auto"/>
                      <w:kern w:val="0"/>
                      <w:sz w:val="18"/>
                      <w:szCs w:val="18"/>
                      <w:lang w:val="en-US" w:eastAsia="zh-CN"/>
                    </w:rPr>
                    <w:t>。</w:t>
                  </w:r>
                  <w:r>
                    <w:rPr>
                      <w:rFonts w:hint="eastAsia" w:cs="Times New Roman"/>
                      <w:color w:val="auto"/>
                      <w:kern w:val="0"/>
                      <w:sz w:val="18"/>
                      <w:szCs w:val="18"/>
                      <w:lang w:val="en-US" w:eastAsia="zh-CN"/>
                    </w:rPr>
                    <w:t>部项目属于</w:t>
                  </w:r>
                  <w:r>
                    <w:rPr>
                      <w:rFonts w:hint="default" w:ascii="Times New Roman" w:hAnsi="Times New Roman" w:cs="Times New Roman"/>
                      <w:color w:val="auto"/>
                      <w:kern w:val="0"/>
                      <w:sz w:val="18"/>
                      <w:szCs w:val="18"/>
                      <w:lang w:val="en-US" w:eastAsia="zh-CN"/>
                    </w:rPr>
                    <w:t>钢铁、焦化、铸造、水泥、平板玻璃等</w:t>
                  </w:r>
                  <w:r>
                    <w:rPr>
                      <w:rFonts w:hint="eastAsia" w:cs="Times New Roman"/>
                      <w:color w:val="auto"/>
                      <w:kern w:val="0"/>
                      <w:sz w:val="18"/>
                      <w:szCs w:val="18"/>
                      <w:lang w:val="en-US" w:eastAsia="zh-CN"/>
                    </w:rPr>
                    <w:t>行业。</w:t>
                  </w:r>
                </w:p>
                <w:p w14:paraId="4C65B968">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p>
              </w:tc>
              <w:tc>
                <w:tcPr>
                  <w:tcW w:w="0" w:type="auto"/>
                  <w:vAlign w:val="center"/>
                </w:tcPr>
                <w:p w14:paraId="7B0F1C48">
                  <w:pPr>
                    <w:autoSpaceDE w:val="0"/>
                    <w:autoSpaceDN w:val="0"/>
                    <w:adjustRightInd w:val="0"/>
                    <w:snapToGrid w:val="0"/>
                    <w:jc w:val="center"/>
                    <w:rPr>
                      <w:rFonts w:hint="default" w:ascii="Times New Roman" w:hAnsi="Times New Roman" w:eastAsia="宋体" w:cs="Times New Roman"/>
                      <w:color w:val="auto"/>
                      <w:kern w:val="0"/>
                      <w:sz w:val="18"/>
                      <w:szCs w:val="18"/>
                      <w:lang w:val="en-US" w:eastAsia="zh-CN"/>
                    </w:rPr>
                  </w:pPr>
                  <w:r>
                    <w:rPr>
                      <w:rFonts w:hint="eastAsia" w:cs="Times New Roman"/>
                      <w:color w:val="auto"/>
                      <w:kern w:val="0"/>
                      <w:sz w:val="18"/>
                      <w:szCs w:val="18"/>
                      <w:lang w:val="en-US" w:eastAsia="zh-CN"/>
                    </w:rPr>
                    <w:t>符合</w:t>
                  </w:r>
                </w:p>
              </w:tc>
            </w:tr>
            <w:tr w14:paraId="231F36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38" w:hRule="atLeast"/>
              </w:trPr>
              <w:tc>
                <w:tcPr>
                  <w:tcW w:w="0" w:type="auto"/>
                  <w:vMerge w:val="continue"/>
                  <w:tcBorders>
                    <w:right w:val="single" w:color="auto" w:sz="4" w:space="0"/>
                  </w:tcBorders>
                  <w:vAlign w:val="center"/>
                </w:tcPr>
                <w:p w14:paraId="69584449">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p>
              </w:tc>
              <w:tc>
                <w:tcPr>
                  <w:tcW w:w="0" w:type="auto"/>
                  <w:tcBorders>
                    <w:left w:val="single" w:color="auto" w:sz="4" w:space="0"/>
                  </w:tcBorders>
                  <w:vAlign w:val="center"/>
                </w:tcPr>
                <w:p w14:paraId="49DB2A21">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加大过剩产能和不达标工业炉窑淘汰力度。全面清理《产业结构调整指导目录》淘汰类工业炉窑，加快推进限制类工业炉窑升级改造。落实《山西省焦化行业压减过剩产能打好污染防治攻坚战行动方案》，加快炭化室高度4.3米及以下且运行寿面超过10年的焦炉淘汰步伐。对热效率地下、敞开未封闭，装备简易落后、自动化程度低、无组织排放突出，以及无治理设施或治理设施工艺落后等严重污染环境的工业炉窑，依法责令停业关闭。</w:t>
                  </w:r>
                </w:p>
              </w:tc>
              <w:tc>
                <w:tcPr>
                  <w:tcW w:w="0" w:type="auto"/>
                  <w:vAlign w:val="center"/>
                </w:tcPr>
                <w:p w14:paraId="5B2A843C">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本项目设置</w:t>
                  </w:r>
                  <w:r>
                    <w:rPr>
                      <w:rFonts w:hint="eastAsia" w:cs="Times New Roman"/>
                      <w:color w:val="auto"/>
                      <w:kern w:val="0"/>
                      <w:sz w:val="18"/>
                      <w:szCs w:val="18"/>
                      <w:lang w:val="en-US" w:eastAsia="zh-CN"/>
                    </w:rPr>
                    <w:t>的隧道窑不属于</w:t>
                  </w:r>
                  <w:r>
                    <w:rPr>
                      <w:rFonts w:hint="default" w:ascii="Times New Roman" w:hAnsi="Times New Roman" w:cs="Times New Roman"/>
                      <w:color w:val="auto"/>
                      <w:kern w:val="0"/>
                      <w:sz w:val="18"/>
                      <w:szCs w:val="18"/>
                      <w:lang w:val="en-US" w:eastAsia="zh-CN"/>
                    </w:rPr>
                    <w:t>《产业结构调整指导目录》</w:t>
                  </w:r>
                  <w:r>
                    <w:rPr>
                      <w:rFonts w:hint="eastAsia" w:cs="Times New Roman"/>
                      <w:color w:val="auto"/>
                      <w:kern w:val="0"/>
                      <w:sz w:val="18"/>
                      <w:szCs w:val="18"/>
                      <w:lang w:val="en-US" w:eastAsia="zh-CN"/>
                    </w:rPr>
                    <w:t>（2024年）限制类、淘汰类</w:t>
                  </w:r>
                  <w:r>
                    <w:rPr>
                      <w:rFonts w:hint="default" w:ascii="Times New Roman" w:hAnsi="Times New Roman" w:cs="Times New Roman"/>
                      <w:color w:val="auto"/>
                      <w:kern w:val="0"/>
                      <w:sz w:val="18"/>
                      <w:szCs w:val="18"/>
                      <w:lang w:val="en-US" w:eastAsia="zh-CN"/>
                    </w:rPr>
                    <w:t>。</w:t>
                  </w:r>
                  <w:r>
                    <w:rPr>
                      <w:rFonts w:hint="eastAsia" w:cs="Times New Roman"/>
                      <w:color w:val="auto"/>
                      <w:kern w:val="0"/>
                      <w:sz w:val="18"/>
                      <w:szCs w:val="18"/>
                      <w:lang w:val="en-US" w:eastAsia="zh-CN"/>
                    </w:rPr>
                    <w:t>设备为全封闭设施，自动化运行，燃烧器燃料为自产生物天然气，配套低氮燃烧器，烟气可达标排放。</w:t>
                  </w:r>
                </w:p>
              </w:tc>
              <w:tc>
                <w:tcPr>
                  <w:tcW w:w="0" w:type="auto"/>
                  <w:vAlign w:val="center"/>
                </w:tcPr>
                <w:p w14:paraId="564C8392">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符合</w:t>
                  </w:r>
                </w:p>
              </w:tc>
            </w:tr>
            <w:tr w14:paraId="2EB132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96" w:hRule="atLeast"/>
              </w:trPr>
              <w:tc>
                <w:tcPr>
                  <w:tcW w:w="0" w:type="auto"/>
                  <w:vMerge w:val="continue"/>
                  <w:tcBorders>
                    <w:right w:val="single" w:color="auto" w:sz="4" w:space="0"/>
                  </w:tcBorders>
                  <w:vAlign w:val="center"/>
                </w:tcPr>
                <w:p w14:paraId="6E76B167">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p>
              </w:tc>
              <w:tc>
                <w:tcPr>
                  <w:tcW w:w="0" w:type="auto"/>
                  <w:tcBorders>
                    <w:left w:val="single" w:color="auto" w:sz="4" w:space="0"/>
                  </w:tcBorders>
                  <w:vAlign w:val="center"/>
                </w:tcPr>
                <w:p w14:paraId="3B14B483">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推进工业炉窑全面达标排放。加大工业炉窑治理力度，配套建设高效脱硫脱硝除尘设施。已有行业排放标准的工业炉窑，严格执行行业排放标准特别排放限制及相关规定。暂未制定行业排放标准的工业炉窑，按照颗粒物、二氧化硫、氮氧化物排放限值分别不高于30、200、300毫克/立方米考核评价，其中，日用玻璃、玻璃棉氮氧化物排放限值不高于400毫克/立方米。各地有更严格管控要求的从严执行。</w:t>
                  </w:r>
                </w:p>
              </w:tc>
              <w:tc>
                <w:tcPr>
                  <w:tcW w:w="0" w:type="auto"/>
                  <w:vAlign w:val="center"/>
                </w:tcPr>
                <w:p w14:paraId="3A5A354B">
                  <w:pPr>
                    <w:keepNext w:val="0"/>
                    <w:keepLines w:val="0"/>
                    <w:pageBreakBefore w:val="0"/>
                    <w:widowControl w:val="0"/>
                    <w:kinsoku/>
                    <w:wordWrap/>
                    <w:overflowPunct/>
                    <w:topLinePunct w:val="0"/>
                    <w:autoSpaceDE w:val="0"/>
                    <w:autoSpaceDN w:val="0"/>
                    <w:bidi w:val="0"/>
                    <w:adjustRightInd w:val="0"/>
                    <w:snapToGrid w:val="0"/>
                    <w:ind w:firstLine="360" w:firstLineChars="200"/>
                    <w:jc w:val="both"/>
                    <w:textAlignment w:val="auto"/>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本项目</w:t>
                  </w:r>
                  <w:r>
                    <w:rPr>
                      <w:rFonts w:hint="eastAsia" w:cs="Times New Roman"/>
                      <w:color w:val="auto"/>
                      <w:kern w:val="0"/>
                      <w:sz w:val="18"/>
                      <w:szCs w:val="18"/>
                      <w:lang w:val="en-US" w:eastAsia="zh-CN"/>
                    </w:rPr>
                    <w:t>隧道窑机采用低氮燃烧，燃用天然气，排放的烟气污染物中</w:t>
                  </w:r>
                  <w:r>
                    <w:rPr>
                      <w:rFonts w:hint="default" w:ascii="Times New Roman" w:hAnsi="Times New Roman" w:cs="Times New Roman"/>
                      <w:color w:val="auto"/>
                      <w:sz w:val="18"/>
                      <w:szCs w:val="18"/>
                    </w:rPr>
                    <w:t>颗粒物、二氧化硫、氮氧化物排放限值分别</w:t>
                  </w:r>
                  <w:r>
                    <w:rPr>
                      <w:rFonts w:hint="eastAsia" w:cs="Times New Roman"/>
                      <w:color w:val="auto"/>
                      <w:sz w:val="18"/>
                      <w:szCs w:val="18"/>
                      <w:lang w:val="en-US" w:eastAsia="zh-CN"/>
                    </w:rPr>
                    <w:t>低</w:t>
                  </w:r>
                  <w:r>
                    <w:rPr>
                      <w:rFonts w:hint="default" w:ascii="Times New Roman" w:hAnsi="Times New Roman" w:cs="Times New Roman"/>
                      <w:color w:val="auto"/>
                      <w:sz w:val="18"/>
                      <w:szCs w:val="18"/>
                    </w:rPr>
                    <w:t>于30</w:t>
                  </w:r>
                  <w:r>
                    <w:rPr>
                      <w:rFonts w:hint="eastAsia" w:cs="Times New Roman"/>
                      <w:color w:val="auto"/>
                      <w:sz w:val="18"/>
                      <w:szCs w:val="18"/>
                      <w:lang w:val="en-US" w:eastAsia="zh-CN"/>
                    </w:rPr>
                    <w:t>mg</w:t>
                  </w:r>
                  <w:r>
                    <w:rPr>
                      <w:rFonts w:hint="default" w:ascii="Times New Roman" w:hAnsi="Times New Roman" w:cs="Times New Roman"/>
                      <w:color w:val="auto"/>
                      <w:sz w:val="18"/>
                      <w:szCs w:val="18"/>
                    </w:rPr>
                    <w:t>/</w:t>
                  </w:r>
                  <w:r>
                    <w:rPr>
                      <w:rFonts w:hint="eastAsia" w:cs="Times New Roman"/>
                      <w:color w:val="auto"/>
                      <w:sz w:val="18"/>
                      <w:szCs w:val="18"/>
                      <w:lang w:val="en-US" w:eastAsia="zh-CN"/>
                    </w:rPr>
                    <w:t>m</w:t>
                  </w:r>
                  <w:r>
                    <w:rPr>
                      <w:rFonts w:hint="eastAsia" w:cs="Times New Roman"/>
                      <w:color w:val="auto"/>
                      <w:sz w:val="18"/>
                      <w:szCs w:val="18"/>
                      <w:vertAlign w:val="superscript"/>
                      <w:lang w:val="en-US" w:eastAsia="zh-CN"/>
                    </w:rPr>
                    <w:t>3</w:t>
                  </w:r>
                  <w:r>
                    <w:rPr>
                      <w:rFonts w:hint="default" w:ascii="Times New Roman" w:hAnsi="Times New Roman" w:cs="Times New Roman"/>
                      <w:color w:val="auto"/>
                      <w:sz w:val="18"/>
                      <w:szCs w:val="18"/>
                    </w:rPr>
                    <w:t>、200</w:t>
                  </w:r>
                  <w:r>
                    <w:rPr>
                      <w:rFonts w:hint="eastAsia" w:cs="Times New Roman"/>
                      <w:color w:val="auto"/>
                      <w:sz w:val="18"/>
                      <w:szCs w:val="18"/>
                      <w:lang w:val="en-US" w:eastAsia="zh-CN"/>
                    </w:rPr>
                    <w:t>mg</w:t>
                  </w:r>
                  <w:r>
                    <w:rPr>
                      <w:rFonts w:hint="default" w:ascii="Times New Roman" w:hAnsi="Times New Roman" w:cs="Times New Roman"/>
                      <w:color w:val="auto"/>
                      <w:sz w:val="18"/>
                      <w:szCs w:val="18"/>
                    </w:rPr>
                    <w:t>/</w:t>
                  </w:r>
                  <w:r>
                    <w:rPr>
                      <w:rFonts w:hint="eastAsia" w:cs="Times New Roman"/>
                      <w:color w:val="auto"/>
                      <w:sz w:val="18"/>
                      <w:szCs w:val="18"/>
                      <w:lang w:val="en-US" w:eastAsia="zh-CN"/>
                    </w:rPr>
                    <w:t>m</w:t>
                  </w:r>
                  <w:r>
                    <w:rPr>
                      <w:rFonts w:hint="eastAsia" w:cs="Times New Roman"/>
                      <w:color w:val="auto"/>
                      <w:sz w:val="18"/>
                      <w:szCs w:val="18"/>
                      <w:vertAlign w:val="superscript"/>
                      <w:lang w:val="en-US" w:eastAsia="zh-CN"/>
                    </w:rPr>
                    <w:t>3</w:t>
                  </w:r>
                  <w:r>
                    <w:rPr>
                      <w:rFonts w:hint="default" w:ascii="Times New Roman" w:hAnsi="Times New Roman" w:cs="Times New Roman"/>
                      <w:color w:val="auto"/>
                      <w:sz w:val="18"/>
                      <w:szCs w:val="18"/>
                    </w:rPr>
                    <w:t>、300</w:t>
                  </w:r>
                  <w:r>
                    <w:rPr>
                      <w:rFonts w:hint="eastAsia" w:cs="Times New Roman"/>
                      <w:color w:val="auto"/>
                      <w:sz w:val="18"/>
                      <w:szCs w:val="18"/>
                      <w:lang w:val="en-US" w:eastAsia="zh-CN"/>
                    </w:rPr>
                    <w:t>mg</w:t>
                  </w:r>
                  <w:r>
                    <w:rPr>
                      <w:rFonts w:hint="default" w:ascii="Times New Roman" w:hAnsi="Times New Roman" w:cs="Times New Roman"/>
                      <w:color w:val="auto"/>
                      <w:sz w:val="18"/>
                      <w:szCs w:val="18"/>
                    </w:rPr>
                    <w:t>/</w:t>
                  </w:r>
                  <w:r>
                    <w:rPr>
                      <w:rFonts w:hint="eastAsia" w:cs="Times New Roman"/>
                      <w:color w:val="auto"/>
                      <w:sz w:val="18"/>
                      <w:szCs w:val="18"/>
                      <w:lang w:val="en-US" w:eastAsia="zh-CN"/>
                    </w:rPr>
                    <w:t>m</w:t>
                  </w:r>
                  <w:r>
                    <w:rPr>
                      <w:rFonts w:hint="eastAsia" w:cs="Times New Roman"/>
                      <w:color w:val="auto"/>
                      <w:sz w:val="18"/>
                      <w:szCs w:val="18"/>
                      <w:vertAlign w:val="superscript"/>
                      <w:lang w:val="en-US" w:eastAsia="zh-CN"/>
                    </w:rPr>
                    <w:t>3</w:t>
                  </w:r>
                  <w:r>
                    <w:rPr>
                      <w:rFonts w:hint="eastAsia" w:cs="Times New Roman"/>
                      <w:color w:val="auto"/>
                      <w:sz w:val="18"/>
                      <w:szCs w:val="18"/>
                      <w:vertAlign w:val="baseline"/>
                      <w:lang w:val="en-US" w:eastAsia="zh-CN"/>
                    </w:rPr>
                    <w:t>，可实现达标排放。</w:t>
                  </w:r>
                </w:p>
              </w:tc>
              <w:tc>
                <w:tcPr>
                  <w:tcW w:w="0" w:type="auto"/>
                  <w:vAlign w:val="center"/>
                </w:tcPr>
                <w:p w14:paraId="11356EF6">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符合</w:t>
                  </w:r>
                </w:p>
              </w:tc>
            </w:tr>
            <w:tr w14:paraId="3CCE3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63" w:hRule="atLeast"/>
              </w:trPr>
              <w:tc>
                <w:tcPr>
                  <w:tcW w:w="0" w:type="auto"/>
                  <w:vMerge w:val="continue"/>
                  <w:tcBorders>
                    <w:right w:val="single" w:color="auto" w:sz="4" w:space="0"/>
                  </w:tcBorders>
                  <w:vAlign w:val="center"/>
                </w:tcPr>
                <w:p w14:paraId="220DD41B">
                  <w:pPr>
                    <w:keepNext w:val="0"/>
                    <w:keepLines w:val="0"/>
                    <w:pageBreakBefore w:val="0"/>
                    <w:widowControl w:val="0"/>
                    <w:kinsoku/>
                    <w:wordWrap/>
                    <w:overflowPunct/>
                    <w:topLinePunct w:val="0"/>
                    <w:bidi w:val="0"/>
                    <w:ind w:firstLine="360" w:firstLineChars="200"/>
                    <w:jc w:val="left"/>
                    <w:textAlignment w:val="auto"/>
                    <w:rPr>
                      <w:rFonts w:hint="default" w:ascii="Times New Roman" w:hAnsi="Times New Roman" w:eastAsia="宋体" w:cs="Times New Roman"/>
                      <w:color w:val="auto"/>
                      <w:kern w:val="0"/>
                      <w:sz w:val="18"/>
                      <w:szCs w:val="18"/>
                      <w:lang w:val="en-US" w:eastAsia="zh-CN"/>
                    </w:rPr>
                  </w:pPr>
                </w:p>
              </w:tc>
              <w:tc>
                <w:tcPr>
                  <w:tcW w:w="0" w:type="auto"/>
                  <w:tcBorders>
                    <w:left w:val="single" w:color="auto" w:sz="4" w:space="0"/>
                  </w:tcBorders>
                  <w:vAlign w:val="center"/>
                </w:tcPr>
                <w:p w14:paraId="304BF7DF">
                  <w:pPr>
                    <w:keepNext w:val="0"/>
                    <w:keepLines w:val="0"/>
                    <w:pageBreakBefore w:val="0"/>
                    <w:widowControl w:val="0"/>
                    <w:kinsoku/>
                    <w:wordWrap/>
                    <w:overflowPunct/>
                    <w:topLinePunct w:val="0"/>
                    <w:bidi w:val="0"/>
                    <w:ind w:firstLine="360" w:firstLineChars="200"/>
                    <w:jc w:val="left"/>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全面加强颗粒物无组织排放管理。在保障生产安全的前提下，工业炉窑生产工艺过程及相关物料储存、输送等无组织排放环节采取密闭、封闭等有效措施，有效提高废气收集率，产尘点及车间不得有可见烟粉尘外逸。生产工艺产尘点（装置）应采取密闭、封闭或设置集气罩等措施。煤粉、粉煤灰、石灰、除尘灰、脱硫灰等粉状物料应密闭或封闭储存，采用密闭皮带、封闭通廊、管状带式输送机或密闭车厢、真空管车、气力输送等方式输送。粒状、块状物料应采用入棚入仓或建设防风抑尘网等方式进行储存，粒状物料采用密闭、封闭等方式输送。物料输送过程中产尘点应采取有效抑尘措施</w:t>
                  </w:r>
                  <w:r>
                    <w:rPr>
                      <w:rFonts w:hint="default" w:ascii="Times New Roman" w:hAnsi="Times New Roman" w:cs="Times New Roman"/>
                      <w:color w:val="auto"/>
                      <w:sz w:val="18"/>
                      <w:szCs w:val="18"/>
                      <w:lang w:eastAsia="zh-CN"/>
                    </w:rPr>
                    <w:t>。</w:t>
                  </w:r>
                </w:p>
              </w:tc>
              <w:tc>
                <w:tcPr>
                  <w:tcW w:w="0" w:type="auto"/>
                  <w:vAlign w:val="center"/>
                </w:tcPr>
                <w:p w14:paraId="7679B4BD">
                  <w:pPr>
                    <w:keepNext w:val="0"/>
                    <w:keepLines w:val="0"/>
                    <w:pageBreakBefore w:val="0"/>
                    <w:widowControl w:val="0"/>
                    <w:kinsoku/>
                    <w:wordWrap/>
                    <w:overflowPunct/>
                    <w:topLinePunct w:val="0"/>
                    <w:bidi w:val="0"/>
                    <w:ind w:firstLine="360" w:firstLineChars="200"/>
                    <w:jc w:val="left"/>
                    <w:textAlignment w:val="auto"/>
                    <w:rPr>
                      <w:rFonts w:hint="default" w:ascii="Times New Roman" w:hAnsi="Times New Roman" w:eastAsia="宋体" w:cs="Times New Roman"/>
                      <w:color w:val="auto"/>
                      <w:kern w:val="0"/>
                      <w:sz w:val="18"/>
                      <w:szCs w:val="18"/>
                      <w:lang w:val="en-US" w:eastAsia="zh-CN"/>
                    </w:rPr>
                  </w:pPr>
                  <w:r>
                    <w:rPr>
                      <w:rFonts w:hint="default" w:ascii="Times New Roman" w:hAnsi="Times New Roman" w:cs="Times New Roman"/>
                      <w:color w:val="auto"/>
                      <w:sz w:val="18"/>
                      <w:szCs w:val="18"/>
                    </w:rPr>
                    <w:t>本项目加强无组织排放管理，</w:t>
                  </w:r>
                  <w:r>
                    <w:rPr>
                      <w:rFonts w:hint="eastAsia" w:cs="Times New Roman"/>
                      <w:color w:val="auto"/>
                      <w:sz w:val="18"/>
                      <w:szCs w:val="18"/>
                      <w:lang w:val="en-US" w:eastAsia="zh-CN"/>
                    </w:rPr>
                    <w:t>物</w:t>
                  </w:r>
                  <w:r>
                    <w:rPr>
                      <w:rFonts w:hint="default" w:ascii="Times New Roman" w:hAnsi="Times New Roman" w:cs="Times New Roman"/>
                      <w:color w:val="auto"/>
                      <w:sz w:val="18"/>
                      <w:szCs w:val="18"/>
                    </w:rPr>
                    <w:t>料</w:t>
                  </w:r>
                  <w:r>
                    <w:rPr>
                      <w:rFonts w:hint="eastAsia" w:cs="Times New Roman"/>
                      <w:color w:val="auto"/>
                      <w:sz w:val="18"/>
                      <w:szCs w:val="18"/>
                      <w:lang w:val="en-US" w:eastAsia="zh-CN"/>
                    </w:rPr>
                    <w:t>入封闭式综合车间堆存</w:t>
                  </w:r>
                  <w:r>
                    <w:rPr>
                      <w:rFonts w:hint="default" w:ascii="Times New Roman" w:hAnsi="Times New Roman" w:cs="Times New Roman"/>
                      <w:color w:val="auto"/>
                      <w:sz w:val="18"/>
                      <w:szCs w:val="18"/>
                    </w:rPr>
                    <w:t>，物料输送转载采用封闭式皮带等，废气收集及除尘装置，以减少粉尘无组织排放</w:t>
                  </w:r>
                  <w:r>
                    <w:rPr>
                      <w:rFonts w:hint="default" w:ascii="Times New Roman" w:hAnsi="Times New Roman" w:cs="Times New Roman"/>
                      <w:color w:val="auto"/>
                      <w:sz w:val="18"/>
                      <w:szCs w:val="18"/>
                      <w:lang w:eastAsia="zh-CN"/>
                    </w:rPr>
                    <w:t>。</w:t>
                  </w:r>
                </w:p>
              </w:tc>
              <w:tc>
                <w:tcPr>
                  <w:tcW w:w="0" w:type="auto"/>
                  <w:vAlign w:val="center"/>
                </w:tcPr>
                <w:p w14:paraId="171D91CD">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p>
              </w:tc>
            </w:tr>
            <w:tr w14:paraId="19B05D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0" w:type="auto"/>
                  <w:vMerge w:val="continue"/>
                  <w:tcBorders>
                    <w:right w:val="single" w:color="auto" w:sz="4" w:space="0"/>
                  </w:tcBorders>
                  <w:vAlign w:val="center"/>
                </w:tcPr>
                <w:p w14:paraId="13757FBF">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eastAsia="宋体" w:cs="Times New Roman"/>
                      <w:color w:val="auto"/>
                      <w:kern w:val="0"/>
                      <w:sz w:val="18"/>
                      <w:szCs w:val="18"/>
                      <w:lang w:val="en-US" w:eastAsia="zh-CN"/>
                    </w:rPr>
                  </w:pPr>
                </w:p>
              </w:tc>
              <w:tc>
                <w:tcPr>
                  <w:tcW w:w="0" w:type="auto"/>
                  <w:tcBorders>
                    <w:left w:val="single" w:color="auto" w:sz="4" w:space="0"/>
                  </w:tcBorders>
                  <w:vAlign w:val="center"/>
                </w:tcPr>
                <w:p w14:paraId="53757163">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各市要加大涉工业炉窑类工业园区和产业集群的综合整治力度，结合“三线一单”（生态保护红线、环境质量底线、资源利用上线和生态环境准入清单）、规划环评等要求，进一步梳理确定园区和产业发展定位、规模及结构等。制定综合整治方案，对标先进企业，从生产工艺、产能规模、燃料类型、污染治理等方面提出明确要求，提升产业发展质量和环保治理水平。按照统一标准、统一时间表的要求，同步推进区域环境综合整治和企业升级改造，加强工业园区能源替代利用与资源共享，积极推广集中供气供热或建设清洁低碳能源中心等，替代工业炉窑燃料用煤；充分利用园区内工厂余热、焦炉煤气等清洁低碳能源，加强分质与梯级利用，提高能源利用效率，促进形成清洁低碳高效产业链</w:t>
                  </w:r>
                  <w:r>
                    <w:rPr>
                      <w:rFonts w:hint="default" w:ascii="Times New Roman" w:hAnsi="Times New Roman" w:cs="Times New Roman"/>
                      <w:color w:val="auto"/>
                      <w:sz w:val="18"/>
                      <w:szCs w:val="18"/>
                      <w:lang w:eastAsia="zh-CN"/>
                    </w:rPr>
                    <w:t>。</w:t>
                  </w:r>
                </w:p>
              </w:tc>
              <w:tc>
                <w:tcPr>
                  <w:tcW w:w="0" w:type="auto"/>
                  <w:vAlign w:val="center"/>
                </w:tcPr>
                <w:p w14:paraId="442A2712">
                  <w:pPr>
                    <w:keepNext w:val="0"/>
                    <w:keepLines w:val="0"/>
                    <w:pageBreakBefore w:val="0"/>
                    <w:widowControl w:val="0"/>
                    <w:kinsoku/>
                    <w:wordWrap/>
                    <w:overflowPunct/>
                    <w:topLinePunct w:val="0"/>
                    <w:autoSpaceDE w:val="0"/>
                    <w:autoSpaceDN w:val="0"/>
                    <w:bidi w:val="0"/>
                    <w:adjustRightInd w:val="0"/>
                    <w:snapToGrid w:val="0"/>
                    <w:ind w:firstLine="360" w:firstLineChars="200"/>
                    <w:jc w:val="left"/>
                    <w:textAlignment w:val="auto"/>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本项目运营期不使用煤炭、重油等燃料，</w:t>
                  </w:r>
                  <w:r>
                    <w:rPr>
                      <w:rFonts w:hint="eastAsia" w:cs="Times New Roman"/>
                      <w:color w:val="auto"/>
                      <w:kern w:val="0"/>
                      <w:sz w:val="18"/>
                      <w:szCs w:val="18"/>
                      <w:lang w:val="en-US" w:eastAsia="zh-CN"/>
                    </w:rPr>
                    <w:t>烘干机</w:t>
                  </w:r>
                  <w:r>
                    <w:rPr>
                      <w:rFonts w:hint="default" w:ascii="Times New Roman" w:hAnsi="Times New Roman" w:cs="Times New Roman"/>
                      <w:color w:val="auto"/>
                      <w:kern w:val="0"/>
                      <w:sz w:val="18"/>
                      <w:szCs w:val="18"/>
                      <w:lang w:val="en-US" w:eastAsia="zh-CN"/>
                    </w:rPr>
                    <w:t>主要</w:t>
                  </w:r>
                  <w:r>
                    <w:rPr>
                      <w:rFonts w:hint="eastAsia" w:cs="Times New Roman"/>
                      <w:color w:val="auto"/>
                      <w:kern w:val="0"/>
                      <w:sz w:val="18"/>
                      <w:szCs w:val="18"/>
                      <w:lang w:val="en-US" w:eastAsia="zh-CN"/>
                    </w:rPr>
                    <w:t>燃料</w:t>
                  </w:r>
                  <w:r>
                    <w:rPr>
                      <w:rFonts w:hint="default" w:ascii="Times New Roman" w:hAnsi="Times New Roman" w:cs="Times New Roman"/>
                      <w:color w:val="auto"/>
                      <w:kern w:val="0"/>
                      <w:sz w:val="18"/>
                      <w:szCs w:val="18"/>
                      <w:lang w:val="en-US" w:eastAsia="zh-CN"/>
                    </w:rPr>
                    <w:t>为</w:t>
                  </w:r>
                  <w:r>
                    <w:rPr>
                      <w:rFonts w:hint="eastAsia" w:cs="Times New Roman"/>
                      <w:color w:val="auto"/>
                      <w:kern w:val="0"/>
                      <w:sz w:val="18"/>
                      <w:szCs w:val="18"/>
                      <w:lang w:val="en-US" w:eastAsia="zh-CN"/>
                    </w:rPr>
                    <w:t>天然气</w:t>
                  </w:r>
                  <w:r>
                    <w:rPr>
                      <w:rFonts w:hint="default" w:ascii="Times New Roman" w:hAnsi="Times New Roman" w:cs="Times New Roman"/>
                      <w:color w:val="auto"/>
                      <w:kern w:val="0"/>
                      <w:sz w:val="18"/>
                      <w:szCs w:val="18"/>
                      <w:lang w:val="en-US" w:eastAsia="zh-CN"/>
                    </w:rPr>
                    <w:t>。</w:t>
                  </w:r>
                </w:p>
              </w:tc>
              <w:tc>
                <w:tcPr>
                  <w:tcW w:w="0" w:type="auto"/>
                  <w:vAlign w:val="center"/>
                </w:tcPr>
                <w:p w14:paraId="48485F07">
                  <w:pPr>
                    <w:autoSpaceDE w:val="0"/>
                    <w:autoSpaceDN w:val="0"/>
                    <w:adjustRightInd w:val="0"/>
                    <w:snapToGrid w:val="0"/>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符合</w:t>
                  </w:r>
                </w:p>
              </w:tc>
            </w:tr>
          </w:tbl>
          <w:p w14:paraId="6BDC39D1">
            <w:pPr>
              <w:pStyle w:val="79"/>
              <w:snapToGrid/>
              <w:ind w:firstLine="420"/>
              <w:rPr>
                <w:rFonts w:hint="eastAsia" w:ascii="Times New Roman" w:hAnsi="Times New Roman"/>
                <w:b w:val="0"/>
                <w:bCs/>
                <w:color w:val="auto"/>
                <w:szCs w:val="21"/>
                <w:lang w:val="en-US" w:eastAsia="zh-CN"/>
              </w:rPr>
            </w:pPr>
            <w:r>
              <w:rPr>
                <w:rFonts w:ascii="Times New Roman"/>
                <w:b w:val="0"/>
                <w:color w:val="auto"/>
                <w:kern w:val="0"/>
                <w:szCs w:val="21"/>
              </w:rPr>
              <w:t>综上分析，项目符合</w:t>
            </w:r>
            <w:r>
              <w:rPr>
                <w:rFonts w:hint="eastAsia" w:ascii="Times New Roman"/>
                <w:b w:val="0"/>
                <w:color w:val="auto"/>
                <w:kern w:val="0"/>
                <w:szCs w:val="21"/>
              </w:rPr>
              <w:t>相关文件及规范</w:t>
            </w:r>
            <w:r>
              <w:rPr>
                <w:rFonts w:ascii="Times New Roman"/>
                <w:b w:val="0"/>
                <w:color w:val="auto"/>
                <w:kern w:val="0"/>
                <w:szCs w:val="21"/>
              </w:rPr>
              <w:t>要求。</w:t>
            </w:r>
          </w:p>
          <w:p w14:paraId="4A0A51AE">
            <w:pPr>
              <w:pStyle w:val="79"/>
              <w:snapToGrid/>
              <w:ind w:firstLine="420"/>
              <w:rPr>
                <w:rFonts w:hint="default" w:ascii="Times New Roman" w:hAnsi="Times New Roman"/>
                <w:b w:val="0"/>
                <w:bCs/>
                <w:color w:val="auto"/>
                <w:szCs w:val="21"/>
                <w:lang w:val="en-US" w:eastAsia="zh-CN"/>
              </w:rPr>
            </w:pPr>
          </w:p>
          <w:p w14:paraId="394B5259">
            <w:pPr>
              <w:pStyle w:val="79"/>
              <w:snapToGrid/>
              <w:ind w:firstLine="420"/>
              <w:rPr>
                <w:rFonts w:ascii="Times New Roman" w:hAnsi="Times New Roman"/>
                <w:b w:val="0"/>
                <w:bCs/>
                <w:color w:val="auto"/>
                <w:szCs w:val="21"/>
              </w:rPr>
            </w:pPr>
          </w:p>
          <w:p w14:paraId="51B12A72">
            <w:pPr>
              <w:pStyle w:val="79"/>
              <w:snapToGrid/>
              <w:ind w:firstLine="420"/>
              <w:rPr>
                <w:rFonts w:ascii="Times New Roman" w:hAnsi="Times New Roman"/>
                <w:b w:val="0"/>
                <w:bCs/>
                <w:color w:val="auto"/>
                <w:szCs w:val="21"/>
              </w:rPr>
            </w:pPr>
          </w:p>
          <w:p w14:paraId="2D1EAB39">
            <w:pPr>
              <w:pStyle w:val="79"/>
              <w:snapToGrid/>
              <w:ind w:firstLine="420"/>
              <w:rPr>
                <w:rFonts w:ascii="Times New Roman" w:hAnsi="Times New Roman"/>
                <w:b w:val="0"/>
                <w:bCs/>
                <w:color w:val="auto"/>
                <w:szCs w:val="21"/>
              </w:rPr>
            </w:pPr>
          </w:p>
          <w:p w14:paraId="6AC064BF">
            <w:pPr>
              <w:pStyle w:val="79"/>
              <w:snapToGrid/>
              <w:ind w:firstLine="420"/>
              <w:rPr>
                <w:rFonts w:ascii="Times New Roman" w:hAnsi="Times New Roman"/>
                <w:b w:val="0"/>
                <w:bCs/>
                <w:color w:val="auto"/>
                <w:szCs w:val="21"/>
              </w:rPr>
            </w:pPr>
          </w:p>
          <w:p w14:paraId="59AF73D1">
            <w:pPr>
              <w:pStyle w:val="79"/>
              <w:snapToGrid/>
              <w:ind w:firstLine="420"/>
              <w:rPr>
                <w:rFonts w:ascii="Times New Roman" w:hAnsi="Times New Roman"/>
                <w:b w:val="0"/>
                <w:bCs/>
                <w:color w:val="auto"/>
                <w:szCs w:val="21"/>
              </w:rPr>
            </w:pPr>
          </w:p>
          <w:p w14:paraId="6D0F0E17">
            <w:pPr>
              <w:pStyle w:val="79"/>
              <w:snapToGrid/>
              <w:ind w:firstLine="420"/>
              <w:rPr>
                <w:rFonts w:ascii="Times New Roman" w:hAnsi="Times New Roman"/>
                <w:b w:val="0"/>
                <w:bCs/>
                <w:color w:val="auto"/>
                <w:szCs w:val="21"/>
              </w:rPr>
            </w:pPr>
          </w:p>
          <w:p w14:paraId="02D7FEC6">
            <w:pPr>
              <w:pStyle w:val="79"/>
              <w:snapToGrid/>
              <w:ind w:firstLine="420"/>
              <w:rPr>
                <w:rFonts w:ascii="Times New Roman" w:hAnsi="Times New Roman"/>
                <w:b w:val="0"/>
                <w:bCs/>
                <w:color w:val="auto"/>
                <w:szCs w:val="21"/>
              </w:rPr>
            </w:pPr>
          </w:p>
          <w:p w14:paraId="066BC424">
            <w:pPr>
              <w:pStyle w:val="79"/>
              <w:snapToGrid/>
              <w:ind w:firstLine="420"/>
              <w:rPr>
                <w:rFonts w:ascii="Times New Roman" w:hAnsi="Times New Roman"/>
                <w:b w:val="0"/>
                <w:bCs/>
                <w:color w:val="auto"/>
                <w:szCs w:val="21"/>
              </w:rPr>
            </w:pPr>
          </w:p>
          <w:p w14:paraId="236A8DA0">
            <w:pPr>
              <w:pStyle w:val="79"/>
              <w:snapToGrid/>
              <w:ind w:firstLine="420"/>
              <w:rPr>
                <w:rFonts w:ascii="Times New Roman" w:hAnsi="Times New Roman"/>
                <w:b w:val="0"/>
                <w:bCs/>
                <w:color w:val="auto"/>
                <w:szCs w:val="21"/>
              </w:rPr>
            </w:pPr>
          </w:p>
          <w:p w14:paraId="556A9E73">
            <w:pPr>
              <w:pStyle w:val="79"/>
              <w:snapToGrid/>
              <w:ind w:firstLine="420"/>
              <w:rPr>
                <w:rFonts w:ascii="Times New Roman" w:hAnsi="Times New Roman"/>
                <w:b w:val="0"/>
                <w:bCs/>
                <w:color w:val="auto"/>
                <w:szCs w:val="21"/>
              </w:rPr>
            </w:pPr>
          </w:p>
          <w:p w14:paraId="53729937">
            <w:pPr>
              <w:pStyle w:val="79"/>
              <w:snapToGrid/>
              <w:ind w:firstLine="420"/>
              <w:rPr>
                <w:rFonts w:ascii="Times New Roman" w:hAnsi="Times New Roman"/>
                <w:b w:val="0"/>
                <w:bCs/>
                <w:color w:val="auto"/>
                <w:szCs w:val="21"/>
              </w:rPr>
            </w:pPr>
          </w:p>
          <w:p w14:paraId="07724B38">
            <w:pPr>
              <w:pStyle w:val="79"/>
              <w:snapToGrid/>
              <w:ind w:firstLine="420"/>
              <w:rPr>
                <w:rFonts w:ascii="Times New Roman" w:hAnsi="Times New Roman"/>
                <w:b w:val="0"/>
                <w:bCs/>
                <w:color w:val="auto"/>
                <w:szCs w:val="21"/>
              </w:rPr>
            </w:pPr>
          </w:p>
          <w:p w14:paraId="381ECD28">
            <w:pPr>
              <w:pStyle w:val="79"/>
              <w:snapToGrid/>
              <w:ind w:firstLine="420"/>
              <w:rPr>
                <w:rFonts w:ascii="Times New Roman" w:hAnsi="Times New Roman"/>
                <w:b w:val="0"/>
                <w:bCs/>
                <w:color w:val="auto"/>
                <w:szCs w:val="21"/>
              </w:rPr>
            </w:pPr>
          </w:p>
          <w:p w14:paraId="20EB7461">
            <w:pPr>
              <w:pStyle w:val="79"/>
              <w:snapToGrid/>
              <w:ind w:firstLine="420"/>
              <w:rPr>
                <w:rFonts w:ascii="Times New Roman" w:hAnsi="Times New Roman"/>
                <w:b w:val="0"/>
                <w:bCs/>
                <w:color w:val="auto"/>
                <w:szCs w:val="21"/>
              </w:rPr>
            </w:pPr>
          </w:p>
          <w:p w14:paraId="159E70B3">
            <w:pPr>
              <w:pStyle w:val="79"/>
              <w:snapToGrid/>
              <w:ind w:firstLine="420"/>
              <w:rPr>
                <w:rFonts w:ascii="Times New Roman" w:hAnsi="Times New Roman"/>
                <w:b w:val="0"/>
                <w:bCs/>
                <w:color w:val="auto"/>
                <w:szCs w:val="21"/>
              </w:rPr>
            </w:pPr>
          </w:p>
          <w:p w14:paraId="7D619850">
            <w:pPr>
              <w:pStyle w:val="79"/>
              <w:snapToGrid/>
              <w:ind w:firstLine="420"/>
              <w:rPr>
                <w:rFonts w:ascii="Times New Roman" w:hAnsi="Times New Roman"/>
                <w:b w:val="0"/>
                <w:bCs/>
                <w:color w:val="auto"/>
                <w:szCs w:val="21"/>
              </w:rPr>
            </w:pPr>
          </w:p>
          <w:p w14:paraId="3A931A31">
            <w:pPr>
              <w:pStyle w:val="79"/>
              <w:snapToGrid/>
              <w:ind w:firstLine="420"/>
              <w:rPr>
                <w:rFonts w:ascii="Times New Roman" w:hAnsi="Times New Roman"/>
                <w:b w:val="0"/>
                <w:bCs/>
                <w:color w:val="auto"/>
                <w:szCs w:val="21"/>
              </w:rPr>
            </w:pPr>
          </w:p>
          <w:p w14:paraId="57233839">
            <w:pPr>
              <w:pStyle w:val="79"/>
              <w:snapToGrid/>
              <w:ind w:firstLine="420"/>
              <w:rPr>
                <w:rFonts w:ascii="Times New Roman" w:hAnsi="Times New Roman"/>
                <w:b w:val="0"/>
                <w:bCs/>
                <w:color w:val="auto"/>
                <w:szCs w:val="21"/>
              </w:rPr>
            </w:pPr>
          </w:p>
          <w:p w14:paraId="6F1B96C0">
            <w:pPr>
              <w:pStyle w:val="79"/>
              <w:snapToGrid/>
              <w:ind w:firstLine="420"/>
              <w:rPr>
                <w:rFonts w:ascii="Times New Roman" w:hAnsi="Times New Roman"/>
                <w:b w:val="0"/>
                <w:bCs/>
                <w:color w:val="auto"/>
                <w:szCs w:val="21"/>
              </w:rPr>
            </w:pPr>
          </w:p>
          <w:p w14:paraId="1017CA55">
            <w:pPr>
              <w:pStyle w:val="79"/>
              <w:snapToGrid/>
              <w:ind w:firstLine="420"/>
              <w:rPr>
                <w:rFonts w:ascii="Times New Roman" w:hAnsi="Times New Roman"/>
                <w:b w:val="0"/>
                <w:bCs/>
                <w:color w:val="auto"/>
                <w:szCs w:val="21"/>
              </w:rPr>
            </w:pPr>
          </w:p>
          <w:p w14:paraId="559BF0E6">
            <w:pPr>
              <w:pStyle w:val="79"/>
              <w:snapToGrid/>
              <w:ind w:firstLine="420"/>
              <w:rPr>
                <w:rFonts w:ascii="Times New Roman" w:hAnsi="Times New Roman"/>
                <w:b w:val="0"/>
                <w:bCs/>
                <w:color w:val="auto"/>
                <w:szCs w:val="21"/>
              </w:rPr>
            </w:pPr>
          </w:p>
          <w:p w14:paraId="3B6B3A0A">
            <w:pPr>
              <w:pStyle w:val="79"/>
              <w:snapToGrid/>
              <w:ind w:firstLine="420"/>
              <w:rPr>
                <w:rFonts w:ascii="Times New Roman" w:hAnsi="Times New Roman"/>
                <w:b w:val="0"/>
                <w:bCs/>
                <w:color w:val="auto"/>
                <w:szCs w:val="21"/>
              </w:rPr>
            </w:pPr>
          </w:p>
          <w:p w14:paraId="28EB50D5">
            <w:pPr>
              <w:pStyle w:val="79"/>
              <w:snapToGrid/>
              <w:ind w:firstLine="420"/>
              <w:rPr>
                <w:rFonts w:ascii="Times New Roman" w:hAnsi="Times New Roman"/>
                <w:b w:val="0"/>
                <w:bCs/>
                <w:color w:val="auto"/>
                <w:szCs w:val="21"/>
              </w:rPr>
            </w:pPr>
          </w:p>
          <w:p w14:paraId="62EA40FF">
            <w:pPr>
              <w:pStyle w:val="79"/>
              <w:snapToGrid/>
              <w:ind w:firstLine="420"/>
              <w:rPr>
                <w:rFonts w:ascii="Times New Roman" w:hAnsi="Times New Roman"/>
                <w:b w:val="0"/>
                <w:bCs/>
                <w:color w:val="auto"/>
                <w:szCs w:val="21"/>
              </w:rPr>
            </w:pPr>
          </w:p>
          <w:p w14:paraId="58650D85">
            <w:pPr>
              <w:pStyle w:val="79"/>
              <w:snapToGrid/>
              <w:ind w:firstLine="420"/>
              <w:rPr>
                <w:rFonts w:ascii="Times New Roman" w:hAnsi="Times New Roman"/>
                <w:b w:val="0"/>
                <w:bCs/>
                <w:color w:val="auto"/>
                <w:szCs w:val="21"/>
              </w:rPr>
            </w:pPr>
          </w:p>
          <w:p w14:paraId="0F033BE0">
            <w:pPr>
              <w:pStyle w:val="79"/>
              <w:snapToGrid/>
              <w:ind w:firstLine="420"/>
              <w:rPr>
                <w:rFonts w:ascii="Times New Roman" w:hAnsi="Times New Roman"/>
                <w:b w:val="0"/>
                <w:bCs/>
                <w:color w:val="auto"/>
                <w:szCs w:val="21"/>
              </w:rPr>
            </w:pPr>
          </w:p>
          <w:p w14:paraId="01F47265">
            <w:pPr>
              <w:pStyle w:val="79"/>
              <w:snapToGrid/>
              <w:ind w:firstLine="420"/>
              <w:rPr>
                <w:rFonts w:ascii="Times New Roman" w:hAnsi="Times New Roman"/>
                <w:b w:val="0"/>
                <w:bCs/>
                <w:color w:val="auto"/>
                <w:szCs w:val="21"/>
              </w:rPr>
            </w:pPr>
          </w:p>
          <w:p w14:paraId="7C01DE0C">
            <w:pPr>
              <w:pStyle w:val="79"/>
              <w:snapToGrid/>
              <w:ind w:firstLine="420"/>
              <w:rPr>
                <w:rFonts w:ascii="Times New Roman" w:hAnsi="Times New Roman"/>
                <w:b w:val="0"/>
                <w:bCs/>
                <w:color w:val="auto"/>
                <w:szCs w:val="21"/>
              </w:rPr>
            </w:pPr>
          </w:p>
          <w:p w14:paraId="432EF224">
            <w:pPr>
              <w:pStyle w:val="79"/>
              <w:snapToGrid/>
              <w:ind w:firstLine="420"/>
              <w:rPr>
                <w:rFonts w:ascii="Times New Roman" w:hAnsi="Times New Roman"/>
                <w:b w:val="0"/>
                <w:bCs/>
                <w:color w:val="auto"/>
                <w:szCs w:val="21"/>
              </w:rPr>
            </w:pPr>
          </w:p>
          <w:p w14:paraId="4F16609E">
            <w:pPr>
              <w:pStyle w:val="79"/>
              <w:snapToGrid/>
              <w:ind w:firstLine="420"/>
              <w:rPr>
                <w:rFonts w:ascii="Times New Roman" w:hAnsi="Times New Roman"/>
                <w:b w:val="0"/>
                <w:bCs/>
                <w:color w:val="auto"/>
                <w:szCs w:val="21"/>
              </w:rPr>
            </w:pPr>
          </w:p>
          <w:p w14:paraId="257DA6C9">
            <w:pPr>
              <w:pStyle w:val="79"/>
              <w:snapToGrid/>
              <w:ind w:firstLine="422"/>
              <w:rPr>
                <w:color w:val="auto"/>
                <w:kern w:val="0"/>
                <w:szCs w:val="21"/>
              </w:rPr>
            </w:pPr>
          </w:p>
        </w:tc>
      </w:tr>
    </w:tbl>
    <w:p w14:paraId="7A2BCADA">
      <w:pPr>
        <w:spacing w:line="360" w:lineRule="auto"/>
        <w:outlineLvl w:val="0"/>
        <w:rPr>
          <w:rFonts w:eastAsia="黑体"/>
          <w:color w:val="auto"/>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1D2226C4">
      <w:pPr>
        <w:pStyle w:val="40"/>
        <w:jc w:val="center"/>
        <w:outlineLvl w:val="0"/>
        <w:rPr>
          <w:rFonts w:ascii="Times New Roman" w:hAnsi="Times New Roman" w:eastAsia="黑体"/>
          <w:snapToGrid w:val="0"/>
          <w:color w:val="auto"/>
          <w:sz w:val="30"/>
          <w:szCs w:val="30"/>
        </w:rPr>
      </w:pPr>
      <w:r>
        <w:rPr>
          <w:rFonts w:ascii="Times New Roman" w:hAnsi="黑体" w:eastAsia="黑体"/>
          <w:snapToGrid w:val="0"/>
          <w:color w:val="auto"/>
          <w:sz w:val="30"/>
          <w:szCs w:val="30"/>
        </w:rPr>
        <w:t>二、建设项目工程分析</w:t>
      </w:r>
    </w:p>
    <w:tbl>
      <w:tblPr>
        <w:tblStyle w:val="4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8185"/>
      </w:tblGrid>
      <w:tr w14:paraId="117B0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483" w:type="pct"/>
            <w:vAlign w:val="center"/>
          </w:tcPr>
          <w:p w14:paraId="0E481D2C">
            <w:pPr>
              <w:pStyle w:val="40"/>
              <w:adjustRightInd w:val="0"/>
              <w:snapToGrid w:val="0"/>
              <w:spacing w:before="0" w:beforeAutospacing="0" w:after="0" w:afterAutospacing="0"/>
              <w:jc w:val="center"/>
              <w:rPr>
                <w:rFonts w:ascii="Times New Roman"/>
                <w:color w:val="auto"/>
                <w:sz w:val="21"/>
                <w:szCs w:val="21"/>
              </w:rPr>
            </w:pPr>
            <w:r>
              <w:rPr>
                <w:rFonts w:ascii="Times New Roman"/>
                <w:color w:val="auto"/>
                <w:sz w:val="21"/>
                <w:szCs w:val="21"/>
              </w:rPr>
              <w:t>建设</w:t>
            </w:r>
          </w:p>
          <w:p w14:paraId="05AB480A">
            <w:pPr>
              <w:pStyle w:val="40"/>
              <w:adjustRightInd w:val="0"/>
              <w:snapToGrid w:val="0"/>
              <w:spacing w:before="0" w:beforeAutospacing="0" w:after="0" w:afterAutospacing="0"/>
              <w:jc w:val="center"/>
              <w:rPr>
                <w:rFonts w:ascii="Times New Roman" w:hAnsi="Times New Roman"/>
                <w:color w:val="auto"/>
                <w:sz w:val="21"/>
                <w:szCs w:val="21"/>
              </w:rPr>
            </w:pPr>
            <w:r>
              <w:rPr>
                <w:rFonts w:ascii="Times New Roman"/>
                <w:color w:val="auto"/>
                <w:sz w:val="21"/>
                <w:szCs w:val="21"/>
              </w:rPr>
              <w:t>内容</w:t>
            </w:r>
          </w:p>
        </w:tc>
        <w:tc>
          <w:tcPr>
            <w:tcW w:w="4516" w:type="pct"/>
          </w:tcPr>
          <w:p w14:paraId="7E94D633">
            <w:pPr>
              <w:spacing w:line="360" w:lineRule="auto"/>
              <w:ind w:firstLine="420" w:firstLineChars="200"/>
              <w:rPr>
                <w:bCs/>
                <w:szCs w:val="21"/>
              </w:rPr>
            </w:pPr>
            <w:r>
              <w:rPr>
                <w:rFonts w:hint="eastAsia" w:ascii="Times New Roman" w:hAnsi="Times New Roman"/>
                <w:bCs/>
                <w:color w:val="auto"/>
                <w:szCs w:val="21"/>
                <w:lang w:val="en-US" w:eastAsia="zh-CN"/>
              </w:rPr>
              <w:t>项目由来：</w:t>
            </w:r>
            <w:r>
              <w:rPr>
                <w:bCs/>
                <w:szCs w:val="21"/>
              </w:rPr>
              <w:t>本项目建设单位为山西</w:t>
            </w:r>
            <w:r>
              <w:rPr>
                <w:rFonts w:hint="eastAsia"/>
                <w:bCs/>
                <w:szCs w:val="21"/>
              </w:rPr>
              <w:t>古建</w:t>
            </w:r>
            <w:r>
              <w:rPr>
                <w:bCs/>
                <w:szCs w:val="21"/>
              </w:rPr>
              <w:t>文创科技有限公司，</w:t>
            </w:r>
            <w:r>
              <w:rPr>
                <w:rFonts w:hint="eastAsia"/>
                <w:bCs/>
                <w:szCs w:val="21"/>
              </w:rPr>
              <w:t>项目</w:t>
            </w:r>
            <w:r>
              <w:rPr>
                <w:bCs/>
                <w:szCs w:val="21"/>
              </w:rPr>
              <w:t>位于大同市装备制造产业园区氢都北一街3号</w:t>
            </w:r>
            <w:r>
              <w:rPr>
                <w:rFonts w:hint="eastAsia"/>
                <w:bCs/>
                <w:szCs w:val="21"/>
              </w:rPr>
              <w:t>，</w:t>
            </w:r>
            <w:r>
              <w:rPr>
                <w:bCs/>
                <w:szCs w:val="21"/>
              </w:rPr>
              <w:t>总投资约</w:t>
            </w:r>
            <w:r>
              <w:rPr>
                <w:rFonts w:hint="eastAsia"/>
                <w:bCs/>
                <w:szCs w:val="21"/>
              </w:rPr>
              <w:t>24960万元，新建一座</w:t>
            </w:r>
            <w:r>
              <w:rPr>
                <w:bCs/>
                <w:szCs w:val="21"/>
              </w:rPr>
              <w:t>古建筑产业园区</w:t>
            </w:r>
            <w:r>
              <w:rPr>
                <w:rFonts w:hint="eastAsia"/>
                <w:bCs/>
                <w:szCs w:val="21"/>
              </w:rPr>
              <w:t>，</w:t>
            </w:r>
            <w:r>
              <w:rPr>
                <w:bCs/>
                <w:szCs w:val="21"/>
              </w:rPr>
              <w:t>主要</w:t>
            </w:r>
            <w:r>
              <w:rPr>
                <w:rFonts w:hint="eastAsia"/>
                <w:bCs/>
                <w:szCs w:val="21"/>
              </w:rPr>
              <w:t>产品</w:t>
            </w:r>
            <w:r>
              <w:rPr>
                <w:bCs/>
                <w:szCs w:val="21"/>
              </w:rPr>
              <w:t>为</w:t>
            </w:r>
            <w:r>
              <w:rPr>
                <w:rFonts w:hint="eastAsia"/>
                <w:bCs/>
                <w:szCs w:val="21"/>
              </w:rPr>
              <w:t>仿古建筑梁、檩条、椽、卯榫、斗拱等木构件、木门窗、木屋、砖雕、石雕、手工艺品、仿古家具</w:t>
            </w:r>
            <w:r>
              <w:rPr>
                <w:bCs/>
                <w:szCs w:val="21"/>
              </w:rPr>
              <w:t>。</w:t>
            </w:r>
          </w:p>
          <w:p w14:paraId="2CC236CA">
            <w:pPr>
              <w:spacing w:line="360" w:lineRule="auto"/>
              <w:ind w:firstLine="420" w:firstLineChars="200"/>
              <w:rPr>
                <w:bCs/>
                <w:szCs w:val="21"/>
              </w:rPr>
            </w:pPr>
            <w:r>
              <w:rPr>
                <w:bCs/>
                <w:szCs w:val="21"/>
              </w:rPr>
              <w:t>项目名称：</w:t>
            </w:r>
            <w:r>
              <w:rPr>
                <w:rFonts w:hAnsi="宋体"/>
                <w:szCs w:val="21"/>
              </w:rPr>
              <w:t>古建筑产业园项目</w:t>
            </w:r>
          </w:p>
          <w:p w14:paraId="345F4928">
            <w:pPr>
              <w:spacing w:line="360" w:lineRule="auto"/>
              <w:ind w:firstLine="420" w:firstLineChars="200"/>
              <w:rPr>
                <w:bCs/>
                <w:szCs w:val="21"/>
              </w:rPr>
            </w:pPr>
            <w:r>
              <w:rPr>
                <w:bCs/>
                <w:szCs w:val="21"/>
              </w:rPr>
              <w:t>建设单位：</w:t>
            </w:r>
            <w:r>
              <w:rPr>
                <w:rFonts w:hAnsi="宋体"/>
                <w:szCs w:val="21"/>
              </w:rPr>
              <w:t>山西古建文创科技有限公司</w:t>
            </w:r>
          </w:p>
          <w:p w14:paraId="2CEAE8EA">
            <w:pPr>
              <w:spacing w:line="360" w:lineRule="auto"/>
              <w:ind w:firstLine="420" w:firstLineChars="200"/>
              <w:rPr>
                <w:bCs/>
                <w:szCs w:val="21"/>
              </w:rPr>
            </w:pPr>
            <w:r>
              <w:rPr>
                <w:bCs/>
                <w:szCs w:val="21"/>
              </w:rPr>
              <w:t>建设性质：</w:t>
            </w:r>
            <w:r>
              <w:rPr>
                <w:rFonts w:hint="eastAsia"/>
                <w:bCs/>
                <w:szCs w:val="21"/>
              </w:rPr>
              <w:t>新</w:t>
            </w:r>
            <w:r>
              <w:rPr>
                <w:bCs/>
                <w:szCs w:val="21"/>
              </w:rPr>
              <w:t>建</w:t>
            </w:r>
          </w:p>
          <w:p w14:paraId="3A0DEDA2">
            <w:pPr>
              <w:spacing w:line="360" w:lineRule="auto"/>
              <w:ind w:firstLine="420" w:firstLineChars="200"/>
              <w:rPr>
                <w:bCs/>
                <w:szCs w:val="21"/>
              </w:rPr>
            </w:pPr>
            <w:r>
              <w:rPr>
                <w:bCs/>
                <w:szCs w:val="21"/>
              </w:rPr>
              <w:t>建设地点：本项目位于</w:t>
            </w:r>
            <w:r>
              <w:rPr>
                <w:szCs w:val="21"/>
              </w:rPr>
              <w:t>大同经济技术开发区装备制造产业园区氢都北一街3号</w:t>
            </w:r>
            <w:r>
              <w:rPr>
                <w:rFonts w:hint="eastAsia"/>
                <w:bCs/>
                <w:szCs w:val="21"/>
              </w:rPr>
              <w:t>，</w:t>
            </w:r>
            <w:r>
              <w:rPr>
                <w:bCs/>
                <w:szCs w:val="21"/>
              </w:rPr>
              <w:t>厂址中心地理坐标为：N：</w:t>
            </w:r>
            <w:r>
              <w:rPr>
                <w:rFonts w:hint="eastAsia"/>
                <w:bCs/>
                <w:szCs w:val="21"/>
              </w:rPr>
              <w:t>40</w:t>
            </w:r>
            <w:r>
              <w:rPr>
                <w:bCs/>
                <w:szCs w:val="21"/>
              </w:rPr>
              <w:t>°</w:t>
            </w:r>
            <w:r>
              <w:rPr>
                <w:rFonts w:hint="eastAsia"/>
                <w:bCs/>
                <w:szCs w:val="21"/>
              </w:rPr>
              <w:t>5</w:t>
            </w:r>
            <w:r>
              <w:rPr>
                <w:bCs/>
                <w:szCs w:val="21"/>
              </w:rPr>
              <w:t>'</w:t>
            </w:r>
            <w:r>
              <w:rPr>
                <w:rFonts w:hint="eastAsia"/>
                <w:bCs/>
                <w:szCs w:val="21"/>
              </w:rPr>
              <w:t>45.723</w:t>
            </w:r>
            <w:r>
              <w:rPr>
                <w:bCs/>
                <w:szCs w:val="21"/>
              </w:rPr>
              <w:t>"，E：113°</w:t>
            </w:r>
            <w:r>
              <w:rPr>
                <w:rFonts w:hint="eastAsia"/>
                <w:bCs/>
                <w:szCs w:val="21"/>
              </w:rPr>
              <w:t>26</w:t>
            </w:r>
            <w:r>
              <w:rPr>
                <w:bCs/>
                <w:szCs w:val="21"/>
              </w:rPr>
              <w:t>'</w:t>
            </w:r>
            <w:r>
              <w:rPr>
                <w:rFonts w:hint="eastAsia"/>
                <w:bCs/>
                <w:szCs w:val="21"/>
              </w:rPr>
              <w:t>41.857</w:t>
            </w:r>
            <w:r>
              <w:rPr>
                <w:bCs/>
                <w:szCs w:val="21"/>
              </w:rPr>
              <w:t>"。</w:t>
            </w:r>
            <w:r>
              <w:rPr>
                <w:rFonts w:hint="eastAsia"/>
                <w:bCs/>
                <w:szCs w:val="21"/>
              </w:rPr>
              <w:t>项目</w:t>
            </w:r>
            <w:r>
              <w:rPr>
                <w:bCs/>
                <w:szCs w:val="21"/>
              </w:rPr>
              <w:t>占地性质为</w:t>
            </w:r>
            <w:r>
              <w:rPr>
                <w:szCs w:val="21"/>
              </w:rPr>
              <w:t>工业用地</w:t>
            </w:r>
            <w:r>
              <w:rPr>
                <w:rFonts w:hint="eastAsia"/>
                <w:bCs/>
                <w:szCs w:val="21"/>
              </w:rPr>
              <w:t>，占地现状为空地。</w:t>
            </w:r>
          </w:p>
          <w:p w14:paraId="2E3CA962">
            <w:pPr>
              <w:spacing w:line="360" w:lineRule="auto"/>
              <w:ind w:firstLine="420" w:firstLineChars="200"/>
              <w:rPr>
                <w:bCs/>
                <w:szCs w:val="21"/>
              </w:rPr>
            </w:pPr>
            <w:r>
              <w:rPr>
                <w:bCs/>
                <w:szCs w:val="21"/>
              </w:rPr>
              <w:t>建设规模：</w:t>
            </w:r>
            <w:bookmarkStart w:id="7" w:name="_Hlk97042968"/>
            <w:r>
              <w:rPr>
                <w:rFonts w:hint="eastAsia"/>
                <w:bCs/>
                <w:szCs w:val="21"/>
              </w:rPr>
              <w:t>年产50000m</w:t>
            </w:r>
            <w:r>
              <w:rPr>
                <w:rFonts w:hint="eastAsia"/>
                <w:bCs/>
                <w:szCs w:val="21"/>
                <w:vertAlign w:val="superscript"/>
              </w:rPr>
              <w:t>3</w:t>
            </w:r>
            <w:r>
              <w:rPr>
                <w:rFonts w:hint="eastAsia"/>
                <w:bCs/>
                <w:szCs w:val="21"/>
              </w:rPr>
              <w:t>仿古建筑木构件、10000m</w:t>
            </w:r>
            <w:r>
              <w:rPr>
                <w:rFonts w:hint="eastAsia"/>
                <w:bCs/>
                <w:szCs w:val="21"/>
                <w:vertAlign w:val="superscript"/>
              </w:rPr>
              <w:t>3</w:t>
            </w:r>
            <w:r>
              <w:rPr>
                <w:rFonts w:hint="eastAsia"/>
                <w:bCs/>
                <w:szCs w:val="21"/>
              </w:rPr>
              <w:t>木门窗、5000m</w:t>
            </w:r>
            <w:r>
              <w:rPr>
                <w:rFonts w:hint="eastAsia"/>
                <w:bCs/>
                <w:szCs w:val="21"/>
                <w:vertAlign w:val="superscript"/>
              </w:rPr>
              <w:t>3</w:t>
            </w:r>
            <w:r>
              <w:rPr>
                <w:rFonts w:hint="eastAsia"/>
                <w:bCs/>
                <w:szCs w:val="21"/>
              </w:rPr>
              <w:t>木屋、5000m</w:t>
            </w:r>
            <w:r>
              <w:rPr>
                <w:rFonts w:hint="eastAsia"/>
                <w:bCs/>
                <w:szCs w:val="21"/>
                <w:vertAlign w:val="superscript"/>
              </w:rPr>
              <w:t>3</w:t>
            </w:r>
            <w:r>
              <w:rPr>
                <w:rFonts w:hint="eastAsia"/>
                <w:bCs/>
                <w:szCs w:val="21"/>
              </w:rPr>
              <w:t>砖雕、5000m</w:t>
            </w:r>
            <w:r>
              <w:rPr>
                <w:rFonts w:hint="eastAsia"/>
                <w:bCs/>
                <w:szCs w:val="21"/>
                <w:vertAlign w:val="superscript"/>
              </w:rPr>
              <w:t>3</w:t>
            </w:r>
            <w:r>
              <w:rPr>
                <w:rFonts w:hint="eastAsia"/>
                <w:bCs/>
                <w:szCs w:val="21"/>
              </w:rPr>
              <w:t>石雕</w:t>
            </w:r>
            <w:r>
              <w:rPr>
                <w:rFonts w:hint="eastAsia"/>
                <w:bCs/>
                <w:szCs w:val="21"/>
                <w:lang w:eastAsia="zh-CN"/>
              </w:rPr>
              <w:t>、</w:t>
            </w:r>
            <w:r>
              <w:rPr>
                <w:rFonts w:hint="eastAsia"/>
                <w:bCs/>
                <w:szCs w:val="21"/>
                <w:lang w:val="en-US" w:eastAsia="zh-CN"/>
              </w:rPr>
              <w:t>1000m</w:t>
            </w:r>
            <w:r>
              <w:rPr>
                <w:rFonts w:hint="eastAsia"/>
                <w:bCs/>
                <w:szCs w:val="21"/>
                <w:vertAlign w:val="superscript"/>
                <w:lang w:val="en-US" w:eastAsia="zh-CN"/>
              </w:rPr>
              <w:t>3</w:t>
            </w:r>
            <w:r>
              <w:rPr>
                <w:rFonts w:hint="eastAsia"/>
                <w:bCs/>
                <w:szCs w:val="21"/>
                <w:lang w:val="en-US" w:eastAsia="zh-CN"/>
              </w:rPr>
              <w:t>手工艺品</w:t>
            </w:r>
            <w:r>
              <w:rPr>
                <w:bCs/>
                <w:szCs w:val="21"/>
              </w:rPr>
              <w:t>。</w:t>
            </w:r>
            <w:bookmarkEnd w:id="7"/>
          </w:p>
          <w:p w14:paraId="3FBBA9E8">
            <w:pPr>
              <w:spacing w:line="360" w:lineRule="auto"/>
              <w:ind w:firstLine="420" w:firstLineChars="200"/>
              <w:rPr>
                <w:bCs/>
                <w:szCs w:val="21"/>
              </w:rPr>
            </w:pPr>
            <w:r>
              <w:rPr>
                <w:bCs/>
                <w:szCs w:val="21"/>
              </w:rPr>
              <w:t>项目投资及来源</w:t>
            </w:r>
            <w:r>
              <w:rPr>
                <w:rFonts w:hint="eastAsia"/>
                <w:bCs/>
                <w:szCs w:val="21"/>
              </w:rPr>
              <w:t>：</w:t>
            </w:r>
            <w:r>
              <w:rPr>
                <w:bCs/>
                <w:szCs w:val="21"/>
              </w:rPr>
              <w:t>本项目总投资为</w:t>
            </w:r>
            <w:r>
              <w:rPr>
                <w:rFonts w:hint="eastAsia"/>
                <w:szCs w:val="21"/>
              </w:rPr>
              <w:t>24960</w:t>
            </w:r>
            <w:r>
              <w:rPr>
                <w:bCs/>
                <w:szCs w:val="21"/>
              </w:rPr>
              <w:t>万元，由建设单位自筹解决。</w:t>
            </w:r>
          </w:p>
          <w:p w14:paraId="04E74BB3">
            <w:pPr>
              <w:spacing w:line="360" w:lineRule="auto"/>
              <w:ind w:firstLine="420" w:firstLineChars="200"/>
              <w:rPr>
                <w:bCs/>
                <w:szCs w:val="21"/>
              </w:rPr>
            </w:pPr>
            <w:r>
              <w:rPr>
                <w:bCs/>
                <w:szCs w:val="21"/>
              </w:rPr>
              <w:t>占地面积</w:t>
            </w:r>
            <w:r>
              <w:rPr>
                <w:rFonts w:hint="eastAsia"/>
                <w:bCs/>
                <w:szCs w:val="21"/>
              </w:rPr>
              <w:t>：</w:t>
            </w:r>
            <w:r>
              <w:rPr>
                <w:bCs/>
                <w:szCs w:val="21"/>
              </w:rPr>
              <w:t>本项目占地</w:t>
            </w:r>
            <w:r>
              <w:rPr>
                <w:rFonts w:hint="eastAsia"/>
                <w:bCs/>
                <w:szCs w:val="21"/>
              </w:rPr>
              <w:t>51174</w:t>
            </w:r>
            <w:r>
              <w:rPr>
                <w:bCs/>
                <w:szCs w:val="21"/>
              </w:rPr>
              <w:t>m</w:t>
            </w:r>
            <w:r>
              <w:rPr>
                <w:bCs/>
                <w:szCs w:val="21"/>
                <w:vertAlign w:val="superscript"/>
              </w:rPr>
              <w:t>2</w:t>
            </w:r>
            <w:bookmarkStart w:id="8" w:name="_Hlk97042928"/>
            <w:r>
              <w:rPr>
                <w:bCs/>
                <w:szCs w:val="21"/>
              </w:rPr>
              <w:t>。</w:t>
            </w:r>
            <w:bookmarkEnd w:id="8"/>
          </w:p>
          <w:p w14:paraId="44A897D4">
            <w:pPr>
              <w:pStyle w:val="79"/>
              <w:snapToGrid/>
              <w:ind w:firstLine="422"/>
              <w:rPr>
                <w:rFonts w:hint="default" w:ascii="Times New Roman" w:hAnsi="Times New Roman" w:eastAsia="宋体" w:cs="Times New Roman"/>
                <w:b w:val="0"/>
                <w:bCs/>
                <w:kern w:val="2"/>
                <w:sz w:val="21"/>
                <w:szCs w:val="21"/>
                <w:lang w:val="en-US" w:eastAsia="zh-CN" w:bidi="ar-SA"/>
              </w:rPr>
            </w:pPr>
            <w:r>
              <w:rPr>
                <w:rFonts w:ascii="Times New Roman" w:hAnsi="Times New Roman" w:eastAsia="宋体" w:cs="Times New Roman"/>
                <w:b w:val="0"/>
                <w:bCs/>
                <w:kern w:val="2"/>
                <w:sz w:val="21"/>
                <w:szCs w:val="21"/>
                <w:lang w:val="en-US" w:eastAsia="zh-CN" w:bidi="ar-SA"/>
              </w:rPr>
              <w:t>工作制度、生产定员</w:t>
            </w:r>
            <w:r>
              <w:rPr>
                <w:rFonts w:hint="eastAsia" w:ascii="Times New Roman" w:hAnsi="Times New Roman" w:eastAsia="宋体" w:cs="Times New Roman"/>
                <w:b w:val="0"/>
                <w:bCs/>
                <w:kern w:val="2"/>
                <w:sz w:val="21"/>
                <w:szCs w:val="21"/>
                <w:lang w:val="en-US" w:eastAsia="zh-CN" w:bidi="ar-SA"/>
              </w:rPr>
              <w:t>：</w:t>
            </w:r>
            <w:r>
              <w:rPr>
                <w:rFonts w:hint="eastAsia" w:ascii="Times New Roman" w:hAnsi="Times New Roman" w:eastAsia="宋体" w:cs="Times New Roman"/>
                <w:b w:val="0"/>
                <w:bCs/>
                <w:kern w:val="2"/>
                <w:sz w:val="21"/>
                <w:szCs w:val="21"/>
                <w:lang w:val="zh-CN" w:eastAsia="zh-CN" w:bidi="ar-SA"/>
              </w:rPr>
              <w:t>本项目工作制度为8h/班，300d/a，年工作时间为2400h；厂区内共有劳动定员50人，其中5人为管理人员，其余为技术工人</w:t>
            </w:r>
            <w:r>
              <w:rPr>
                <w:rFonts w:hint="eastAsia" w:ascii="Times New Roman" w:hAnsi="Times New Roman" w:eastAsia="宋体" w:cs="Times New Roman"/>
                <w:b w:val="0"/>
                <w:bCs/>
                <w:kern w:val="2"/>
                <w:sz w:val="21"/>
                <w:szCs w:val="21"/>
                <w:lang w:val="en-US" w:eastAsia="zh-CN" w:bidi="ar-SA"/>
              </w:rPr>
              <w:t>。</w:t>
            </w:r>
          </w:p>
          <w:p w14:paraId="0CBA7CA2">
            <w:pPr>
              <w:pStyle w:val="79"/>
              <w:snapToGrid/>
              <w:ind w:firstLine="422"/>
              <w:rPr>
                <w:rFonts w:ascii="Times New Roman" w:hAnsi="Times New Roman"/>
                <w:bCs/>
                <w:color w:val="auto"/>
                <w:szCs w:val="21"/>
              </w:rPr>
            </w:pPr>
            <w:r>
              <w:rPr>
                <w:rFonts w:hint="eastAsia" w:ascii="Times New Roman" w:hAnsi="Times New Roman"/>
                <w:bCs/>
                <w:color w:val="auto"/>
                <w:szCs w:val="21"/>
                <w:lang w:val="en-US" w:eastAsia="zh-CN"/>
              </w:rPr>
              <w:t>2.1</w:t>
            </w:r>
            <w:r>
              <w:rPr>
                <w:rFonts w:ascii="Times New Roman" w:hAnsi="Times New Roman"/>
                <w:bCs/>
                <w:color w:val="auto"/>
                <w:szCs w:val="21"/>
              </w:rPr>
              <w:t>主要建设内容</w:t>
            </w:r>
          </w:p>
          <w:p w14:paraId="4459AFE6">
            <w:pPr>
              <w:spacing w:line="360" w:lineRule="auto"/>
              <w:ind w:firstLine="420" w:firstLineChars="200"/>
              <w:rPr>
                <w:b/>
                <w:bCs/>
                <w:szCs w:val="21"/>
              </w:rPr>
            </w:pPr>
            <w:r>
              <w:rPr>
                <w:rFonts w:hint="eastAsia"/>
                <w:bCs/>
                <w:szCs w:val="21"/>
              </w:rPr>
              <w:t>本项目</w:t>
            </w:r>
            <w:r>
              <w:rPr>
                <w:bCs/>
                <w:szCs w:val="21"/>
              </w:rPr>
              <w:t>占地</w:t>
            </w:r>
            <w:r>
              <w:rPr>
                <w:rFonts w:hint="eastAsia"/>
                <w:bCs/>
                <w:szCs w:val="21"/>
              </w:rPr>
              <w:t>51174.0</w:t>
            </w:r>
            <w:r>
              <w:rPr>
                <w:bCs/>
                <w:szCs w:val="21"/>
              </w:rPr>
              <w:t>m</w:t>
            </w:r>
            <w:r>
              <w:rPr>
                <w:bCs/>
                <w:szCs w:val="21"/>
                <w:vertAlign w:val="superscript"/>
              </w:rPr>
              <w:t>2</w:t>
            </w:r>
            <w:r>
              <w:rPr>
                <w:rFonts w:hint="eastAsia"/>
                <w:bCs/>
                <w:szCs w:val="21"/>
              </w:rPr>
              <w:t>，</w:t>
            </w:r>
            <w:r>
              <w:rPr>
                <w:bCs/>
                <w:szCs w:val="21"/>
              </w:rPr>
              <w:t>总建筑面积</w:t>
            </w:r>
            <w:r>
              <w:rPr>
                <w:rFonts w:hint="eastAsia"/>
                <w:bCs/>
                <w:szCs w:val="21"/>
                <w:lang w:val="en-US" w:eastAsia="zh-CN"/>
              </w:rPr>
              <w:t>29716.64</w:t>
            </w:r>
            <w:r>
              <w:rPr>
                <w:bCs/>
                <w:szCs w:val="21"/>
              </w:rPr>
              <w:t>m</w:t>
            </w:r>
            <w:r>
              <w:rPr>
                <w:bCs/>
                <w:szCs w:val="21"/>
                <w:vertAlign w:val="superscript"/>
              </w:rPr>
              <w:t>2</w:t>
            </w:r>
            <w:r>
              <w:rPr>
                <w:rFonts w:hint="eastAsia"/>
                <w:bCs/>
                <w:szCs w:val="21"/>
              </w:rPr>
              <w:t>，</w:t>
            </w:r>
            <w:r>
              <w:rPr>
                <w:bCs/>
                <w:szCs w:val="21"/>
              </w:rPr>
              <w:t>主要建设</w:t>
            </w:r>
            <w:r>
              <w:rPr>
                <w:rFonts w:hint="eastAsia"/>
                <w:bCs/>
                <w:szCs w:val="21"/>
                <w:lang w:val="en-US" w:eastAsia="zh-CN"/>
              </w:rPr>
              <w:t>1</w:t>
            </w:r>
            <w:r>
              <w:rPr>
                <w:rFonts w:hint="eastAsia"/>
                <w:bCs/>
                <w:szCs w:val="21"/>
              </w:rPr>
              <w:t>座</w:t>
            </w:r>
            <w:r>
              <w:rPr>
                <w:rFonts w:hint="eastAsia"/>
                <w:bCs/>
                <w:szCs w:val="21"/>
                <w:lang w:val="en-US" w:eastAsia="zh-CN"/>
              </w:rPr>
              <w:t>综合</w:t>
            </w:r>
            <w:r>
              <w:rPr>
                <w:bCs/>
                <w:szCs w:val="21"/>
              </w:rPr>
              <w:t>楼</w:t>
            </w:r>
            <w:r>
              <w:rPr>
                <w:rFonts w:hint="eastAsia"/>
                <w:bCs/>
                <w:szCs w:val="21"/>
              </w:rPr>
              <w:t>、</w:t>
            </w:r>
            <w:r>
              <w:rPr>
                <w:rFonts w:hint="eastAsia"/>
                <w:bCs/>
                <w:szCs w:val="21"/>
                <w:lang w:val="en-US" w:eastAsia="zh-CN"/>
              </w:rPr>
              <w:t>5</w:t>
            </w:r>
            <w:r>
              <w:rPr>
                <w:rFonts w:hint="eastAsia"/>
                <w:bCs/>
                <w:szCs w:val="21"/>
              </w:rPr>
              <w:t>座</w:t>
            </w:r>
            <w:r>
              <w:rPr>
                <w:bCs/>
                <w:szCs w:val="21"/>
              </w:rPr>
              <w:t>加工车间</w:t>
            </w:r>
            <w:r>
              <w:rPr>
                <w:rFonts w:hint="eastAsia"/>
                <w:bCs/>
                <w:szCs w:val="21"/>
                <w:lang w:eastAsia="zh-CN"/>
              </w:rPr>
              <w:t>、</w:t>
            </w:r>
            <w:r>
              <w:rPr>
                <w:rFonts w:hint="eastAsia"/>
                <w:bCs/>
                <w:szCs w:val="21"/>
                <w:lang w:val="en-US" w:eastAsia="zh-CN"/>
              </w:rPr>
              <w:t>1座仓库</w:t>
            </w:r>
            <w:r>
              <w:rPr>
                <w:bCs/>
                <w:szCs w:val="21"/>
              </w:rPr>
              <w:t>以及室外场地道路</w:t>
            </w:r>
            <w:r>
              <w:rPr>
                <w:rFonts w:hint="eastAsia"/>
                <w:bCs/>
                <w:szCs w:val="21"/>
              </w:rPr>
              <w:t>、</w:t>
            </w:r>
            <w:r>
              <w:rPr>
                <w:bCs/>
                <w:szCs w:val="21"/>
              </w:rPr>
              <w:t>围墙</w:t>
            </w:r>
            <w:r>
              <w:rPr>
                <w:rFonts w:hint="eastAsia"/>
                <w:bCs/>
                <w:szCs w:val="21"/>
              </w:rPr>
              <w:t>、</w:t>
            </w:r>
            <w:r>
              <w:rPr>
                <w:bCs/>
                <w:szCs w:val="21"/>
              </w:rPr>
              <w:t>供排水</w:t>
            </w:r>
            <w:r>
              <w:rPr>
                <w:rFonts w:hint="eastAsia"/>
                <w:bCs/>
                <w:szCs w:val="21"/>
              </w:rPr>
              <w:t>、</w:t>
            </w:r>
            <w:r>
              <w:rPr>
                <w:bCs/>
                <w:szCs w:val="21"/>
              </w:rPr>
              <w:t>供电</w:t>
            </w:r>
            <w:r>
              <w:rPr>
                <w:rFonts w:hint="eastAsia"/>
                <w:bCs/>
                <w:szCs w:val="21"/>
              </w:rPr>
              <w:t>等配套工程。</w:t>
            </w:r>
            <w:r>
              <w:rPr>
                <w:bCs/>
                <w:szCs w:val="21"/>
              </w:rPr>
              <w:t>主要建设内容一览表见表2</w:t>
            </w:r>
            <w:r>
              <w:rPr>
                <w:rFonts w:hint="eastAsia"/>
                <w:bCs/>
                <w:szCs w:val="21"/>
                <w:lang w:val="en-US" w:eastAsia="zh-CN"/>
              </w:rPr>
              <w:t>.1</w:t>
            </w:r>
            <w:r>
              <w:rPr>
                <w:bCs/>
                <w:szCs w:val="21"/>
              </w:rPr>
              <w:t>-</w:t>
            </w:r>
            <w:r>
              <w:rPr>
                <w:rFonts w:hint="eastAsia"/>
                <w:bCs/>
                <w:szCs w:val="21"/>
                <w:lang w:val="en-US" w:eastAsia="zh-CN"/>
              </w:rPr>
              <w:t>1</w:t>
            </w:r>
            <w:r>
              <w:rPr>
                <w:bCs/>
                <w:szCs w:val="21"/>
              </w:rPr>
              <w:t>。</w:t>
            </w:r>
          </w:p>
          <w:p w14:paraId="064169EB">
            <w:pPr>
              <w:pStyle w:val="79"/>
              <w:snapToGrid/>
              <w:spacing w:line="240" w:lineRule="exact"/>
              <w:ind w:firstLine="361"/>
              <w:jc w:val="center"/>
              <w:rPr>
                <w:rFonts w:ascii="Times New Roman" w:hAnsi="Times New Roman"/>
                <w:b w:val="0"/>
                <w:bCs/>
                <w:sz w:val="18"/>
                <w:szCs w:val="18"/>
              </w:rPr>
            </w:pPr>
            <w:r>
              <w:rPr>
                <w:rFonts w:ascii="Times New Roman" w:hAnsi="Times New Roman"/>
                <w:sz w:val="18"/>
                <w:szCs w:val="18"/>
              </w:rPr>
              <w:t>表2</w:t>
            </w:r>
            <w:r>
              <w:rPr>
                <w:rFonts w:hint="eastAsia" w:ascii="Times New Roman" w:hAnsi="Times New Roman"/>
                <w:sz w:val="18"/>
                <w:szCs w:val="18"/>
                <w:lang w:val="en-US" w:eastAsia="zh-CN"/>
              </w:rPr>
              <w:t>.1</w:t>
            </w:r>
            <w:r>
              <w:rPr>
                <w:rFonts w:ascii="Times New Roman" w:hAnsi="Times New Roman"/>
                <w:sz w:val="18"/>
                <w:szCs w:val="18"/>
              </w:rPr>
              <w:t>-</w:t>
            </w:r>
            <w:r>
              <w:rPr>
                <w:rFonts w:hint="eastAsia" w:ascii="Times New Roman" w:hAnsi="Times New Roman"/>
                <w:sz w:val="18"/>
                <w:szCs w:val="18"/>
                <w:lang w:val="en-US" w:eastAsia="zh-CN"/>
              </w:rPr>
              <w:t>1</w:t>
            </w:r>
            <w:r>
              <w:rPr>
                <w:rFonts w:ascii="Times New Roman" w:hAnsi="Times New Roman"/>
                <w:sz w:val="18"/>
                <w:szCs w:val="18"/>
              </w:rPr>
              <w:t xml:space="preserve">    主要建设内容表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48"/>
              <w:gridCol w:w="1494"/>
              <w:gridCol w:w="5314"/>
              <w:gridCol w:w="683"/>
            </w:tblGrid>
            <w:tr w14:paraId="1388B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1223" w:type="pct"/>
                  <w:gridSpan w:val="2"/>
                  <w:vAlign w:val="center"/>
                </w:tcPr>
                <w:p w14:paraId="40ADF1D5">
                  <w:pPr>
                    <w:spacing w:line="280" w:lineRule="exact"/>
                    <w:jc w:val="center"/>
                    <w:rPr>
                      <w:sz w:val="18"/>
                      <w:szCs w:val="18"/>
                    </w:rPr>
                  </w:pPr>
                  <w:r>
                    <w:rPr>
                      <w:sz w:val="18"/>
                      <w:szCs w:val="18"/>
                    </w:rPr>
                    <w:t>工程类别</w:t>
                  </w:r>
                </w:p>
              </w:tc>
              <w:tc>
                <w:tcPr>
                  <w:tcW w:w="3346" w:type="pct"/>
                  <w:vAlign w:val="center"/>
                </w:tcPr>
                <w:p w14:paraId="3AC9DA2F">
                  <w:pPr>
                    <w:spacing w:line="280" w:lineRule="exact"/>
                    <w:jc w:val="center"/>
                    <w:rPr>
                      <w:sz w:val="18"/>
                      <w:szCs w:val="18"/>
                    </w:rPr>
                  </w:pPr>
                  <w:r>
                    <w:rPr>
                      <w:sz w:val="18"/>
                      <w:szCs w:val="18"/>
                    </w:rPr>
                    <w:t>工程建设内容</w:t>
                  </w:r>
                </w:p>
              </w:tc>
              <w:tc>
                <w:tcPr>
                  <w:tcW w:w="430" w:type="pct"/>
                  <w:shd w:val="clear" w:color="auto" w:fill="auto"/>
                  <w:vAlign w:val="center"/>
                </w:tcPr>
                <w:p w14:paraId="14FE4FDF">
                  <w:pPr>
                    <w:spacing w:line="280" w:lineRule="exact"/>
                    <w:jc w:val="center"/>
                    <w:rPr>
                      <w:sz w:val="18"/>
                      <w:szCs w:val="18"/>
                    </w:rPr>
                  </w:pPr>
                  <w:r>
                    <w:rPr>
                      <w:sz w:val="18"/>
                      <w:szCs w:val="18"/>
                    </w:rPr>
                    <w:t>备注</w:t>
                  </w:r>
                </w:p>
              </w:tc>
            </w:tr>
            <w:tr w14:paraId="08ABB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82" w:type="pct"/>
                  <w:vMerge w:val="restart"/>
                  <w:vAlign w:val="center"/>
                </w:tcPr>
                <w:p w14:paraId="5BA8258D">
                  <w:pPr>
                    <w:spacing w:line="280" w:lineRule="exact"/>
                    <w:jc w:val="center"/>
                    <w:rPr>
                      <w:sz w:val="18"/>
                      <w:szCs w:val="18"/>
                    </w:rPr>
                  </w:pPr>
                  <w:r>
                    <w:rPr>
                      <w:sz w:val="18"/>
                      <w:szCs w:val="18"/>
                    </w:rPr>
                    <w:t>主体工程</w:t>
                  </w:r>
                </w:p>
              </w:tc>
              <w:tc>
                <w:tcPr>
                  <w:tcW w:w="940" w:type="pct"/>
                  <w:vMerge w:val="restart"/>
                  <w:vAlign w:val="center"/>
                </w:tcPr>
                <w:p w14:paraId="6F0AC5D1">
                  <w:pPr>
                    <w:spacing w:line="280" w:lineRule="exact"/>
                    <w:jc w:val="center"/>
                    <w:rPr>
                      <w:sz w:val="18"/>
                      <w:szCs w:val="18"/>
                    </w:rPr>
                  </w:pPr>
                  <w:r>
                    <w:rPr>
                      <w:rFonts w:hint="eastAsia"/>
                      <w:sz w:val="18"/>
                      <w:szCs w:val="18"/>
                    </w:rPr>
                    <w:t>加工</w:t>
                  </w:r>
                  <w:r>
                    <w:rPr>
                      <w:sz w:val="18"/>
                      <w:szCs w:val="18"/>
                    </w:rPr>
                    <w:t>车间</w:t>
                  </w:r>
                </w:p>
              </w:tc>
              <w:tc>
                <w:tcPr>
                  <w:tcW w:w="3346" w:type="pct"/>
                  <w:tcBorders>
                    <w:bottom w:val="single" w:color="auto" w:sz="4" w:space="0"/>
                  </w:tcBorders>
                  <w:vAlign w:val="center"/>
                </w:tcPr>
                <w:p w14:paraId="7970BED8">
                  <w:pPr>
                    <w:spacing w:line="280" w:lineRule="exact"/>
                    <w:jc w:val="left"/>
                    <w:rPr>
                      <w:sz w:val="18"/>
                      <w:szCs w:val="18"/>
                    </w:rPr>
                  </w:pPr>
                  <w:r>
                    <w:rPr>
                      <w:rFonts w:hint="eastAsia"/>
                      <w:sz w:val="18"/>
                      <w:szCs w:val="18"/>
                    </w:rPr>
                    <w:t>厂区</w:t>
                  </w:r>
                  <w:r>
                    <w:rPr>
                      <w:rFonts w:hint="eastAsia"/>
                      <w:sz w:val="18"/>
                      <w:szCs w:val="18"/>
                      <w:lang w:val="en-US" w:eastAsia="zh-CN"/>
                    </w:rPr>
                    <w:t>北及中部共</w:t>
                  </w:r>
                  <w:r>
                    <w:rPr>
                      <w:rFonts w:hint="eastAsia"/>
                      <w:sz w:val="18"/>
                      <w:szCs w:val="18"/>
                    </w:rPr>
                    <w:t>设置有</w:t>
                  </w:r>
                  <w:r>
                    <w:rPr>
                      <w:rFonts w:hint="eastAsia"/>
                      <w:sz w:val="18"/>
                      <w:szCs w:val="18"/>
                      <w:lang w:val="en-US" w:eastAsia="zh-CN"/>
                    </w:rPr>
                    <w:t>5</w:t>
                  </w:r>
                  <w:r>
                    <w:rPr>
                      <w:rFonts w:hint="eastAsia"/>
                      <w:sz w:val="18"/>
                      <w:szCs w:val="18"/>
                    </w:rPr>
                    <w:t>座加工车间</w:t>
                  </w:r>
                  <w:r>
                    <w:rPr>
                      <w:rFonts w:hint="eastAsia"/>
                      <w:sz w:val="18"/>
                      <w:szCs w:val="18"/>
                      <w:lang w:eastAsia="zh-CN"/>
                    </w:rPr>
                    <w:t>，</w:t>
                  </w:r>
                  <w:r>
                    <w:rPr>
                      <w:rFonts w:hint="eastAsia"/>
                      <w:sz w:val="18"/>
                      <w:szCs w:val="18"/>
                    </w:rPr>
                    <w:t>装配式结构，地面硬化</w:t>
                  </w:r>
                  <w:r>
                    <w:rPr>
                      <w:rFonts w:hint="eastAsia"/>
                      <w:sz w:val="18"/>
                      <w:szCs w:val="18"/>
                      <w:lang w:eastAsia="zh-CN"/>
                    </w:rPr>
                    <w:t>。</w:t>
                  </w:r>
                </w:p>
              </w:tc>
              <w:tc>
                <w:tcPr>
                  <w:tcW w:w="430" w:type="pct"/>
                  <w:vMerge w:val="restart"/>
                  <w:shd w:val="clear" w:color="auto" w:fill="auto"/>
                  <w:vAlign w:val="center"/>
                </w:tcPr>
                <w:p w14:paraId="77FE9E3A">
                  <w:pPr>
                    <w:spacing w:line="280" w:lineRule="exact"/>
                    <w:jc w:val="center"/>
                    <w:rPr>
                      <w:rFonts w:hint="eastAsia" w:eastAsia="宋体"/>
                      <w:sz w:val="18"/>
                      <w:szCs w:val="18"/>
                      <w:lang w:val="en-US" w:eastAsia="zh-CN"/>
                    </w:rPr>
                  </w:pPr>
                  <w:r>
                    <w:rPr>
                      <w:rFonts w:hint="eastAsia"/>
                      <w:sz w:val="18"/>
                      <w:szCs w:val="18"/>
                      <w:lang w:val="en-US" w:eastAsia="zh-CN"/>
                    </w:rPr>
                    <w:t>新建</w:t>
                  </w:r>
                </w:p>
              </w:tc>
            </w:tr>
            <w:tr w14:paraId="081B18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82" w:type="pct"/>
                  <w:vMerge w:val="continue"/>
                  <w:vAlign w:val="center"/>
                </w:tcPr>
                <w:p w14:paraId="3DD8FB82">
                  <w:pPr>
                    <w:spacing w:line="280" w:lineRule="exact"/>
                    <w:jc w:val="center"/>
                    <w:rPr>
                      <w:sz w:val="18"/>
                      <w:szCs w:val="18"/>
                    </w:rPr>
                  </w:pPr>
                </w:p>
              </w:tc>
              <w:tc>
                <w:tcPr>
                  <w:tcW w:w="940" w:type="pct"/>
                  <w:vMerge w:val="continue"/>
                  <w:vAlign w:val="center"/>
                </w:tcPr>
                <w:p w14:paraId="159F0CC5">
                  <w:pPr>
                    <w:spacing w:line="280" w:lineRule="exact"/>
                    <w:jc w:val="center"/>
                    <w:rPr>
                      <w:sz w:val="18"/>
                      <w:szCs w:val="18"/>
                    </w:rPr>
                  </w:pPr>
                </w:p>
              </w:tc>
              <w:tc>
                <w:tcPr>
                  <w:tcW w:w="3346" w:type="pct"/>
                  <w:tcBorders>
                    <w:bottom w:val="single" w:color="auto" w:sz="4" w:space="0"/>
                  </w:tcBorders>
                  <w:vAlign w:val="center"/>
                </w:tcPr>
                <w:p w14:paraId="29C14426">
                  <w:pPr>
                    <w:spacing w:line="280" w:lineRule="exact"/>
                    <w:jc w:val="left"/>
                    <w:rPr>
                      <w:rFonts w:hint="default"/>
                      <w:sz w:val="18"/>
                      <w:szCs w:val="18"/>
                      <w:lang w:val="en-US"/>
                    </w:rPr>
                  </w:pPr>
                  <w:r>
                    <w:rPr>
                      <w:rFonts w:hint="eastAsia"/>
                      <w:sz w:val="18"/>
                      <w:szCs w:val="18"/>
                    </w:rPr>
                    <w:t>一车间</w:t>
                  </w:r>
                  <w:r>
                    <w:rPr>
                      <w:rFonts w:hint="eastAsia"/>
                      <w:sz w:val="18"/>
                      <w:szCs w:val="18"/>
                      <w:lang w:val="en-US" w:eastAsia="zh-CN"/>
                    </w:rPr>
                    <w:t>占地面积2812.50m</w:t>
                  </w:r>
                  <w:r>
                    <w:rPr>
                      <w:rFonts w:hint="eastAsia"/>
                      <w:sz w:val="18"/>
                      <w:szCs w:val="18"/>
                      <w:vertAlign w:val="superscript"/>
                      <w:lang w:val="en-US" w:eastAsia="zh-CN"/>
                    </w:rPr>
                    <w:t>2</w:t>
                  </w:r>
                  <w:r>
                    <w:rPr>
                      <w:rFonts w:hint="eastAsia"/>
                      <w:sz w:val="18"/>
                      <w:szCs w:val="18"/>
                      <w:lang w:val="en-US" w:eastAsia="zh-CN"/>
                    </w:rPr>
                    <w:t>，建筑面积2812.50m</w:t>
                  </w:r>
                  <w:r>
                    <w:rPr>
                      <w:rFonts w:hint="eastAsia"/>
                      <w:sz w:val="18"/>
                      <w:szCs w:val="18"/>
                      <w:vertAlign w:val="superscript"/>
                      <w:lang w:val="en-US" w:eastAsia="zh-CN"/>
                    </w:rPr>
                    <w:t>2</w:t>
                  </w:r>
                  <w:r>
                    <w:rPr>
                      <w:rFonts w:hint="eastAsia"/>
                      <w:sz w:val="18"/>
                      <w:szCs w:val="18"/>
                      <w:lang w:val="en-US" w:eastAsia="zh-CN"/>
                    </w:rPr>
                    <w:t>，一层建筑 ，位于厂区西北角处，建设尺寸为L75m×B37.5m×H9m，主要为青砖砖雕构件的切割、雕刻、做旧及烧制全工序。</w:t>
                  </w:r>
                </w:p>
              </w:tc>
              <w:tc>
                <w:tcPr>
                  <w:tcW w:w="430" w:type="pct"/>
                  <w:vMerge w:val="continue"/>
                  <w:shd w:val="clear" w:color="auto" w:fill="auto"/>
                  <w:vAlign w:val="center"/>
                </w:tcPr>
                <w:p w14:paraId="3326935A">
                  <w:pPr>
                    <w:spacing w:line="280" w:lineRule="exact"/>
                    <w:jc w:val="center"/>
                    <w:rPr>
                      <w:sz w:val="18"/>
                      <w:szCs w:val="18"/>
                    </w:rPr>
                  </w:pPr>
                </w:p>
              </w:tc>
            </w:tr>
            <w:tr w14:paraId="13E37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82" w:type="pct"/>
                  <w:vMerge w:val="continue"/>
                  <w:vAlign w:val="center"/>
                </w:tcPr>
                <w:p w14:paraId="6A5ED379">
                  <w:pPr>
                    <w:spacing w:line="280" w:lineRule="exact"/>
                    <w:jc w:val="center"/>
                    <w:rPr>
                      <w:sz w:val="18"/>
                      <w:szCs w:val="18"/>
                    </w:rPr>
                  </w:pPr>
                </w:p>
              </w:tc>
              <w:tc>
                <w:tcPr>
                  <w:tcW w:w="940" w:type="pct"/>
                  <w:vMerge w:val="continue"/>
                  <w:vAlign w:val="center"/>
                </w:tcPr>
                <w:p w14:paraId="36B5E997">
                  <w:pPr>
                    <w:spacing w:line="280" w:lineRule="exact"/>
                    <w:jc w:val="center"/>
                    <w:rPr>
                      <w:sz w:val="18"/>
                      <w:szCs w:val="18"/>
                    </w:rPr>
                  </w:pPr>
                </w:p>
              </w:tc>
              <w:tc>
                <w:tcPr>
                  <w:tcW w:w="3346" w:type="pct"/>
                  <w:tcBorders>
                    <w:bottom w:val="single" w:color="auto" w:sz="4" w:space="0"/>
                  </w:tcBorders>
                  <w:vAlign w:val="center"/>
                </w:tcPr>
                <w:p w14:paraId="6586CBC6">
                  <w:pPr>
                    <w:spacing w:line="280" w:lineRule="exact"/>
                    <w:jc w:val="left"/>
                    <w:rPr>
                      <w:rFonts w:hint="default"/>
                      <w:sz w:val="18"/>
                      <w:szCs w:val="18"/>
                      <w:lang w:val="en-US"/>
                    </w:rPr>
                  </w:pPr>
                  <w:r>
                    <w:rPr>
                      <w:rFonts w:hint="eastAsia"/>
                      <w:sz w:val="18"/>
                      <w:szCs w:val="18"/>
                    </w:rPr>
                    <w:t>二车间</w:t>
                  </w:r>
                  <w:r>
                    <w:rPr>
                      <w:rFonts w:hint="eastAsia"/>
                      <w:sz w:val="18"/>
                      <w:szCs w:val="18"/>
                      <w:lang w:val="en-US" w:eastAsia="zh-CN"/>
                    </w:rPr>
                    <w:t>占地面积2812.50m</w:t>
                  </w:r>
                  <w:r>
                    <w:rPr>
                      <w:rFonts w:hint="eastAsia"/>
                      <w:sz w:val="18"/>
                      <w:szCs w:val="18"/>
                      <w:vertAlign w:val="superscript"/>
                      <w:lang w:val="en-US" w:eastAsia="zh-CN"/>
                    </w:rPr>
                    <w:t>2</w:t>
                  </w:r>
                  <w:r>
                    <w:rPr>
                      <w:rFonts w:hint="eastAsia"/>
                      <w:sz w:val="18"/>
                      <w:szCs w:val="18"/>
                      <w:lang w:val="en-US" w:eastAsia="zh-CN"/>
                    </w:rPr>
                    <w:t>，建筑面积2812.50m</w:t>
                  </w:r>
                  <w:r>
                    <w:rPr>
                      <w:rFonts w:hint="eastAsia"/>
                      <w:sz w:val="18"/>
                      <w:szCs w:val="18"/>
                      <w:vertAlign w:val="superscript"/>
                      <w:lang w:val="en-US" w:eastAsia="zh-CN"/>
                    </w:rPr>
                    <w:t>2</w:t>
                  </w:r>
                  <w:r>
                    <w:rPr>
                      <w:rFonts w:hint="eastAsia"/>
                      <w:sz w:val="18"/>
                      <w:szCs w:val="18"/>
                      <w:lang w:val="en-US" w:eastAsia="zh-CN"/>
                    </w:rPr>
                    <w:t>，一层建筑 ，位于厂区西北角处，建设尺寸为L75m×B37.5m×H9m，主要功能为石雕加工，包括石材荒料切割、雕刻、抛光及手工精修。</w:t>
                  </w:r>
                </w:p>
              </w:tc>
              <w:tc>
                <w:tcPr>
                  <w:tcW w:w="430" w:type="pct"/>
                  <w:vMerge w:val="continue"/>
                  <w:shd w:val="clear" w:color="auto" w:fill="auto"/>
                  <w:vAlign w:val="center"/>
                </w:tcPr>
                <w:p w14:paraId="34362476">
                  <w:pPr>
                    <w:spacing w:line="280" w:lineRule="exact"/>
                    <w:jc w:val="center"/>
                    <w:rPr>
                      <w:sz w:val="18"/>
                      <w:szCs w:val="18"/>
                    </w:rPr>
                  </w:pPr>
                </w:p>
              </w:tc>
            </w:tr>
            <w:tr w14:paraId="2615C8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82" w:type="pct"/>
                  <w:vMerge w:val="continue"/>
                  <w:vAlign w:val="center"/>
                </w:tcPr>
                <w:p w14:paraId="6B855DC9">
                  <w:pPr>
                    <w:spacing w:line="280" w:lineRule="exact"/>
                    <w:jc w:val="center"/>
                    <w:rPr>
                      <w:sz w:val="18"/>
                      <w:szCs w:val="18"/>
                    </w:rPr>
                  </w:pPr>
                </w:p>
              </w:tc>
              <w:tc>
                <w:tcPr>
                  <w:tcW w:w="940" w:type="pct"/>
                  <w:vMerge w:val="continue"/>
                  <w:vAlign w:val="center"/>
                </w:tcPr>
                <w:p w14:paraId="51505075">
                  <w:pPr>
                    <w:spacing w:line="280" w:lineRule="exact"/>
                    <w:jc w:val="center"/>
                    <w:rPr>
                      <w:sz w:val="18"/>
                      <w:szCs w:val="18"/>
                    </w:rPr>
                  </w:pPr>
                </w:p>
              </w:tc>
              <w:tc>
                <w:tcPr>
                  <w:tcW w:w="3346" w:type="pct"/>
                  <w:tcBorders>
                    <w:bottom w:val="single" w:color="auto" w:sz="4" w:space="0"/>
                  </w:tcBorders>
                  <w:vAlign w:val="center"/>
                </w:tcPr>
                <w:p w14:paraId="27E3F93C">
                  <w:pPr>
                    <w:spacing w:line="280" w:lineRule="exact"/>
                    <w:jc w:val="left"/>
                    <w:rPr>
                      <w:rFonts w:hint="default"/>
                      <w:sz w:val="18"/>
                      <w:szCs w:val="18"/>
                      <w:lang w:val="en-US"/>
                    </w:rPr>
                  </w:pPr>
                  <w:r>
                    <w:rPr>
                      <w:rFonts w:hint="eastAsia"/>
                      <w:sz w:val="18"/>
                      <w:szCs w:val="18"/>
                    </w:rPr>
                    <w:t>三车间</w:t>
                  </w:r>
                  <w:r>
                    <w:rPr>
                      <w:rFonts w:hint="eastAsia"/>
                      <w:sz w:val="18"/>
                      <w:szCs w:val="18"/>
                      <w:lang w:val="en-US" w:eastAsia="zh-CN"/>
                    </w:rPr>
                    <w:t>占地面积2812.50m</w:t>
                  </w:r>
                  <w:r>
                    <w:rPr>
                      <w:rFonts w:hint="eastAsia"/>
                      <w:sz w:val="18"/>
                      <w:szCs w:val="18"/>
                      <w:vertAlign w:val="superscript"/>
                      <w:lang w:val="en-US" w:eastAsia="zh-CN"/>
                    </w:rPr>
                    <w:t>2</w:t>
                  </w:r>
                  <w:r>
                    <w:rPr>
                      <w:rFonts w:hint="eastAsia"/>
                      <w:sz w:val="18"/>
                      <w:szCs w:val="18"/>
                      <w:lang w:val="en-US" w:eastAsia="zh-CN"/>
                    </w:rPr>
                    <w:t>，建筑面积2812.50m</w:t>
                  </w:r>
                  <w:r>
                    <w:rPr>
                      <w:rFonts w:hint="eastAsia"/>
                      <w:sz w:val="18"/>
                      <w:szCs w:val="18"/>
                      <w:vertAlign w:val="superscript"/>
                      <w:lang w:val="en-US" w:eastAsia="zh-CN"/>
                    </w:rPr>
                    <w:t>2</w:t>
                  </w:r>
                  <w:r>
                    <w:rPr>
                      <w:rFonts w:hint="eastAsia"/>
                      <w:sz w:val="18"/>
                      <w:szCs w:val="18"/>
                      <w:lang w:val="en-US" w:eastAsia="zh-CN"/>
                    </w:rPr>
                    <w:t>，一层建筑 ，位于厂区西北角处，建设尺寸为L75m×B37.5m×H9m，主要功能为木雕精加工，进行数控精雕、花格加工、砂光打磨及油漆涂装，产出最终成品。</w:t>
                  </w:r>
                </w:p>
              </w:tc>
              <w:tc>
                <w:tcPr>
                  <w:tcW w:w="430" w:type="pct"/>
                  <w:vMerge w:val="continue"/>
                  <w:shd w:val="clear" w:color="auto" w:fill="auto"/>
                  <w:vAlign w:val="center"/>
                </w:tcPr>
                <w:p w14:paraId="685CCCBF">
                  <w:pPr>
                    <w:spacing w:line="280" w:lineRule="exact"/>
                    <w:jc w:val="center"/>
                    <w:rPr>
                      <w:sz w:val="18"/>
                      <w:szCs w:val="18"/>
                    </w:rPr>
                  </w:pPr>
                </w:p>
              </w:tc>
            </w:tr>
            <w:tr w14:paraId="13FB4F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82" w:type="pct"/>
                  <w:vMerge w:val="continue"/>
                  <w:vAlign w:val="center"/>
                </w:tcPr>
                <w:p w14:paraId="52A7069F">
                  <w:pPr>
                    <w:spacing w:line="280" w:lineRule="exact"/>
                    <w:jc w:val="center"/>
                    <w:rPr>
                      <w:sz w:val="18"/>
                      <w:szCs w:val="18"/>
                    </w:rPr>
                  </w:pPr>
                </w:p>
              </w:tc>
              <w:tc>
                <w:tcPr>
                  <w:tcW w:w="940" w:type="pct"/>
                  <w:vMerge w:val="continue"/>
                  <w:vAlign w:val="center"/>
                </w:tcPr>
                <w:p w14:paraId="3507B0AD">
                  <w:pPr>
                    <w:spacing w:line="280" w:lineRule="exact"/>
                    <w:jc w:val="center"/>
                    <w:rPr>
                      <w:sz w:val="18"/>
                      <w:szCs w:val="18"/>
                    </w:rPr>
                  </w:pPr>
                </w:p>
              </w:tc>
              <w:tc>
                <w:tcPr>
                  <w:tcW w:w="3346" w:type="pct"/>
                  <w:tcBorders>
                    <w:bottom w:val="single" w:color="auto" w:sz="4" w:space="0"/>
                  </w:tcBorders>
                  <w:vAlign w:val="center"/>
                </w:tcPr>
                <w:p w14:paraId="62530564">
                  <w:pPr>
                    <w:spacing w:line="280" w:lineRule="exact"/>
                    <w:jc w:val="left"/>
                    <w:rPr>
                      <w:rFonts w:hint="default"/>
                      <w:sz w:val="18"/>
                      <w:szCs w:val="18"/>
                      <w:lang w:val="en-US"/>
                    </w:rPr>
                  </w:pPr>
                  <w:r>
                    <w:rPr>
                      <w:rFonts w:hint="eastAsia"/>
                      <w:sz w:val="18"/>
                      <w:szCs w:val="18"/>
                    </w:rPr>
                    <w:t>四车间</w:t>
                  </w:r>
                  <w:r>
                    <w:rPr>
                      <w:rFonts w:hint="eastAsia"/>
                      <w:sz w:val="18"/>
                      <w:szCs w:val="18"/>
                      <w:lang w:val="en-US" w:eastAsia="zh-CN"/>
                    </w:rPr>
                    <w:t>占地面积2812.50m</w:t>
                  </w:r>
                  <w:r>
                    <w:rPr>
                      <w:rFonts w:hint="eastAsia"/>
                      <w:sz w:val="18"/>
                      <w:szCs w:val="18"/>
                      <w:vertAlign w:val="superscript"/>
                      <w:lang w:val="en-US" w:eastAsia="zh-CN"/>
                    </w:rPr>
                    <w:t>2</w:t>
                  </w:r>
                  <w:r>
                    <w:rPr>
                      <w:rFonts w:hint="eastAsia"/>
                      <w:sz w:val="18"/>
                      <w:szCs w:val="18"/>
                      <w:lang w:val="en-US" w:eastAsia="zh-CN"/>
                    </w:rPr>
                    <w:t>，建筑面积2812.50m</w:t>
                  </w:r>
                  <w:r>
                    <w:rPr>
                      <w:rFonts w:hint="eastAsia"/>
                      <w:sz w:val="18"/>
                      <w:szCs w:val="18"/>
                      <w:vertAlign w:val="superscript"/>
                      <w:lang w:val="en-US" w:eastAsia="zh-CN"/>
                    </w:rPr>
                    <w:t>2</w:t>
                  </w:r>
                  <w:r>
                    <w:rPr>
                      <w:rFonts w:hint="eastAsia"/>
                      <w:sz w:val="18"/>
                      <w:szCs w:val="18"/>
                      <w:lang w:val="en-US" w:eastAsia="zh-CN"/>
                    </w:rPr>
                    <w:t>，一层建筑 ，位于厂区中部靠东处，建设尺寸为L75m×B37.5m×H9m，主要功能为木材深加工，进行木材的指接拼板、榫卯加工、构件组装和防腐处理等工序。</w:t>
                  </w:r>
                </w:p>
              </w:tc>
              <w:tc>
                <w:tcPr>
                  <w:tcW w:w="430" w:type="pct"/>
                  <w:vMerge w:val="continue"/>
                  <w:shd w:val="clear" w:color="auto" w:fill="auto"/>
                  <w:vAlign w:val="center"/>
                </w:tcPr>
                <w:p w14:paraId="55612E64">
                  <w:pPr>
                    <w:spacing w:line="280" w:lineRule="exact"/>
                    <w:jc w:val="center"/>
                    <w:rPr>
                      <w:sz w:val="18"/>
                      <w:szCs w:val="18"/>
                    </w:rPr>
                  </w:pPr>
                </w:p>
              </w:tc>
            </w:tr>
            <w:tr w14:paraId="53D99A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9" w:hRule="atLeast"/>
                <w:jc w:val="center"/>
              </w:trPr>
              <w:tc>
                <w:tcPr>
                  <w:tcW w:w="282" w:type="pct"/>
                  <w:vMerge w:val="continue"/>
                  <w:vAlign w:val="center"/>
                </w:tcPr>
                <w:p w14:paraId="2C56FBE2">
                  <w:pPr>
                    <w:spacing w:line="280" w:lineRule="exact"/>
                    <w:jc w:val="center"/>
                    <w:rPr>
                      <w:sz w:val="18"/>
                      <w:szCs w:val="18"/>
                    </w:rPr>
                  </w:pPr>
                </w:p>
              </w:tc>
              <w:tc>
                <w:tcPr>
                  <w:tcW w:w="940" w:type="pct"/>
                  <w:vMerge w:val="continue"/>
                  <w:vAlign w:val="center"/>
                </w:tcPr>
                <w:p w14:paraId="106C1B67">
                  <w:pPr>
                    <w:spacing w:line="280" w:lineRule="exact"/>
                    <w:jc w:val="center"/>
                    <w:rPr>
                      <w:sz w:val="18"/>
                      <w:szCs w:val="18"/>
                    </w:rPr>
                  </w:pPr>
                </w:p>
              </w:tc>
              <w:tc>
                <w:tcPr>
                  <w:tcW w:w="3346" w:type="pct"/>
                  <w:tcBorders>
                    <w:top w:val="single" w:color="auto" w:sz="4" w:space="0"/>
                    <w:bottom w:val="single" w:color="auto" w:sz="4" w:space="0"/>
                  </w:tcBorders>
                  <w:vAlign w:val="center"/>
                </w:tcPr>
                <w:p w14:paraId="1CA655E6">
                  <w:pPr>
                    <w:spacing w:line="280" w:lineRule="exact"/>
                    <w:jc w:val="left"/>
                    <w:rPr>
                      <w:rFonts w:hint="default"/>
                      <w:sz w:val="18"/>
                      <w:szCs w:val="18"/>
                      <w:lang w:val="en-US"/>
                    </w:rPr>
                  </w:pPr>
                  <w:r>
                    <w:rPr>
                      <w:rFonts w:hint="eastAsia"/>
                      <w:sz w:val="18"/>
                      <w:szCs w:val="18"/>
                    </w:rPr>
                    <w:t>五车间</w:t>
                  </w:r>
                  <w:r>
                    <w:rPr>
                      <w:rFonts w:hint="eastAsia"/>
                      <w:sz w:val="18"/>
                      <w:szCs w:val="18"/>
                      <w:lang w:val="en-US" w:eastAsia="zh-CN"/>
                    </w:rPr>
                    <w:t>占地面积5812.5m</w:t>
                  </w:r>
                  <w:r>
                    <w:rPr>
                      <w:rFonts w:hint="eastAsia"/>
                      <w:sz w:val="18"/>
                      <w:szCs w:val="18"/>
                      <w:vertAlign w:val="superscript"/>
                      <w:lang w:val="en-US" w:eastAsia="zh-CN"/>
                    </w:rPr>
                    <w:t>2</w:t>
                  </w:r>
                  <w:r>
                    <w:rPr>
                      <w:rFonts w:hint="eastAsia"/>
                      <w:sz w:val="18"/>
                      <w:szCs w:val="18"/>
                      <w:lang w:val="en-US" w:eastAsia="zh-CN"/>
                    </w:rPr>
                    <w:t>，建筑面积5812.5m</w:t>
                  </w:r>
                  <w:r>
                    <w:rPr>
                      <w:rFonts w:hint="eastAsia"/>
                      <w:sz w:val="18"/>
                      <w:szCs w:val="18"/>
                      <w:vertAlign w:val="superscript"/>
                      <w:lang w:val="en-US" w:eastAsia="zh-CN"/>
                    </w:rPr>
                    <w:t>2</w:t>
                  </w:r>
                  <w:r>
                    <w:rPr>
                      <w:rFonts w:hint="eastAsia"/>
                      <w:sz w:val="18"/>
                      <w:szCs w:val="18"/>
                      <w:lang w:val="en-US" w:eastAsia="zh-CN"/>
                    </w:rPr>
                    <w:t>，一层建筑 ，位于厂区中部靠东处，建设尺寸为L77.5m×B75m×H9m，主要功能为木材初加工，包括原木进厂、截锯解料、干燥养护、四面粗刨光4个工序。</w:t>
                  </w:r>
                </w:p>
              </w:tc>
              <w:tc>
                <w:tcPr>
                  <w:tcW w:w="430" w:type="pct"/>
                  <w:vMerge w:val="continue"/>
                  <w:tcBorders>
                    <w:bottom w:val="single" w:color="auto" w:sz="4" w:space="0"/>
                  </w:tcBorders>
                  <w:shd w:val="clear" w:color="auto" w:fill="auto"/>
                  <w:vAlign w:val="center"/>
                </w:tcPr>
                <w:p w14:paraId="1461046D">
                  <w:pPr>
                    <w:spacing w:line="280" w:lineRule="exact"/>
                    <w:jc w:val="center"/>
                    <w:rPr>
                      <w:sz w:val="18"/>
                      <w:szCs w:val="18"/>
                    </w:rPr>
                  </w:pPr>
                </w:p>
              </w:tc>
            </w:tr>
            <w:tr w14:paraId="076ABC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282" w:type="pct"/>
                  <w:vMerge w:val="restart"/>
                  <w:vAlign w:val="center"/>
                </w:tcPr>
                <w:p w14:paraId="72A99001">
                  <w:pPr>
                    <w:spacing w:line="280" w:lineRule="exact"/>
                    <w:jc w:val="center"/>
                    <w:rPr>
                      <w:sz w:val="18"/>
                      <w:szCs w:val="18"/>
                    </w:rPr>
                  </w:pPr>
                  <w:r>
                    <w:rPr>
                      <w:sz w:val="18"/>
                      <w:szCs w:val="18"/>
                    </w:rPr>
                    <w:t>辅助工程</w:t>
                  </w:r>
                </w:p>
              </w:tc>
              <w:tc>
                <w:tcPr>
                  <w:tcW w:w="940" w:type="pct"/>
                  <w:vAlign w:val="center"/>
                </w:tcPr>
                <w:p w14:paraId="381D0EA3">
                  <w:pPr>
                    <w:spacing w:line="280" w:lineRule="exact"/>
                    <w:jc w:val="center"/>
                    <w:rPr>
                      <w:sz w:val="18"/>
                      <w:szCs w:val="18"/>
                    </w:rPr>
                  </w:pPr>
                  <w:r>
                    <w:rPr>
                      <w:rFonts w:hint="eastAsia"/>
                      <w:sz w:val="18"/>
                      <w:szCs w:val="18"/>
                      <w:lang w:val="en-US" w:eastAsia="zh-CN"/>
                    </w:rPr>
                    <w:t>综合</w:t>
                  </w:r>
                  <w:r>
                    <w:rPr>
                      <w:rFonts w:hint="eastAsia"/>
                      <w:sz w:val="18"/>
                      <w:szCs w:val="18"/>
                    </w:rPr>
                    <w:t>楼</w:t>
                  </w:r>
                </w:p>
              </w:tc>
              <w:tc>
                <w:tcPr>
                  <w:tcW w:w="3346" w:type="pct"/>
                  <w:tcBorders>
                    <w:bottom w:val="single" w:color="auto" w:sz="4" w:space="0"/>
                  </w:tcBorders>
                  <w:vAlign w:val="center"/>
                </w:tcPr>
                <w:p w14:paraId="41319EE6">
                  <w:pPr>
                    <w:spacing w:line="280" w:lineRule="exact"/>
                    <w:jc w:val="left"/>
                    <w:rPr>
                      <w:sz w:val="18"/>
                      <w:szCs w:val="18"/>
                    </w:rPr>
                  </w:pPr>
                  <w:r>
                    <w:rPr>
                      <w:rFonts w:hint="eastAsia"/>
                      <w:sz w:val="18"/>
                      <w:szCs w:val="18"/>
                    </w:rPr>
                    <w:t>厂区</w:t>
                  </w:r>
                  <w:r>
                    <w:rPr>
                      <w:rFonts w:hint="eastAsia"/>
                      <w:sz w:val="18"/>
                      <w:szCs w:val="18"/>
                      <w:lang w:val="en-US" w:eastAsia="zh-CN"/>
                    </w:rPr>
                    <w:t>东</w:t>
                  </w:r>
                  <w:r>
                    <w:rPr>
                      <w:rFonts w:hint="eastAsia"/>
                      <w:sz w:val="18"/>
                      <w:szCs w:val="18"/>
                    </w:rPr>
                    <w:t>南</w:t>
                  </w:r>
                  <w:r>
                    <w:rPr>
                      <w:rFonts w:hint="eastAsia"/>
                      <w:sz w:val="18"/>
                      <w:szCs w:val="18"/>
                      <w:lang w:val="en-US" w:eastAsia="zh-CN"/>
                    </w:rPr>
                    <w:t>角处</w:t>
                  </w:r>
                  <w:r>
                    <w:rPr>
                      <w:rFonts w:hint="eastAsia"/>
                      <w:sz w:val="18"/>
                      <w:szCs w:val="18"/>
                    </w:rPr>
                    <w:t>设置有1座</w:t>
                  </w:r>
                  <w:r>
                    <w:rPr>
                      <w:rFonts w:hint="eastAsia"/>
                      <w:sz w:val="18"/>
                      <w:szCs w:val="18"/>
                      <w:lang w:val="en-US" w:eastAsia="zh-CN"/>
                    </w:rPr>
                    <w:t>综合</w:t>
                  </w:r>
                  <w:r>
                    <w:rPr>
                      <w:rFonts w:hint="eastAsia"/>
                      <w:sz w:val="18"/>
                      <w:szCs w:val="18"/>
                    </w:rPr>
                    <w:t>楼</w:t>
                  </w:r>
                  <w:r>
                    <w:rPr>
                      <w:sz w:val="18"/>
                      <w:szCs w:val="18"/>
                    </w:rPr>
                    <w:t>，占地面积</w:t>
                  </w:r>
                  <w:r>
                    <w:rPr>
                      <w:rFonts w:hint="eastAsia"/>
                      <w:sz w:val="18"/>
                      <w:szCs w:val="18"/>
                      <w:lang w:val="en-US" w:eastAsia="zh-CN"/>
                    </w:rPr>
                    <w:t>1478.88</w:t>
                  </w:r>
                  <w:r>
                    <w:rPr>
                      <w:rFonts w:hint="eastAsia"/>
                      <w:sz w:val="18"/>
                      <w:szCs w:val="18"/>
                    </w:rPr>
                    <w:t>m</w:t>
                  </w:r>
                  <w:r>
                    <w:rPr>
                      <w:rFonts w:hint="eastAsia"/>
                      <w:sz w:val="18"/>
                      <w:szCs w:val="18"/>
                      <w:vertAlign w:val="superscript"/>
                    </w:rPr>
                    <w:t>2</w:t>
                  </w:r>
                  <w:r>
                    <w:rPr>
                      <w:rFonts w:hint="eastAsia"/>
                      <w:sz w:val="18"/>
                      <w:szCs w:val="18"/>
                    </w:rPr>
                    <w:t>，</w:t>
                  </w:r>
                  <w:r>
                    <w:rPr>
                      <w:sz w:val="18"/>
                      <w:szCs w:val="18"/>
                    </w:rPr>
                    <w:t>共</w:t>
                  </w:r>
                  <w:r>
                    <w:rPr>
                      <w:rFonts w:hint="eastAsia"/>
                      <w:sz w:val="18"/>
                      <w:szCs w:val="18"/>
                    </w:rPr>
                    <w:t>4层，</w:t>
                  </w:r>
                  <w:r>
                    <w:rPr>
                      <w:sz w:val="18"/>
                      <w:szCs w:val="18"/>
                    </w:rPr>
                    <w:t>建筑面积为</w:t>
                  </w:r>
                  <w:r>
                    <w:rPr>
                      <w:rFonts w:hint="eastAsia"/>
                      <w:sz w:val="18"/>
                      <w:szCs w:val="18"/>
                      <w:lang w:val="en-US" w:eastAsia="zh-CN"/>
                    </w:rPr>
                    <w:t>6008.12</w:t>
                  </w:r>
                  <w:r>
                    <w:rPr>
                      <w:sz w:val="18"/>
                      <w:szCs w:val="18"/>
                    </w:rPr>
                    <w:t>m</w:t>
                  </w:r>
                  <w:r>
                    <w:rPr>
                      <w:sz w:val="18"/>
                      <w:szCs w:val="18"/>
                      <w:vertAlign w:val="superscript"/>
                    </w:rPr>
                    <w:t>2</w:t>
                  </w:r>
                  <w:r>
                    <w:rPr>
                      <w:sz w:val="18"/>
                      <w:szCs w:val="18"/>
                    </w:rPr>
                    <w:t>，</w:t>
                  </w:r>
                  <w:r>
                    <w:rPr>
                      <w:rFonts w:hint="eastAsia"/>
                      <w:sz w:val="18"/>
                      <w:szCs w:val="18"/>
                    </w:rPr>
                    <w:t>建设</w:t>
                  </w:r>
                  <w:r>
                    <w:rPr>
                      <w:sz w:val="18"/>
                      <w:szCs w:val="18"/>
                    </w:rPr>
                    <w:t>尺寸</w:t>
                  </w:r>
                  <w:r>
                    <w:rPr>
                      <w:rFonts w:hint="eastAsia"/>
                      <w:sz w:val="18"/>
                      <w:szCs w:val="18"/>
                    </w:rPr>
                    <w:t>：</w:t>
                  </w:r>
                  <w:r>
                    <w:rPr>
                      <w:rFonts w:hint="eastAsia"/>
                      <w:sz w:val="18"/>
                      <w:szCs w:val="18"/>
                      <w:lang w:val="en-US" w:eastAsia="zh-CN"/>
                    </w:rPr>
                    <w:t>L75</w:t>
                  </w:r>
                  <w:r>
                    <w:rPr>
                      <w:rFonts w:hint="eastAsia"/>
                      <w:sz w:val="18"/>
                      <w:szCs w:val="18"/>
                    </w:rPr>
                    <w:t>m×</w:t>
                  </w:r>
                  <w:r>
                    <w:rPr>
                      <w:rFonts w:hint="eastAsia"/>
                      <w:sz w:val="18"/>
                      <w:szCs w:val="18"/>
                      <w:lang w:val="en-US" w:eastAsia="zh-CN"/>
                    </w:rPr>
                    <w:t>B</w:t>
                  </w:r>
                  <w:r>
                    <w:rPr>
                      <w:rFonts w:hint="eastAsia"/>
                      <w:sz w:val="18"/>
                      <w:szCs w:val="18"/>
                    </w:rPr>
                    <w:t>1</w:t>
                  </w:r>
                  <w:r>
                    <w:rPr>
                      <w:rFonts w:hint="eastAsia"/>
                      <w:sz w:val="18"/>
                      <w:szCs w:val="18"/>
                      <w:lang w:val="en-US" w:eastAsia="zh-CN"/>
                    </w:rPr>
                    <w:t>9.8</w:t>
                  </w:r>
                  <w:r>
                    <w:rPr>
                      <w:rFonts w:hint="eastAsia"/>
                      <w:sz w:val="18"/>
                      <w:szCs w:val="18"/>
                    </w:rPr>
                    <w:t>m×</w:t>
                  </w:r>
                  <w:r>
                    <w:rPr>
                      <w:rFonts w:hint="eastAsia"/>
                      <w:sz w:val="18"/>
                      <w:szCs w:val="18"/>
                      <w:lang w:val="en-US" w:eastAsia="zh-CN"/>
                    </w:rPr>
                    <w:t>H</w:t>
                  </w:r>
                  <w:r>
                    <w:rPr>
                      <w:rFonts w:hint="eastAsia"/>
                      <w:sz w:val="18"/>
                      <w:szCs w:val="18"/>
                    </w:rPr>
                    <w:t>1</w:t>
                  </w:r>
                  <w:r>
                    <w:rPr>
                      <w:rFonts w:hint="eastAsia"/>
                      <w:sz w:val="18"/>
                      <w:szCs w:val="18"/>
                      <w:lang w:val="en-US" w:eastAsia="zh-CN"/>
                    </w:rPr>
                    <w:t>8</w:t>
                  </w:r>
                  <w:r>
                    <w:rPr>
                      <w:rFonts w:hint="eastAsia"/>
                      <w:sz w:val="18"/>
                      <w:szCs w:val="18"/>
                    </w:rPr>
                    <w:t>m，</w:t>
                  </w:r>
                  <w:r>
                    <w:rPr>
                      <w:rFonts w:hint="eastAsia"/>
                      <w:sz w:val="18"/>
                      <w:szCs w:val="18"/>
                      <w:lang w:val="en-US" w:eastAsia="zh-CN"/>
                    </w:rPr>
                    <w:t>综合漏内设置有办公区、生活区、研发设计区等</w:t>
                  </w:r>
                  <w:r>
                    <w:rPr>
                      <w:rFonts w:hint="eastAsia"/>
                      <w:sz w:val="18"/>
                      <w:szCs w:val="18"/>
                    </w:rPr>
                    <w:t>。</w:t>
                  </w:r>
                </w:p>
              </w:tc>
              <w:tc>
                <w:tcPr>
                  <w:tcW w:w="430" w:type="pct"/>
                  <w:tcBorders>
                    <w:bottom w:val="single" w:color="auto" w:sz="4" w:space="0"/>
                  </w:tcBorders>
                  <w:vAlign w:val="center"/>
                </w:tcPr>
                <w:p w14:paraId="1C50576E">
                  <w:pPr>
                    <w:spacing w:line="280" w:lineRule="exact"/>
                    <w:jc w:val="center"/>
                    <w:rPr>
                      <w:rFonts w:hint="eastAsia" w:eastAsia="宋体"/>
                      <w:sz w:val="18"/>
                      <w:szCs w:val="18"/>
                      <w:lang w:val="en-US" w:eastAsia="zh-CN"/>
                    </w:rPr>
                  </w:pPr>
                  <w:r>
                    <w:rPr>
                      <w:rFonts w:hint="eastAsia"/>
                      <w:sz w:val="18"/>
                      <w:szCs w:val="18"/>
                      <w:lang w:val="en-US" w:eastAsia="zh-CN"/>
                    </w:rPr>
                    <w:t>新建</w:t>
                  </w:r>
                </w:p>
              </w:tc>
            </w:tr>
            <w:tr w14:paraId="27FE8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282" w:type="pct"/>
                  <w:vMerge w:val="continue"/>
                  <w:vAlign w:val="center"/>
                </w:tcPr>
                <w:p w14:paraId="01D38713">
                  <w:pPr>
                    <w:spacing w:line="280" w:lineRule="exact"/>
                    <w:jc w:val="center"/>
                    <w:rPr>
                      <w:sz w:val="18"/>
                      <w:szCs w:val="18"/>
                    </w:rPr>
                  </w:pPr>
                </w:p>
              </w:tc>
              <w:tc>
                <w:tcPr>
                  <w:tcW w:w="940" w:type="pct"/>
                  <w:vAlign w:val="center"/>
                </w:tcPr>
                <w:p w14:paraId="4F604EF7">
                  <w:pPr>
                    <w:spacing w:line="280" w:lineRule="exact"/>
                    <w:jc w:val="center"/>
                    <w:rPr>
                      <w:sz w:val="18"/>
                      <w:szCs w:val="18"/>
                    </w:rPr>
                  </w:pPr>
                  <w:r>
                    <w:rPr>
                      <w:rFonts w:hint="eastAsia"/>
                      <w:sz w:val="18"/>
                      <w:szCs w:val="18"/>
                    </w:rPr>
                    <w:t>门卫室</w:t>
                  </w:r>
                </w:p>
              </w:tc>
              <w:tc>
                <w:tcPr>
                  <w:tcW w:w="3346" w:type="pct"/>
                  <w:tcBorders>
                    <w:bottom w:val="single" w:color="auto" w:sz="4" w:space="0"/>
                  </w:tcBorders>
                  <w:vAlign w:val="center"/>
                </w:tcPr>
                <w:p w14:paraId="2ED6EF10">
                  <w:pPr>
                    <w:spacing w:line="280" w:lineRule="exact"/>
                    <w:jc w:val="left"/>
                    <w:rPr>
                      <w:sz w:val="18"/>
                      <w:szCs w:val="18"/>
                    </w:rPr>
                  </w:pPr>
                  <w:r>
                    <w:rPr>
                      <w:rFonts w:hint="eastAsia"/>
                      <w:sz w:val="18"/>
                      <w:szCs w:val="18"/>
                    </w:rPr>
                    <w:t>厂区设置有</w:t>
                  </w:r>
                  <w:r>
                    <w:rPr>
                      <w:rFonts w:hint="eastAsia"/>
                      <w:sz w:val="18"/>
                      <w:szCs w:val="18"/>
                      <w:lang w:val="en-US" w:eastAsia="zh-CN"/>
                    </w:rPr>
                    <w:t>2</w:t>
                  </w:r>
                  <w:r>
                    <w:rPr>
                      <w:rFonts w:hint="eastAsia"/>
                      <w:sz w:val="18"/>
                      <w:szCs w:val="18"/>
                    </w:rPr>
                    <w:t>座门卫室，</w:t>
                  </w:r>
                  <w:r>
                    <w:rPr>
                      <w:sz w:val="18"/>
                      <w:szCs w:val="18"/>
                    </w:rPr>
                    <w:t>建筑面积为</w:t>
                  </w:r>
                  <w:r>
                    <w:rPr>
                      <w:rFonts w:hint="eastAsia"/>
                      <w:sz w:val="18"/>
                      <w:szCs w:val="18"/>
                      <w:lang w:val="en-US" w:eastAsia="zh-CN"/>
                    </w:rPr>
                    <w:t>68.52</w:t>
                  </w:r>
                  <w:r>
                    <w:rPr>
                      <w:sz w:val="18"/>
                      <w:szCs w:val="18"/>
                    </w:rPr>
                    <w:t>m</w:t>
                  </w:r>
                  <w:r>
                    <w:rPr>
                      <w:sz w:val="18"/>
                      <w:szCs w:val="18"/>
                      <w:vertAlign w:val="superscript"/>
                    </w:rPr>
                    <w:t>2</w:t>
                  </w:r>
                  <w:r>
                    <w:rPr>
                      <w:rFonts w:hint="eastAsia"/>
                      <w:sz w:val="18"/>
                      <w:szCs w:val="18"/>
                    </w:rPr>
                    <w:t>，</w:t>
                  </w:r>
                  <w:r>
                    <w:rPr>
                      <w:rFonts w:hint="eastAsia"/>
                      <w:sz w:val="18"/>
                      <w:szCs w:val="18"/>
                      <w:lang w:val="en-US" w:eastAsia="zh-CN"/>
                    </w:rPr>
                    <w:t>分别</w:t>
                  </w:r>
                  <w:r>
                    <w:rPr>
                      <w:sz w:val="18"/>
                      <w:szCs w:val="18"/>
                    </w:rPr>
                    <w:t>位于厂区</w:t>
                  </w:r>
                  <w:r>
                    <w:rPr>
                      <w:rFonts w:hint="eastAsia"/>
                      <w:sz w:val="18"/>
                      <w:szCs w:val="18"/>
                      <w:lang w:val="en-US" w:eastAsia="zh-CN"/>
                    </w:rPr>
                    <w:t>东侧</w:t>
                  </w:r>
                  <w:r>
                    <w:rPr>
                      <w:rFonts w:hint="eastAsia"/>
                      <w:sz w:val="18"/>
                      <w:szCs w:val="18"/>
                    </w:rPr>
                    <w:t>大门</w:t>
                  </w:r>
                  <w:r>
                    <w:rPr>
                      <w:rFonts w:hint="eastAsia"/>
                      <w:sz w:val="18"/>
                      <w:szCs w:val="18"/>
                      <w:lang w:val="en-US" w:eastAsia="zh-CN"/>
                    </w:rPr>
                    <w:t>和南侧大门</w:t>
                  </w:r>
                  <w:r>
                    <w:rPr>
                      <w:sz w:val="18"/>
                      <w:szCs w:val="18"/>
                    </w:rPr>
                    <w:t>旁侧</w:t>
                  </w:r>
                  <w:r>
                    <w:rPr>
                      <w:rFonts w:hint="eastAsia"/>
                      <w:sz w:val="18"/>
                      <w:szCs w:val="18"/>
                    </w:rPr>
                    <w:t>；</w:t>
                  </w:r>
                </w:p>
              </w:tc>
              <w:tc>
                <w:tcPr>
                  <w:tcW w:w="430" w:type="pct"/>
                  <w:tcBorders>
                    <w:bottom w:val="single" w:color="auto" w:sz="4" w:space="0"/>
                  </w:tcBorders>
                  <w:vAlign w:val="center"/>
                </w:tcPr>
                <w:p w14:paraId="4AAF4678">
                  <w:pPr>
                    <w:spacing w:line="280" w:lineRule="exact"/>
                    <w:jc w:val="center"/>
                    <w:rPr>
                      <w:rFonts w:hint="default" w:eastAsia="宋体"/>
                      <w:sz w:val="18"/>
                      <w:szCs w:val="18"/>
                      <w:lang w:val="en-US" w:eastAsia="zh-CN"/>
                    </w:rPr>
                  </w:pPr>
                  <w:r>
                    <w:rPr>
                      <w:rFonts w:hint="eastAsia"/>
                      <w:sz w:val="18"/>
                      <w:szCs w:val="18"/>
                      <w:lang w:val="en-US" w:eastAsia="zh-CN"/>
                    </w:rPr>
                    <w:t>新建</w:t>
                  </w:r>
                </w:p>
              </w:tc>
            </w:tr>
            <w:tr w14:paraId="01432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7" w:hRule="atLeast"/>
                <w:jc w:val="center"/>
              </w:trPr>
              <w:tc>
                <w:tcPr>
                  <w:tcW w:w="282" w:type="pct"/>
                  <w:vMerge w:val="continue"/>
                  <w:vAlign w:val="center"/>
                </w:tcPr>
                <w:p w14:paraId="053CB5D9">
                  <w:pPr>
                    <w:spacing w:line="280" w:lineRule="exact"/>
                    <w:jc w:val="center"/>
                    <w:rPr>
                      <w:sz w:val="18"/>
                      <w:szCs w:val="18"/>
                    </w:rPr>
                  </w:pPr>
                </w:p>
              </w:tc>
              <w:tc>
                <w:tcPr>
                  <w:tcW w:w="940" w:type="pct"/>
                  <w:shd w:val="clear" w:color="auto" w:fill="auto"/>
                  <w:vAlign w:val="center"/>
                </w:tcPr>
                <w:p w14:paraId="318028D4">
                  <w:pPr>
                    <w:spacing w:line="280" w:lineRule="exact"/>
                    <w:jc w:val="center"/>
                    <w:rPr>
                      <w:rFonts w:ascii="Times New Roman" w:hAnsi="Times New Roman" w:eastAsia="宋体" w:cs="Times New Roman"/>
                      <w:kern w:val="2"/>
                      <w:sz w:val="18"/>
                      <w:szCs w:val="18"/>
                      <w:lang w:val="en-US" w:eastAsia="zh-CN" w:bidi="ar-SA"/>
                    </w:rPr>
                  </w:pPr>
                  <w:r>
                    <w:rPr>
                      <w:sz w:val="18"/>
                      <w:szCs w:val="18"/>
                    </w:rPr>
                    <w:t>危废</w:t>
                  </w:r>
                  <w:r>
                    <w:rPr>
                      <w:rFonts w:hint="eastAsia"/>
                      <w:sz w:val="18"/>
                      <w:szCs w:val="18"/>
                      <w:lang w:val="en-US" w:eastAsia="zh-CN"/>
                    </w:rPr>
                    <w:t>贮存</w:t>
                  </w:r>
                  <w:r>
                    <w:rPr>
                      <w:sz w:val="18"/>
                      <w:szCs w:val="18"/>
                    </w:rPr>
                    <w:t>库</w:t>
                  </w:r>
                </w:p>
              </w:tc>
              <w:tc>
                <w:tcPr>
                  <w:tcW w:w="3346" w:type="pct"/>
                  <w:shd w:val="clear" w:color="auto" w:fill="auto"/>
                  <w:vAlign w:val="center"/>
                </w:tcPr>
                <w:p w14:paraId="741AD03C">
                  <w:pPr>
                    <w:spacing w:line="280" w:lineRule="exact"/>
                    <w:jc w:val="left"/>
                    <w:rPr>
                      <w:rFonts w:ascii="Times New Roman" w:hAnsi="Times New Roman" w:eastAsia="宋体" w:cs="Times New Roman"/>
                      <w:kern w:val="2"/>
                      <w:sz w:val="18"/>
                      <w:szCs w:val="18"/>
                      <w:lang w:val="en-US" w:eastAsia="zh-CN" w:bidi="ar-SA"/>
                    </w:rPr>
                  </w:pPr>
                  <w:r>
                    <w:rPr>
                      <w:sz w:val="18"/>
                      <w:szCs w:val="18"/>
                    </w:rPr>
                    <w:t>新建一座危废</w:t>
                  </w:r>
                  <w:r>
                    <w:rPr>
                      <w:rFonts w:hint="eastAsia"/>
                      <w:sz w:val="18"/>
                      <w:szCs w:val="18"/>
                      <w:lang w:val="en-US" w:eastAsia="zh-CN"/>
                    </w:rPr>
                    <w:t>贮存</w:t>
                  </w:r>
                  <w:r>
                    <w:rPr>
                      <w:sz w:val="18"/>
                      <w:szCs w:val="18"/>
                    </w:rPr>
                    <w:t>库</w:t>
                  </w:r>
                  <w:r>
                    <w:rPr>
                      <w:rFonts w:hint="eastAsia"/>
                      <w:sz w:val="18"/>
                      <w:szCs w:val="18"/>
                    </w:rPr>
                    <w:t>，</w:t>
                  </w:r>
                  <w:r>
                    <w:rPr>
                      <w:sz w:val="18"/>
                      <w:szCs w:val="18"/>
                    </w:rPr>
                    <w:t>位于厂区</w:t>
                  </w:r>
                  <w:r>
                    <w:rPr>
                      <w:rFonts w:hint="eastAsia"/>
                      <w:sz w:val="18"/>
                      <w:szCs w:val="18"/>
                      <w:lang w:val="en-US" w:eastAsia="zh-CN"/>
                    </w:rPr>
                    <w:t>仓库</w:t>
                  </w:r>
                  <w:r>
                    <w:rPr>
                      <w:sz w:val="18"/>
                      <w:szCs w:val="18"/>
                    </w:rPr>
                    <w:t>内</w:t>
                  </w:r>
                  <w:r>
                    <w:rPr>
                      <w:rFonts w:hint="eastAsia"/>
                      <w:sz w:val="18"/>
                      <w:szCs w:val="18"/>
                      <w:lang w:val="en-US" w:eastAsia="zh-CN"/>
                    </w:rPr>
                    <w:t>东南角处</w:t>
                  </w:r>
                  <w:r>
                    <w:rPr>
                      <w:rFonts w:hint="eastAsia"/>
                      <w:sz w:val="18"/>
                      <w:szCs w:val="18"/>
                    </w:rPr>
                    <w:t>，</w:t>
                  </w:r>
                  <w:r>
                    <w:rPr>
                      <w:rFonts w:hint="eastAsia"/>
                      <w:sz w:val="18"/>
                      <w:szCs w:val="18"/>
                      <w:lang w:val="en-US" w:eastAsia="zh-CN"/>
                    </w:rPr>
                    <w:t>独立建设，</w:t>
                  </w:r>
                  <w:r>
                    <w:rPr>
                      <w:sz w:val="18"/>
                      <w:szCs w:val="18"/>
                    </w:rPr>
                    <w:t>并加设防渗</w:t>
                  </w:r>
                  <w:r>
                    <w:rPr>
                      <w:rFonts w:hint="eastAsia"/>
                      <w:sz w:val="18"/>
                      <w:szCs w:val="18"/>
                    </w:rPr>
                    <w:t>、</w:t>
                  </w:r>
                  <w:r>
                    <w:rPr>
                      <w:sz w:val="18"/>
                      <w:szCs w:val="18"/>
                    </w:rPr>
                    <w:t>防腐</w:t>
                  </w:r>
                  <w:r>
                    <w:rPr>
                      <w:rFonts w:hint="eastAsia"/>
                      <w:sz w:val="18"/>
                      <w:szCs w:val="18"/>
                    </w:rPr>
                    <w:t>等工程，占地面积</w:t>
                  </w:r>
                  <w:r>
                    <w:rPr>
                      <w:rFonts w:hint="eastAsia"/>
                      <w:sz w:val="18"/>
                      <w:szCs w:val="18"/>
                      <w:lang w:val="en-US" w:eastAsia="zh-CN"/>
                    </w:rPr>
                    <w:t>2</w:t>
                  </w:r>
                  <w:r>
                    <w:rPr>
                      <w:rFonts w:hint="eastAsia"/>
                      <w:sz w:val="18"/>
                      <w:szCs w:val="18"/>
                    </w:rPr>
                    <w:t>0m</w:t>
                  </w:r>
                  <w:r>
                    <w:rPr>
                      <w:rFonts w:hint="eastAsia"/>
                      <w:sz w:val="18"/>
                      <w:szCs w:val="18"/>
                      <w:vertAlign w:val="superscript"/>
                    </w:rPr>
                    <w:t>2</w:t>
                  </w:r>
                  <w:r>
                    <w:rPr>
                      <w:rFonts w:hint="eastAsia"/>
                      <w:sz w:val="18"/>
                      <w:szCs w:val="18"/>
                    </w:rPr>
                    <w:t>。</w:t>
                  </w:r>
                </w:p>
              </w:tc>
              <w:tc>
                <w:tcPr>
                  <w:tcW w:w="430" w:type="pct"/>
                  <w:vAlign w:val="center"/>
                </w:tcPr>
                <w:p w14:paraId="7928AD14">
                  <w:pPr>
                    <w:spacing w:line="280" w:lineRule="exact"/>
                    <w:jc w:val="center"/>
                    <w:rPr>
                      <w:rFonts w:hint="eastAsia" w:eastAsia="宋体"/>
                      <w:sz w:val="18"/>
                      <w:szCs w:val="18"/>
                      <w:lang w:val="en-US" w:eastAsia="zh-CN"/>
                    </w:rPr>
                  </w:pPr>
                  <w:r>
                    <w:rPr>
                      <w:rFonts w:hint="eastAsia"/>
                      <w:sz w:val="18"/>
                      <w:szCs w:val="18"/>
                      <w:lang w:val="en-US" w:eastAsia="zh-CN"/>
                    </w:rPr>
                    <w:t>新建</w:t>
                  </w:r>
                </w:p>
              </w:tc>
            </w:tr>
            <w:tr w14:paraId="01360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7" w:hRule="atLeast"/>
                <w:jc w:val="center"/>
              </w:trPr>
              <w:tc>
                <w:tcPr>
                  <w:tcW w:w="282" w:type="pct"/>
                  <w:vMerge w:val="restart"/>
                  <w:vAlign w:val="center"/>
                </w:tcPr>
                <w:p w14:paraId="22CF466A">
                  <w:pPr>
                    <w:spacing w:line="280" w:lineRule="exact"/>
                    <w:jc w:val="center"/>
                    <w:rPr>
                      <w:sz w:val="18"/>
                      <w:szCs w:val="18"/>
                    </w:rPr>
                  </w:pPr>
                  <w:r>
                    <w:rPr>
                      <w:sz w:val="18"/>
                      <w:szCs w:val="18"/>
                    </w:rPr>
                    <w:t>储运工程</w:t>
                  </w:r>
                </w:p>
              </w:tc>
              <w:tc>
                <w:tcPr>
                  <w:tcW w:w="940" w:type="pct"/>
                  <w:vAlign w:val="center"/>
                </w:tcPr>
                <w:p w14:paraId="55EE9E3E">
                  <w:pPr>
                    <w:spacing w:line="280" w:lineRule="exact"/>
                    <w:jc w:val="center"/>
                    <w:rPr>
                      <w:sz w:val="18"/>
                      <w:szCs w:val="18"/>
                    </w:rPr>
                  </w:pPr>
                  <w:r>
                    <w:rPr>
                      <w:sz w:val="18"/>
                      <w:szCs w:val="18"/>
                    </w:rPr>
                    <w:t>仓库</w:t>
                  </w:r>
                </w:p>
              </w:tc>
              <w:tc>
                <w:tcPr>
                  <w:tcW w:w="3346" w:type="pct"/>
                  <w:vAlign w:val="center"/>
                </w:tcPr>
                <w:p w14:paraId="5C47699A">
                  <w:pPr>
                    <w:spacing w:line="280" w:lineRule="exact"/>
                    <w:jc w:val="left"/>
                    <w:rPr>
                      <w:rFonts w:hint="default"/>
                      <w:sz w:val="18"/>
                      <w:szCs w:val="18"/>
                      <w:lang w:val="en-US"/>
                    </w:rPr>
                  </w:pPr>
                  <w:r>
                    <w:rPr>
                      <w:rFonts w:hint="eastAsia"/>
                      <w:sz w:val="18"/>
                      <w:szCs w:val="18"/>
                    </w:rPr>
                    <w:t>厂区</w:t>
                  </w:r>
                  <w:r>
                    <w:rPr>
                      <w:rFonts w:hint="eastAsia"/>
                      <w:sz w:val="18"/>
                      <w:szCs w:val="18"/>
                      <w:lang w:val="en-US" w:eastAsia="zh-CN"/>
                    </w:rPr>
                    <w:t>中部靠西</w:t>
                  </w:r>
                  <w:r>
                    <w:rPr>
                      <w:rFonts w:hint="eastAsia"/>
                      <w:sz w:val="18"/>
                      <w:szCs w:val="18"/>
                    </w:rPr>
                    <w:t>角处建设一座仓库，占地面积</w:t>
                  </w:r>
                  <w:r>
                    <w:rPr>
                      <w:rFonts w:hint="eastAsia"/>
                      <w:sz w:val="18"/>
                      <w:szCs w:val="18"/>
                      <w:lang w:val="en-US" w:eastAsia="zh-CN"/>
                    </w:rPr>
                    <w:t>5812.5</w:t>
                  </w:r>
                  <w:r>
                    <w:rPr>
                      <w:rFonts w:hint="eastAsia"/>
                      <w:sz w:val="18"/>
                      <w:szCs w:val="18"/>
                    </w:rPr>
                    <w:t>m</w:t>
                  </w:r>
                  <w:r>
                    <w:rPr>
                      <w:rFonts w:hint="eastAsia"/>
                      <w:sz w:val="18"/>
                      <w:szCs w:val="18"/>
                      <w:vertAlign w:val="superscript"/>
                    </w:rPr>
                    <w:t>2</w:t>
                  </w:r>
                  <w:r>
                    <w:rPr>
                      <w:rFonts w:hint="eastAsia"/>
                      <w:sz w:val="18"/>
                      <w:szCs w:val="18"/>
                    </w:rPr>
                    <w:t>，</w:t>
                  </w:r>
                  <w:r>
                    <w:rPr>
                      <w:rFonts w:hint="eastAsia"/>
                      <w:sz w:val="18"/>
                      <w:szCs w:val="18"/>
                      <w:lang w:val="en-US" w:eastAsia="zh-CN"/>
                    </w:rPr>
                    <w:t>L77.</w:t>
                  </w:r>
                  <w:r>
                    <w:rPr>
                      <w:rFonts w:hint="eastAsia"/>
                      <w:sz w:val="18"/>
                      <w:szCs w:val="18"/>
                    </w:rPr>
                    <w:t>5m×</w:t>
                  </w:r>
                  <w:r>
                    <w:rPr>
                      <w:rFonts w:hint="eastAsia"/>
                      <w:sz w:val="18"/>
                      <w:szCs w:val="18"/>
                      <w:lang w:val="en-US" w:eastAsia="zh-CN"/>
                    </w:rPr>
                    <w:t>B75</w:t>
                  </w:r>
                  <w:r>
                    <w:rPr>
                      <w:rFonts w:hint="eastAsia"/>
                      <w:sz w:val="18"/>
                      <w:szCs w:val="18"/>
                    </w:rPr>
                    <w:t>m×</w:t>
                  </w:r>
                  <w:r>
                    <w:rPr>
                      <w:rFonts w:hint="eastAsia"/>
                      <w:sz w:val="18"/>
                      <w:szCs w:val="18"/>
                      <w:lang w:val="en-US" w:eastAsia="zh-CN"/>
                    </w:rPr>
                    <w:t>H</w:t>
                  </w:r>
                  <w:r>
                    <w:rPr>
                      <w:rFonts w:hint="eastAsia"/>
                      <w:sz w:val="18"/>
                      <w:szCs w:val="18"/>
                    </w:rPr>
                    <w:t>9m</w:t>
                  </w:r>
                  <w:r>
                    <w:rPr>
                      <w:rFonts w:hint="eastAsia"/>
                      <w:sz w:val="18"/>
                      <w:szCs w:val="18"/>
                      <w:lang w:eastAsia="zh-CN"/>
                    </w:rPr>
                    <w:t>，</w:t>
                  </w:r>
                  <w:r>
                    <w:rPr>
                      <w:rFonts w:hint="eastAsia"/>
                      <w:sz w:val="18"/>
                      <w:szCs w:val="18"/>
                    </w:rPr>
                    <w:t>主要</w:t>
                  </w:r>
                  <w:r>
                    <w:rPr>
                      <w:rFonts w:hint="eastAsia"/>
                      <w:sz w:val="18"/>
                      <w:szCs w:val="18"/>
                      <w:lang w:val="en-US" w:eastAsia="zh-CN"/>
                    </w:rPr>
                    <w:t>堆存原材料以及产品，利用过道针对不同原材料、产品等分区堆存。</w:t>
                  </w:r>
                </w:p>
              </w:tc>
              <w:tc>
                <w:tcPr>
                  <w:tcW w:w="430" w:type="pct"/>
                  <w:vAlign w:val="center"/>
                </w:tcPr>
                <w:p w14:paraId="31E054CC">
                  <w:pPr>
                    <w:spacing w:line="280" w:lineRule="exact"/>
                    <w:jc w:val="center"/>
                    <w:rPr>
                      <w:rFonts w:hint="eastAsia" w:eastAsia="宋体"/>
                      <w:sz w:val="18"/>
                      <w:szCs w:val="18"/>
                      <w:lang w:val="en-US" w:eastAsia="zh-CN"/>
                    </w:rPr>
                  </w:pPr>
                  <w:r>
                    <w:rPr>
                      <w:rFonts w:hint="eastAsia"/>
                      <w:sz w:val="18"/>
                      <w:szCs w:val="18"/>
                      <w:lang w:val="en-US" w:eastAsia="zh-CN"/>
                    </w:rPr>
                    <w:t>新建</w:t>
                  </w:r>
                </w:p>
              </w:tc>
            </w:tr>
            <w:tr w14:paraId="70D62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7" w:hRule="atLeast"/>
                <w:jc w:val="center"/>
              </w:trPr>
              <w:tc>
                <w:tcPr>
                  <w:tcW w:w="282" w:type="pct"/>
                  <w:vMerge w:val="continue"/>
                  <w:vAlign w:val="center"/>
                </w:tcPr>
                <w:p w14:paraId="13EAD972">
                  <w:pPr>
                    <w:spacing w:line="280" w:lineRule="exact"/>
                    <w:jc w:val="center"/>
                    <w:rPr>
                      <w:sz w:val="18"/>
                      <w:szCs w:val="18"/>
                    </w:rPr>
                  </w:pPr>
                </w:p>
              </w:tc>
              <w:tc>
                <w:tcPr>
                  <w:tcW w:w="940" w:type="pct"/>
                  <w:vAlign w:val="center"/>
                </w:tcPr>
                <w:p w14:paraId="0C7B6FB8">
                  <w:pPr>
                    <w:spacing w:line="280" w:lineRule="exact"/>
                    <w:jc w:val="center"/>
                    <w:rPr>
                      <w:rFonts w:hint="default" w:eastAsia="宋体"/>
                      <w:sz w:val="18"/>
                      <w:szCs w:val="18"/>
                      <w:lang w:val="en-US" w:eastAsia="zh-CN"/>
                    </w:rPr>
                  </w:pPr>
                  <w:r>
                    <w:rPr>
                      <w:rFonts w:hint="eastAsia"/>
                      <w:sz w:val="18"/>
                      <w:szCs w:val="18"/>
                      <w:lang w:val="en-US" w:eastAsia="zh-CN"/>
                    </w:rPr>
                    <w:t>原料堆存</w:t>
                  </w:r>
                </w:p>
              </w:tc>
              <w:tc>
                <w:tcPr>
                  <w:tcW w:w="3346" w:type="pct"/>
                  <w:vAlign w:val="center"/>
                </w:tcPr>
                <w:p w14:paraId="3D68C312">
                  <w:pPr>
                    <w:spacing w:line="280" w:lineRule="exact"/>
                    <w:jc w:val="left"/>
                    <w:rPr>
                      <w:rFonts w:hint="default"/>
                      <w:sz w:val="18"/>
                      <w:szCs w:val="18"/>
                      <w:vertAlign w:val="baseline"/>
                      <w:lang w:val="en-US" w:eastAsia="zh-CN"/>
                    </w:rPr>
                  </w:pPr>
                  <w:r>
                    <w:rPr>
                      <w:rFonts w:hint="eastAsia"/>
                      <w:sz w:val="18"/>
                      <w:szCs w:val="18"/>
                      <w:lang w:val="en-US" w:eastAsia="zh-CN"/>
                    </w:rPr>
                    <w:t>五车间内设置有木材原料堆存区，占地面积约500m</w:t>
                  </w:r>
                  <w:r>
                    <w:rPr>
                      <w:rFonts w:hint="eastAsia"/>
                      <w:sz w:val="18"/>
                      <w:szCs w:val="18"/>
                      <w:vertAlign w:val="superscript"/>
                      <w:lang w:val="en-US" w:eastAsia="zh-CN"/>
                    </w:rPr>
                    <w:t>2</w:t>
                  </w:r>
                  <w:r>
                    <w:rPr>
                      <w:rFonts w:hint="eastAsia"/>
                      <w:sz w:val="18"/>
                      <w:szCs w:val="18"/>
                      <w:vertAlign w:val="baseline"/>
                      <w:lang w:val="en-US" w:eastAsia="zh-CN"/>
                    </w:rPr>
                    <w:t>；各车间内均设置有原料临时堆存区。</w:t>
                  </w:r>
                </w:p>
              </w:tc>
              <w:tc>
                <w:tcPr>
                  <w:tcW w:w="430" w:type="pct"/>
                  <w:vAlign w:val="center"/>
                </w:tcPr>
                <w:p w14:paraId="781B76AF">
                  <w:pPr>
                    <w:spacing w:line="280" w:lineRule="exact"/>
                    <w:jc w:val="center"/>
                    <w:rPr>
                      <w:rFonts w:hint="default"/>
                      <w:sz w:val="18"/>
                      <w:szCs w:val="18"/>
                      <w:lang w:val="en-US" w:eastAsia="zh-CN"/>
                    </w:rPr>
                  </w:pPr>
                  <w:r>
                    <w:rPr>
                      <w:rFonts w:hint="eastAsia"/>
                      <w:sz w:val="18"/>
                      <w:szCs w:val="18"/>
                      <w:lang w:val="en-US" w:eastAsia="zh-CN"/>
                    </w:rPr>
                    <w:t>新建</w:t>
                  </w:r>
                </w:p>
              </w:tc>
            </w:tr>
            <w:tr w14:paraId="6D36C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restart"/>
                  <w:vAlign w:val="center"/>
                </w:tcPr>
                <w:p w14:paraId="31061824">
                  <w:pPr>
                    <w:spacing w:line="280" w:lineRule="exact"/>
                    <w:jc w:val="center"/>
                    <w:rPr>
                      <w:color w:val="FF0000"/>
                      <w:sz w:val="18"/>
                      <w:szCs w:val="18"/>
                    </w:rPr>
                  </w:pPr>
                  <w:r>
                    <w:rPr>
                      <w:sz w:val="18"/>
                      <w:szCs w:val="18"/>
                    </w:rPr>
                    <w:t>公用工程</w:t>
                  </w:r>
                </w:p>
              </w:tc>
              <w:tc>
                <w:tcPr>
                  <w:tcW w:w="940" w:type="pct"/>
                  <w:vAlign w:val="center"/>
                </w:tcPr>
                <w:p w14:paraId="7E9ECA26">
                  <w:pPr>
                    <w:spacing w:line="280" w:lineRule="exact"/>
                    <w:jc w:val="center"/>
                    <w:rPr>
                      <w:bCs/>
                      <w:sz w:val="18"/>
                      <w:szCs w:val="18"/>
                    </w:rPr>
                  </w:pPr>
                  <w:r>
                    <w:rPr>
                      <w:bCs/>
                      <w:sz w:val="18"/>
                      <w:szCs w:val="18"/>
                    </w:rPr>
                    <w:t>供暖</w:t>
                  </w:r>
                </w:p>
              </w:tc>
              <w:tc>
                <w:tcPr>
                  <w:tcW w:w="3346" w:type="pct"/>
                  <w:vAlign w:val="center"/>
                </w:tcPr>
                <w:p w14:paraId="59EC35E7">
                  <w:pPr>
                    <w:spacing w:line="280" w:lineRule="exact"/>
                    <w:jc w:val="left"/>
                    <w:rPr>
                      <w:kern w:val="0"/>
                      <w:sz w:val="18"/>
                      <w:szCs w:val="18"/>
                    </w:rPr>
                  </w:pPr>
                  <w:r>
                    <w:rPr>
                      <w:rFonts w:hint="eastAsia"/>
                      <w:bCs/>
                      <w:color w:val="000000"/>
                      <w:sz w:val="18"/>
                      <w:szCs w:val="18"/>
                      <w:lang w:val="en-US" w:eastAsia="zh-CN"/>
                    </w:rPr>
                    <w:t>采用集中园区供暖</w:t>
                  </w:r>
                  <w:r>
                    <w:rPr>
                      <w:rFonts w:hint="eastAsia"/>
                      <w:bCs/>
                      <w:color w:val="000000"/>
                      <w:sz w:val="18"/>
                      <w:szCs w:val="18"/>
                    </w:rPr>
                    <w:t>。</w:t>
                  </w:r>
                </w:p>
              </w:tc>
              <w:tc>
                <w:tcPr>
                  <w:tcW w:w="430" w:type="pct"/>
                  <w:vAlign w:val="center"/>
                </w:tcPr>
                <w:p w14:paraId="67A296B1">
                  <w:pPr>
                    <w:spacing w:line="280" w:lineRule="exact"/>
                    <w:jc w:val="center"/>
                    <w:rPr>
                      <w:sz w:val="18"/>
                      <w:szCs w:val="18"/>
                    </w:rPr>
                  </w:pPr>
                  <w:r>
                    <w:rPr>
                      <w:rFonts w:hint="eastAsia"/>
                      <w:sz w:val="18"/>
                      <w:szCs w:val="18"/>
                      <w:lang w:val="en-US" w:eastAsia="zh-CN"/>
                    </w:rPr>
                    <w:t>新建</w:t>
                  </w:r>
                </w:p>
              </w:tc>
            </w:tr>
            <w:tr w14:paraId="6EFD7E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6C974E75">
                  <w:pPr>
                    <w:spacing w:line="280" w:lineRule="exact"/>
                    <w:jc w:val="center"/>
                    <w:rPr>
                      <w:sz w:val="18"/>
                      <w:szCs w:val="18"/>
                    </w:rPr>
                  </w:pPr>
                </w:p>
              </w:tc>
              <w:tc>
                <w:tcPr>
                  <w:tcW w:w="940" w:type="pct"/>
                  <w:vAlign w:val="center"/>
                </w:tcPr>
                <w:p w14:paraId="36165839">
                  <w:pPr>
                    <w:spacing w:line="280" w:lineRule="exact"/>
                    <w:jc w:val="center"/>
                    <w:rPr>
                      <w:rFonts w:hint="eastAsia" w:eastAsia="宋体"/>
                      <w:bCs/>
                      <w:sz w:val="18"/>
                      <w:szCs w:val="18"/>
                      <w:lang w:val="en-US" w:eastAsia="zh-CN"/>
                    </w:rPr>
                  </w:pPr>
                  <w:r>
                    <w:rPr>
                      <w:rFonts w:hint="eastAsia"/>
                      <w:bCs/>
                      <w:sz w:val="18"/>
                      <w:szCs w:val="18"/>
                      <w:lang w:val="en-US" w:eastAsia="zh-CN"/>
                    </w:rPr>
                    <w:t>供热</w:t>
                  </w:r>
                </w:p>
              </w:tc>
              <w:tc>
                <w:tcPr>
                  <w:tcW w:w="3346" w:type="pct"/>
                  <w:vAlign w:val="center"/>
                </w:tcPr>
                <w:p w14:paraId="16F1F2AA">
                  <w:pPr>
                    <w:spacing w:line="280" w:lineRule="exact"/>
                    <w:jc w:val="left"/>
                    <w:rPr>
                      <w:rFonts w:hint="default" w:eastAsia="宋体"/>
                      <w:bCs/>
                      <w:color w:val="000000"/>
                      <w:sz w:val="18"/>
                      <w:szCs w:val="18"/>
                      <w:lang w:val="en-US" w:eastAsia="zh-CN"/>
                    </w:rPr>
                  </w:pPr>
                  <w:r>
                    <w:rPr>
                      <w:rFonts w:hint="eastAsia"/>
                      <w:bCs/>
                      <w:color w:val="000000"/>
                      <w:sz w:val="18"/>
                      <w:szCs w:val="18"/>
                      <w:lang w:val="en-US" w:eastAsia="zh-CN"/>
                    </w:rPr>
                    <w:t>厂区设置有1台干燥窑，位于五车间内，由1台2t/h天然气锅炉供热，主要为木质材料周期式烘干工序；1座隧道窑，位于一车间内，使用天然气燃料，主要为青砖半成品烧制。</w:t>
                  </w:r>
                </w:p>
              </w:tc>
              <w:tc>
                <w:tcPr>
                  <w:tcW w:w="430" w:type="pct"/>
                  <w:vAlign w:val="center"/>
                </w:tcPr>
                <w:p w14:paraId="28247DCB">
                  <w:pPr>
                    <w:spacing w:line="280" w:lineRule="exact"/>
                    <w:jc w:val="center"/>
                    <w:rPr>
                      <w:sz w:val="18"/>
                      <w:szCs w:val="18"/>
                    </w:rPr>
                  </w:pPr>
                  <w:r>
                    <w:rPr>
                      <w:rFonts w:hint="eastAsia"/>
                      <w:sz w:val="18"/>
                      <w:szCs w:val="18"/>
                      <w:lang w:val="en-US" w:eastAsia="zh-CN"/>
                    </w:rPr>
                    <w:t>新建</w:t>
                  </w:r>
                </w:p>
              </w:tc>
            </w:tr>
            <w:tr w14:paraId="031D9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1BCCC5FF">
                  <w:pPr>
                    <w:spacing w:line="280" w:lineRule="exact"/>
                    <w:jc w:val="center"/>
                    <w:rPr>
                      <w:color w:val="FF0000"/>
                      <w:sz w:val="18"/>
                      <w:szCs w:val="18"/>
                    </w:rPr>
                  </w:pPr>
                </w:p>
              </w:tc>
              <w:tc>
                <w:tcPr>
                  <w:tcW w:w="940" w:type="pct"/>
                  <w:vAlign w:val="center"/>
                </w:tcPr>
                <w:p w14:paraId="4A5E7F16">
                  <w:pPr>
                    <w:spacing w:line="280" w:lineRule="exact"/>
                    <w:jc w:val="center"/>
                    <w:rPr>
                      <w:bCs/>
                      <w:sz w:val="18"/>
                      <w:szCs w:val="18"/>
                    </w:rPr>
                  </w:pPr>
                  <w:r>
                    <w:rPr>
                      <w:sz w:val="18"/>
                      <w:szCs w:val="18"/>
                    </w:rPr>
                    <w:t>供水</w:t>
                  </w:r>
                </w:p>
              </w:tc>
              <w:tc>
                <w:tcPr>
                  <w:tcW w:w="3346" w:type="pct"/>
                  <w:vAlign w:val="center"/>
                </w:tcPr>
                <w:p w14:paraId="1CE46A1D">
                  <w:pPr>
                    <w:spacing w:line="280" w:lineRule="exact"/>
                    <w:rPr>
                      <w:spacing w:val="4"/>
                      <w:sz w:val="18"/>
                      <w:szCs w:val="18"/>
                    </w:rPr>
                  </w:pPr>
                  <w:r>
                    <w:rPr>
                      <w:rFonts w:hint="eastAsia"/>
                      <w:spacing w:val="4"/>
                      <w:sz w:val="18"/>
                      <w:szCs w:val="18"/>
                    </w:rPr>
                    <w:t>由园区自来水管网提供。</w:t>
                  </w:r>
                </w:p>
              </w:tc>
              <w:tc>
                <w:tcPr>
                  <w:tcW w:w="430" w:type="pct"/>
                  <w:vAlign w:val="center"/>
                </w:tcPr>
                <w:p w14:paraId="549AF9EA">
                  <w:pPr>
                    <w:spacing w:line="280" w:lineRule="exact"/>
                    <w:jc w:val="center"/>
                    <w:rPr>
                      <w:sz w:val="18"/>
                      <w:szCs w:val="18"/>
                    </w:rPr>
                  </w:pPr>
                  <w:r>
                    <w:rPr>
                      <w:rFonts w:hint="eastAsia"/>
                      <w:sz w:val="18"/>
                      <w:szCs w:val="18"/>
                      <w:lang w:val="en-US" w:eastAsia="zh-CN"/>
                    </w:rPr>
                    <w:t>新建</w:t>
                  </w:r>
                </w:p>
              </w:tc>
            </w:tr>
            <w:tr w14:paraId="5D73C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470C6390">
                  <w:pPr>
                    <w:spacing w:line="280" w:lineRule="exact"/>
                    <w:jc w:val="center"/>
                    <w:rPr>
                      <w:color w:val="FF0000"/>
                      <w:sz w:val="18"/>
                      <w:szCs w:val="18"/>
                    </w:rPr>
                  </w:pPr>
                </w:p>
              </w:tc>
              <w:tc>
                <w:tcPr>
                  <w:tcW w:w="940" w:type="pct"/>
                  <w:vAlign w:val="center"/>
                </w:tcPr>
                <w:p w14:paraId="288912CD">
                  <w:pPr>
                    <w:spacing w:line="280" w:lineRule="exact"/>
                    <w:jc w:val="center"/>
                    <w:rPr>
                      <w:bCs/>
                      <w:sz w:val="18"/>
                      <w:szCs w:val="18"/>
                    </w:rPr>
                  </w:pPr>
                  <w:r>
                    <w:rPr>
                      <w:bCs/>
                      <w:sz w:val="18"/>
                      <w:szCs w:val="18"/>
                    </w:rPr>
                    <w:t>排水</w:t>
                  </w:r>
                </w:p>
              </w:tc>
              <w:tc>
                <w:tcPr>
                  <w:tcW w:w="3346" w:type="pct"/>
                  <w:vAlign w:val="center"/>
                </w:tcPr>
                <w:p w14:paraId="2A07A88F">
                  <w:pPr>
                    <w:spacing w:line="280" w:lineRule="exact"/>
                    <w:jc w:val="left"/>
                    <w:rPr>
                      <w:color w:val="000000"/>
                      <w:kern w:val="0"/>
                      <w:sz w:val="18"/>
                      <w:szCs w:val="18"/>
                    </w:rPr>
                  </w:pPr>
                  <w:r>
                    <w:rPr>
                      <w:color w:val="000000"/>
                      <w:kern w:val="0"/>
                      <w:sz w:val="18"/>
                      <w:szCs w:val="18"/>
                    </w:rPr>
                    <w:t>雨污分流制</w:t>
                  </w:r>
                  <w:r>
                    <w:rPr>
                      <w:rFonts w:hint="eastAsia"/>
                      <w:color w:val="000000"/>
                      <w:kern w:val="0"/>
                      <w:sz w:val="18"/>
                      <w:szCs w:val="18"/>
                    </w:rPr>
                    <w:t>；</w:t>
                  </w:r>
                </w:p>
                <w:p w14:paraId="74C1D9D2">
                  <w:pPr>
                    <w:spacing w:line="280" w:lineRule="exact"/>
                    <w:jc w:val="left"/>
                    <w:rPr>
                      <w:bCs/>
                      <w:color w:val="000000"/>
                      <w:sz w:val="18"/>
                      <w:szCs w:val="18"/>
                    </w:rPr>
                  </w:pPr>
                  <w:r>
                    <w:rPr>
                      <w:color w:val="000000"/>
                      <w:kern w:val="0"/>
                      <w:sz w:val="18"/>
                      <w:szCs w:val="18"/>
                    </w:rPr>
                    <w:t>职工生活污水</w:t>
                  </w:r>
                  <w:r>
                    <w:rPr>
                      <w:rFonts w:hint="eastAsia"/>
                      <w:bCs/>
                      <w:color w:val="000000"/>
                      <w:sz w:val="18"/>
                      <w:szCs w:val="18"/>
                    </w:rPr>
                    <w:t>进入厂</w:t>
                  </w:r>
                  <w:r>
                    <w:rPr>
                      <w:bCs/>
                      <w:color w:val="000000"/>
                      <w:sz w:val="18"/>
                      <w:szCs w:val="18"/>
                    </w:rPr>
                    <w:t>区化粪池</w:t>
                  </w:r>
                  <w:r>
                    <w:rPr>
                      <w:rFonts w:hint="eastAsia"/>
                      <w:bCs/>
                      <w:color w:val="000000"/>
                      <w:sz w:val="18"/>
                      <w:szCs w:val="18"/>
                    </w:rPr>
                    <w:t>，</w:t>
                  </w:r>
                  <w:r>
                    <w:rPr>
                      <w:bCs/>
                      <w:color w:val="000000"/>
                      <w:sz w:val="18"/>
                      <w:szCs w:val="18"/>
                    </w:rPr>
                    <w:t>之后通入污水管网</w:t>
                  </w:r>
                  <w:r>
                    <w:rPr>
                      <w:rFonts w:hint="eastAsia"/>
                      <w:bCs/>
                      <w:color w:val="000000"/>
                      <w:sz w:val="18"/>
                      <w:szCs w:val="18"/>
                    </w:rPr>
                    <w:t>，</w:t>
                  </w:r>
                  <w:r>
                    <w:rPr>
                      <w:bCs/>
                      <w:color w:val="000000"/>
                      <w:sz w:val="18"/>
                      <w:szCs w:val="18"/>
                    </w:rPr>
                    <w:t>最终进入大同市御东污水处理厂</w:t>
                  </w:r>
                  <w:r>
                    <w:rPr>
                      <w:rFonts w:hint="eastAsia"/>
                      <w:bCs/>
                      <w:color w:val="000000"/>
                      <w:sz w:val="18"/>
                      <w:szCs w:val="18"/>
                    </w:rPr>
                    <w:t>；</w:t>
                  </w:r>
                </w:p>
                <w:p w14:paraId="7B4B0B25">
                  <w:pPr>
                    <w:spacing w:line="280" w:lineRule="exact"/>
                    <w:jc w:val="left"/>
                    <w:rPr>
                      <w:sz w:val="18"/>
                      <w:szCs w:val="18"/>
                    </w:rPr>
                  </w:pPr>
                  <w:r>
                    <w:rPr>
                      <w:rFonts w:hint="eastAsia"/>
                      <w:bCs/>
                      <w:color w:val="000000"/>
                      <w:sz w:val="18"/>
                      <w:szCs w:val="18"/>
                    </w:rPr>
                    <w:t>雨水经厂区雨水管道进入园区雨水管道。</w:t>
                  </w:r>
                </w:p>
              </w:tc>
              <w:tc>
                <w:tcPr>
                  <w:tcW w:w="430" w:type="pct"/>
                  <w:vAlign w:val="center"/>
                </w:tcPr>
                <w:p w14:paraId="70E3F91B">
                  <w:pPr>
                    <w:spacing w:line="280" w:lineRule="exact"/>
                    <w:jc w:val="center"/>
                    <w:rPr>
                      <w:sz w:val="18"/>
                      <w:szCs w:val="18"/>
                    </w:rPr>
                  </w:pPr>
                  <w:r>
                    <w:rPr>
                      <w:rFonts w:hint="eastAsia"/>
                      <w:sz w:val="18"/>
                      <w:szCs w:val="18"/>
                      <w:lang w:val="en-US" w:eastAsia="zh-CN"/>
                    </w:rPr>
                    <w:t>新建</w:t>
                  </w:r>
                </w:p>
              </w:tc>
            </w:tr>
            <w:tr w14:paraId="6759AF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28E7902F">
                  <w:pPr>
                    <w:spacing w:line="280" w:lineRule="exact"/>
                    <w:jc w:val="center"/>
                    <w:rPr>
                      <w:color w:val="FF0000"/>
                      <w:sz w:val="18"/>
                      <w:szCs w:val="18"/>
                    </w:rPr>
                  </w:pPr>
                </w:p>
              </w:tc>
              <w:tc>
                <w:tcPr>
                  <w:tcW w:w="940" w:type="pct"/>
                  <w:vAlign w:val="center"/>
                </w:tcPr>
                <w:p w14:paraId="5B4875AB">
                  <w:pPr>
                    <w:spacing w:line="280" w:lineRule="exact"/>
                    <w:jc w:val="center"/>
                    <w:rPr>
                      <w:bCs/>
                      <w:sz w:val="18"/>
                      <w:szCs w:val="18"/>
                    </w:rPr>
                  </w:pPr>
                  <w:r>
                    <w:rPr>
                      <w:bCs/>
                      <w:sz w:val="18"/>
                      <w:szCs w:val="18"/>
                    </w:rPr>
                    <w:t>供电</w:t>
                  </w:r>
                </w:p>
              </w:tc>
              <w:tc>
                <w:tcPr>
                  <w:tcW w:w="3346" w:type="pct"/>
                  <w:vAlign w:val="center"/>
                </w:tcPr>
                <w:p w14:paraId="703BF26A">
                  <w:pPr>
                    <w:spacing w:line="280" w:lineRule="exact"/>
                    <w:jc w:val="left"/>
                    <w:rPr>
                      <w:sz w:val="18"/>
                      <w:szCs w:val="18"/>
                    </w:rPr>
                  </w:pPr>
                  <w:r>
                    <w:rPr>
                      <w:sz w:val="18"/>
                      <w:szCs w:val="18"/>
                    </w:rPr>
                    <w:t>电源引自</w:t>
                  </w:r>
                  <w:r>
                    <w:rPr>
                      <w:rFonts w:hint="eastAsia"/>
                      <w:sz w:val="18"/>
                      <w:szCs w:val="18"/>
                    </w:rPr>
                    <w:t>附近</w:t>
                  </w:r>
                  <w:r>
                    <w:rPr>
                      <w:sz w:val="18"/>
                      <w:szCs w:val="18"/>
                    </w:rPr>
                    <w:t>变电线，厂区内配电室</w:t>
                  </w:r>
                  <w:r>
                    <w:rPr>
                      <w:rFonts w:hint="eastAsia"/>
                      <w:sz w:val="18"/>
                      <w:szCs w:val="18"/>
                    </w:rPr>
                    <w:t>，4套</w:t>
                  </w:r>
                  <w:r>
                    <w:rPr>
                      <w:sz w:val="18"/>
                      <w:szCs w:val="18"/>
                    </w:rPr>
                    <w:t>500kVA</w:t>
                  </w:r>
                  <w:r>
                    <w:rPr>
                      <w:rFonts w:hint="eastAsia"/>
                      <w:sz w:val="18"/>
                      <w:szCs w:val="18"/>
                    </w:rPr>
                    <w:t>变压器。</w:t>
                  </w:r>
                </w:p>
              </w:tc>
              <w:tc>
                <w:tcPr>
                  <w:tcW w:w="430" w:type="pct"/>
                  <w:vAlign w:val="center"/>
                </w:tcPr>
                <w:p w14:paraId="66E8E220">
                  <w:pPr>
                    <w:spacing w:line="280" w:lineRule="exact"/>
                    <w:jc w:val="center"/>
                    <w:rPr>
                      <w:sz w:val="18"/>
                      <w:szCs w:val="18"/>
                    </w:rPr>
                  </w:pPr>
                </w:p>
              </w:tc>
            </w:tr>
            <w:tr w14:paraId="511D2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2ACEE7D7">
                  <w:pPr>
                    <w:spacing w:line="280" w:lineRule="exact"/>
                    <w:jc w:val="center"/>
                    <w:rPr>
                      <w:color w:val="FF0000"/>
                      <w:sz w:val="18"/>
                      <w:szCs w:val="18"/>
                    </w:rPr>
                  </w:pPr>
                </w:p>
              </w:tc>
              <w:tc>
                <w:tcPr>
                  <w:tcW w:w="940" w:type="pct"/>
                  <w:vAlign w:val="center"/>
                </w:tcPr>
                <w:p w14:paraId="1723459C">
                  <w:pPr>
                    <w:spacing w:line="280" w:lineRule="exact"/>
                    <w:jc w:val="center"/>
                    <w:rPr>
                      <w:bCs/>
                      <w:sz w:val="18"/>
                      <w:szCs w:val="18"/>
                    </w:rPr>
                  </w:pPr>
                  <w:r>
                    <w:rPr>
                      <w:bCs/>
                      <w:sz w:val="18"/>
                      <w:szCs w:val="18"/>
                    </w:rPr>
                    <w:t>供气</w:t>
                  </w:r>
                </w:p>
              </w:tc>
              <w:tc>
                <w:tcPr>
                  <w:tcW w:w="3346" w:type="pct"/>
                  <w:vAlign w:val="center"/>
                </w:tcPr>
                <w:p w14:paraId="3B3EB5DF">
                  <w:pPr>
                    <w:spacing w:line="280" w:lineRule="exact"/>
                    <w:jc w:val="left"/>
                    <w:rPr>
                      <w:sz w:val="18"/>
                      <w:szCs w:val="18"/>
                    </w:rPr>
                  </w:pPr>
                  <w:r>
                    <w:rPr>
                      <w:sz w:val="18"/>
                      <w:szCs w:val="18"/>
                    </w:rPr>
                    <w:t>由华润燃气提供</w:t>
                  </w:r>
                  <w:r>
                    <w:rPr>
                      <w:rFonts w:hint="eastAsia"/>
                      <w:sz w:val="18"/>
                      <w:szCs w:val="18"/>
                    </w:rPr>
                    <w:t>。</w:t>
                  </w:r>
                </w:p>
              </w:tc>
              <w:tc>
                <w:tcPr>
                  <w:tcW w:w="430" w:type="pct"/>
                  <w:vAlign w:val="center"/>
                </w:tcPr>
                <w:p w14:paraId="1926FA2C">
                  <w:pPr>
                    <w:spacing w:line="280" w:lineRule="exact"/>
                    <w:jc w:val="center"/>
                    <w:rPr>
                      <w:sz w:val="18"/>
                      <w:szCs w:val="18"/>
                    </w:rPr>
                  </w:pPr>
                </w:p>
              </w:tc>
            </w:tr>
            <w:tr w14:paraId="2BD229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6F82E652">
                  <w:pPr>
                    <w:spacing w:line="280" w:lineRule="exact"/>
                    <w:jc w:val="center"/>
                    <w:rPr>
                      <w:color w:val="FF0000"/>
                      <w:sz w:val="18"/>
                      <w:szCs w:val="18"/>
                    </w:rPr>
                  </w:pPr>
                </w:p>
              </w:tc>
              <w:tc>
                <w:tcPr>
                  <w:tcW w:w="940" w:type="pct"/>
                  <w:vAlign w:val="center"/>
                </w:tcPr>
                <w:p w14:paraId="68CB702A">
                  <w:pPr>
                    <w:spacing w:line="280" w:lineRule="exact"/>
                    <w:jc w:val="center"/>
                    <w:rPr>
                      <w:spacing w:val="4"/>
                      <w:sz w:val="18"/>
                      <w:szCs w:val="18"/>
                    </w:rPr>
                  </w:pPr>
                  <w:r>
                    <w:rPr>
                      <w:bCs/>
                      <w:sz w:val="18"/>
                      <w:szCs w:val="18"/>
                    </w:rPr>
                    <w:t>道路</w:t>
                  </w:r>
                </w:p>
              </w:tc>
              <w:tc>
                <w:tcPr>
                  <w:tcW w:w="3346" w:type="pct"/>
                  <w:vAlign w:val="center"/>
                </w:tcPr>
                <w:p w14:paraId="46C3032D">
                  <w:pPr>
                    <w:spacing w:line="280" w:lineRule="exact"/>
                    <w:jc w:val="left"/>
                    <w:rPr>
                      <w:spacing w:val="4"/>
                      <w:sz w:val="18"/>
                      <w:szCs w:val="18"/>
                    </w:rPr>
                  </w:pPr>
                  <w:r>
                    <w:rPr>
                      <w:bCs/>
                      <w:spacing w:val="4"/>
                      <w:sz w:val="18"/>
                      <w:szCs w:val="18"/>
                    </w:rPr>
                    <w:t>厂区内道路及场地全部硬化</w:t>
                  </w:r>
                  <w:r>
                    <w:rPr>
                      <w:rFonts w:hint="eastAsia"/>
                      <w:bCs/>
                      <w:spacing w:val="4"/>
                      <w:sz w:val="18"/>
                      <w:szCs w:val="18"/>
                    </w:rPr>
                    <w:t>。</w:t>
                  </w:r>
                </w:p>
              </w:tc>
              <w:tc>
                <w:tcPr>
                  <w:tcW w:w="430" w:type="pct"/>
                  <w:vAlign w:val="center"/>
                </w:tcPr>
                <w:p w14:paraId="203EFEEE">
                  <w:pPr>
                    <w:spacing w:line="280" w:lineRule="exact"/>
                    <w:jc w:val="center"/>
                    <w:rPr>
                      <w:sz w:val="18"/>
                      <w:szCs w:val="18"/>
                    </w:rPr>
                  </w:pPr>
                  <w:r>
                    <w:rPr>
                      <w:sz w:val="18"/>
                      <w:szCs w:val="18"/>
                    </w:rPr>
                    <w:t>新建</w:t>
                  </w:r>
                </w:p>
              </w:tc>
            </w:tr>
            <w:tr w14:paraId="1BB363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282" w:type="pct"/>
                  <w:vMerge w:val="restart"/>
                  <w:vAlign w:val="center"/>
                </w:tcPr>
                <w:p w14:paraId="230DBC12">
                  <w:pPr>
                    <w:spacing w:line="280" w:lineRule="exact"/>
                    <w:jc w:val="center"/>
                    <w:rPr>
                      <w:sz w:val="18"/>
                      <w:szCs w:val="18"/>
                    </w:rPr>
                  </w:pPr>
                  <w:r>
                    <w:rPr>
                      <w:sz w:val="18"/>
                      <w:szCs w:val="18"/>
                    </w:rPr>
                    <w:t>环保工程</w:t>
                  </w:r>
                </w:p>
              </w:tc>
              <w:tc>
                <w:tcPr>
                  <w:tcW w:w="940" w:type="pct"/>
                  <w:vAlign w:val="center"/>
                </w:tcPr>
                <w:p w14:paraId="454E823C">
                  <w:pPr>
                    <w:spacing w:line="280" w:lineRule="exact"/>
                    <w:jc w:val="center"/>
                    <w:rPr>
                      <w:rFonts w:hint="eastAsia" w:eastAsia="宋体"/>
                      <w:sz w:val="18"/>
                      <w:szCs w:val="18"/>
                      <w:lang w:val="en-US" w:eastAsia="zh-CN"/>
                    </w:rPr>
                  </w:pPr>
                  <w:r>
                    <w:rPr>
                      <w:rFonts w:hint="eastAsia"/>
                      <w:sz w:val="18"/>
                      <w:szCs w:val="18"/>
                      <w:lang w:val="en-US" w:eastAsia="zh-CN"/>
                    </w:rPr>
                    <w:t>废气</w:t>
                  </w:r>
                </w:p>
              </w:tc>
              <w:tc>
                <w:tcPr>
                  <w:tcW w:w="3346" w:type="pct"/>
                  <w:vAlign w:val="center"/>
                </w:tcPr>
                <w:p w14:paraId="020A665E">
                  <w:pPr>
                    <w:spacing w:line="280" w:lineRule="exact"/>
                    <w:jc w:val="left"/>
                    <w:rPr>
                      <w:sz w:val="18"/>
                      <w:szCs w:val="18"/>
                    </w:rPr>
                  </w:pPr>
                  <w:r>
                    <w:rPr>
                      <w:sz w:val="18"/>
                      <w:szCs w:val="18"/>
                    </w:rPr>
                    <w:t>木材</w:t>
                  </w:r>
                  <w:r>
                    <w:rPr>
                      <w:rFonts w:hint="eastAsia"/>
                      <w:sz w:val="18"/>
                      <w:szCs w:val="18"/>
                      <w:lang w:val="en-US" w:eastAsia="zh-CN"/>
                    </w:rPr>
                    <w:t>加工</w:t>
                  </w:r>
                  <w:r>
                    <w:rPr>
                      <w:sz w:val="18"/>
                      <w:szCs w:val="18"/>
                    </w:rPr>
                    <w:t>粉尘</w:t>
                  </w:r>
                  <w:r>
                    <w:rPr>
                      <w:rFonts w:hint="eastAsia"/>
                      <w:sz w:val="18"/>
                      <w:szCs w:val="18"/>
                    </w:rPr>
                    <w:t>：</w:t>
                  </w:r>
                  <w:r>
                    <w:rPr>
                      <w:rFonts w:hint="eastAsia"/>
                      <w:sz w:val="18"/>
                      <w:szCs w:val="18"/>
                      <w:lang w:val="en-US" w:eastAsia="zh-CN"/>
                    </w:rPr>
                    <w:t>五车间、四车间内产尘</w:t>
                  </w:r>
                  <w:r>
                    <w:rPr>
                      <w:sz w:val="18"/>
                      <w:szCs w:val="18"/>
                    </w:rPr>
                    <w:t>设备上方设置</w:t>
                  </w:r>
                  <w:r>
                    <w:rPr>
                      <w:rFonts w:hint="eastAsia"/>
                      <w:sz w:val="18"/>
                      <w:szCs w:val="18"/>
                      <w:lang w:val="en-US" w:eastAsia="zh-CN"/>
                    </w:rPr>
                    <w:t>矩形</w:t>
                  </w:r>
                  <w:r>
                    <w:rPr>
                      <w:sz w:val="18"/>
                      <w:szCs w:val="18"/>
                    </w:rPr>
                    <w:t>集气罩，</w:t>
                  </w:r>
                  <w:r>
                    <w:rPr>
                      <w:rFonts w:hint="eastAsia"/>
                      <w:sz w:val="18"/>
                      <w:szCs w:val="18"/>
                      <w:lang w:val="en-US" w:eastAsia="zh-CN"/>
                    </w:rPr>
                    <w:t>在五</w:t>
                  </w:r>
                  <w:r>
                    <w:rPr>
                      <w:sz w:val="18"/>
                      <w:szCs w:val="18"/>
                    </w:rPr>
                    <w:t>车间北侧设置1#布袋除尘器，集气效率9</w:t>
                  </w:r>
                  <w:r>
                    <w:rPr>
                      <w:rFonts w:hint="eastAsia"/>
                      <w:sz w:val="18"/>
                      <w:szCs w:val="18"/>
                      <w:lang w:val="en-US" w:eastAsia="zh-CN"/>
                    </w:rPr>
                    <w:t>5</w:t>
                  </w:r>
                  <w:r>
                    <w:rPr>
                      <w:sz w:val="18"/>
                      <w:szCs w:val="18"/>
                    </w:rPr>
                    <w:t>%，除尘效率99%，处理达标后经DA001（H15m，φ0.</w:t>
                  </w:r>
                  <w:r>
                    <w:rPr>
                      <w:rFonts w:hint="eastAsia"/>
                      <w:sz w:val="18"/>
                      <w:szCs w:val="18"/>
                      <w:lang w:val="en-US" w:eastAsia="zh-CN"/>
                    </w:rPr>
                    <w:t>5</w:t>
                  </w:r>
                  <w:r>
                    <w:rPr>
                      <w:sz w:val="18"/>
                      <w:szCs w:val="18"/>
                    </w:rPr>
                    <w:t>m）排入大气环境；</w:t>
                  </w:r>
                  <w:r>
                    <w:rPr>
                      <w:rFonts w:hint="eastAsia"/>
                      <w:sz w:val="18"/>
                      <w:szCs w:val="18"/>
                      <w:lang w:val="en-US" w:eastAsia="zh-CN"/>
                    </w:rPr>
                    <w:t>同时</w:t>
                  </w:r>
                  <w:r>
                    <w:rPr>
                      <w:sz w:val="18"/>
                      <w:szCs w:val="18"/>
                    </w:rPr>
                    <w:t>封闭式车间、加强通风、清扫等；</w:t>
                  </w:r>
                </w:p>
                <w:p w14:paraId="2165AE9D">
                  <w:pPr>
                    <w:spacing w:line="280" w:lineRule="exact"/>
                    <w:jc w:val="left"/>
                    <w:rPr>
                      <w:sz w:val="18"/>
                      <w:szCs w:val="18"/>
                    </w:rPr>
                  </w:pPr>
                  <w:r>
                    <w:rPr>
                      <w:sz w:val="18"/>
                      <w:szCs w:val="18"/>
                    </w:rPr>
                    <w:t>木质产品</w:t>
                  </w:r>
                  <w:r>
                    <w:rPr>
                      <w:rFonts w:hint="eastAsia"/>
                      <w:sz w:val="18"/>
                      <w:szCs w:val="18"/>
                      <w:lang w:val="en-US" w:eastAsia="zh-CN"/>
                    </w:rPr>
                    <w:t>表面处理</w:t>
                  </w:r>
                  <w:r>
                    <w:rPr>
                      <w:sz w:val="18"/>
                      <w:szCs w:val="18"/>
                    </w:rPr>
                    <w:t>粉尘</w:t>
                  </w:r>
                  <w:r>
                    <w:rPr>
                      <w:rFonts w:hint="eastAsia"/>
                      <w:sz w:val="18"/>
                      <w:szCs w:val="18"/>
                    </w:rPr>
                    <w:t>：</w:t>
                  </w:r>
                  <w:r>
                    <w:rPr>
                      <w:rFonts w:hint="eastAsia"/>
                      <w:sz w:val="18"/>
                      <w:szCs w:val="18"/>
                      <w:lang w:val="en-US" w:eastAsia="zh-CN"/>
                    </w:rPr>
                    <w:t>三车间内产尘</w:t>
                  </w:r>
                  <w:r>
                    <w:rPr>
                      <w:sz w:val="18"/>
                      <w:szCs w:val="18"/>
                    </w:rPr>
                    <w:t>设备上方设置</w:t>
                  </w:r>
                  <w:r>
                    <w:rPr>
                      <w:rFonts w:hint="eastAsia"/>
                      <w:sz w:val="18"/>
                      <w:szCs w:val="18"/>
                      <w:lang w:val="en-US" w:eastAsia="zh-CN"/>
                    </w:rPr>
                    <w:t>矩形</w:t>
                  </w:r>
                  <w:r>
                    <w:rPr>
                      <w:sz w:val="18"/>
                      <w:szCs w:val="18"/>
                    </w:rPr>
                    <w:t>集气罩，加工三车间</w:t>
                  </w:r>
                  <w:r>
                    <w:rPr>
                      <w:rFonts w:hint="eastAsia"/>
                      <w:sz w:val="18"/>
                      <w:szCs w:val="18"/>
                      <w:lang w:val="en-US" w:eastAsia="zh-CN"/>
                    </w:rPr>
                    <w:t>南</w:t>
                  </w:r>
                  <w:r>
                    <w:rPr>
                      <w:sz w:val="18"/>
                      <w:szCs w:val="18"/>
                    </w:rPr>
                    <w:t>侧设置2#布袋除尘器，集气效率9</w:t>
                  </w:r>
                  <w:r>
                    <w:rPr>
                      <w:rFonts w:hint="eastAsia"/>
                      <w:sz w:val="18"/>
                      <w:szCs w:val="18"/>
                      <w:lang w:val="en-US" w:eastAsia="zh-CN"/>
                    </w:rPr>
                    <w:t>5</w:t>
                  </w:r>
                  <w:r>
                    <w:rPr>
                      <w:sz w:val="18"/>
                      <w:szCs w:val="18"/>
                    </w:rPr>
                    <w:t>%，除尘效率99%，处理达标后经DA002（H15m，φ0.</w:t>
                  </w:r>
                  <w:r>
                    <w:rPr>
                      <w:rFonts w:hint="eastAsia"/>
                      <w:sz w:val="18"/>
                      <w:szCs w:val="18"/>
                      <w:lang w:val="en-US" w:eastAsia="zh-CN"/>
                    </w:rPr>
                    <w:t>8</w:t>
                  </w:r>
                  <w:r>
                    <w:rPr>
                      <w:sz w:val="18"/>
                      <w:szCs w:val="18"/>
                    </w:rPr>
                    <w:t>m）排入大气环境；</w:t>
                  </w:r>
                  <w:r>
                    <w:rPr>
                      <w:rFonts w:hint="eastAsia"/>
                      <w:sz w:val="18"/>
                      <w:szCs w:val="18"/>
                      <w:lang w:val="en-US" w:eastAsia="zh-CN"/>
                    </w:rPr>
                    <w:t>同时</w:t>
                  </w:r>
                  <w:r>
                    <w:rPr>
                      <w:sz w:val="18"/>
                      <w:szCs w:val="18"/>
                    </w:rPr>
                    <w:t>封闭式车间、加强通风、清扫等；</w:t>
                  </w:r>
                </w:p>
                <w:p w14:paraId="61B90C78">
                  <w:pPr>
                    <w:spacing w:line="280" w:lineRule="exact"/>
                    <w:jc w:val="left"/>
                    <w:rPr>
                      <w:sz w:val="18"/>
                      <w:szCs w:val="18"/>
                    </w:rPr>
                  </w:pPr>
                  <w:r>
                    <w:rPr>
                      <w:rFonts w:hint="eastAsia"/>
                      <w:sz w:val="18"/>
                      <w:szCs w:val="18"/>
                      <w:lang w:val="en-US" w:eastAsia="zh-CN"/>
                    </w:rPr>
                    <w:t>有机废气：五车间的干燥废气、四车间的胶粘废、三车间的喷漆废气，经收集后利用风管将废气通入1套有机废气处理装置，采用“干式过滤+活性炭吸附+CO催化燃烧”工艺，</w:t>
                  </w:r>
                  <w:r>
                    <w:rPr>
                      <w:sz w:val="18"/>
                      <w:szCs w:val="18"/>
                    </w:rPr>
                    <w:t>除尘效率9</w:t>
                  </w:r>
                  <w:r>
                    <w:rPr>
                      <w:rFonts w:hint="eastAsia"/>
                      <w:sz w:val="18"/>
                      <w:szCs w:val="18"/>
                      <w:lang w:val="en-US" w:eastAsia="zh-CN"/>
                    </w:rPr>
                    <w:t>0</w:t>
                  </w:r>
                  <w:r>
                    <w:rPr>
                      <w:sz w:val="18"/>
                      <w:szCs w:val="18"/>
                    </w:rPr>
                    <w:t>%，有机废气处理效率90%，处理达标后经DA003（H15m，φ0.</w:t>
                  </w:r>
                  <w:r>
                    <w:rPr>
                      <w:rFonts w:hint="eastAsia"/>
                      <w:sz w:val="18"/>
                      <w:szCs w:val="18"/>
                      <w:lang w:val="en-US" w:eastAsia="zh-CN"/>
                    </w:rPr>
                    <w:t>6</w:t>
                  </w:r>
                  <w:r>
                    <w:rPr>
                      <w:sz w:val="18"/>
                      <w:szCs w:val="18"/>
                    </w:rPr>
                    <w:t>m）排入大气环境</w:t>
                  </w:r>
                  <w:r>
                    <w:rPr>
                      <w:rFonts w:hint="eastAsia"/>
                      <w:sz w:val="18"/>
                      <w:szCs w:val="18"/>
                      <w:lang w:eastAsia="zh-CN"/>
                    </w:rPr>
                    <w:t>；</w:t>
                  </w:r>
                  <w:r>
                    <w:rPr>
                      <w:rFonts w:hint="eastAsia"/>
                      <w:sz w:val="18"/>
                      <w:szCs w:val="18"/>
                      <w:lang w:val="en-US" w:eastAsia="zh-CN"/>
                    </w:rPr>
                    <w:t>同时</w:t>
                  </w:r>
                  <w:r>
                    <w:rPr>
                      <w:rFonts w:hint="eastAsia"/>
                      <w:sz w:val="18"/>
                      <w:szCs w:val="18"/>
                    </w:rPr>
                    <w:t>采取</w:t>
                  </w:r>
                  <w:r>
                    <w:rPr>
                      <w:sz w:val="18"/>
                      <w:szCs w:val="18"/>
                    </w:rPr>
                    <w:t>封闭加工车间降低少量无组织有机废气影响、加强通风等；；</w:t>
                  </w:r>
                </w:p>
                <w:p w14:paraId="4924BCF3">
                  <w:pPr>
                    <w:spacing w:line="280" w:lineRule="exact"/>
                    <w:jc w:val="left"/>
                    <w:rPr>
                      <w:rFonts w:hint="eastAsia"/>
                      <w:sz w:val="18"/>
                      <w:szCs w:val="18"/>
                      <w:lang w:eastAsia="zh-CN"/>
                    </w:rPr>
                  </w:pPr>
                  <w:r>
                    <w:rPr>
                      <w:rFonts w:hint="eastAsia"/>
                      <w:sz w:val="18"/>
                      <w:szCs w:val="18"/>
                      <w:lang w:val="en-US" w:eastAsia="zh-CN"/>
                    </w:rPr>
                    <w:t>锅炉废气：燃用天然气，采用低氮燃烧器+烟气循环技术，废气经</w:t>
                  </w:r>
                  <w:r>
                    <w:rPr>
                      <w:sz w:val="18"/>
                      <w:szCs w:val="18"/>
                    </w:rPr>
                    <w:t>DA00</w:t>
                  </w:r>
                  <w:r>
                    <w:rPr>
                      <w:rFonts w:hint="eastAsia"/>
                      <w:sz w:val="18"/>
                      <w:szCs w:val="18"/>
                      <w:lang w:val="en-US" w:eastAsia="zh-CN"/>
                    </w:rPr>
                    <w:t>4</w:t>
                  </w:r>
                  <w:r>
                    <w:rPr>
                      <w:sz w:val="18"/>
                      <w:szCs w:val="18"/>
                    </w:rPr>
                    <w:t>（H</w:t>
                  </w:r>
                  <w:r>
                    <w:rPr>
                      <w:rFonts w:hint="eastAsia"/>
                      <w:sz w:val="18"/>
                      <w:szCs w:val="18"/>
                      <w:lang w:val="en-US" w:eastAsia="zh-CN"/>
                    </w:rPr>
                    <w:t>8</w:t>
                  </w:r>
                  <w:r>
                    <w:rPr>
                      <w:sz w:val="18"/>
                      <w:szCs w:val="18"/>
                    </w:rPr>
                    <w:t>m，φ0.</w:t>
                  </w:r>
                  <w:r>
                    <w:rPr>
                      <w:rFonts w:hint="eastAsia"/>
                      <w:sz w:val="18"/>
                      <w:szCs w:val="18"/>
                      <w:lang w:val="en-US" w:eastAsia="zh-CN"/>
                    </w:rPr>
                    <w:t>3</w:t>
                  </w:r>
                  <w:r>
                    <w:rPr>
                      <w:sz w:val="18"/>
                      <w:szCs w:val="18"/>
                    </w:rPr>
                    <w:t>m）排入大气环境</w:t>
                  </w:r>
                  <w:r>
                    <w:rPr>
                      <w:rFonts w:hint="eastAsia"/>
                      <w:sz w:val="18"/>
                      <w:szCs w:val="18"/>
                      <w:lang w:eastAsia="zh-CN"/>
                    </w:rPr>
                    <w:t>；</w:t>
                  </w:r>
                </w:p>
                <w:p w14:paraId="01DA03D7">
                  <w:pPr>
                    <w:spacing w:line="280" w:lineRule="exact"/>
                    <w:jc w:val="left"/>
                    <w:rPr>
                      <w:rFonts w:hint="default"/>
                      <w:sz w:val="18"/>
                      <w:szCs w:val="18"/>
                      <w:lang w:val="en-US" w:eastAsia="zh-CN"/>
                    </w:rPr>
                  </w:pPr>
                  <w:r>
                    <w:rPr>
                      <w:rFonts w:hint="eastAsia"/>
                      <w:sz w:val="18"/>
                      <w:szCs w:val="18"/>
                      <w:lang w:val="en-US" w:eastAsia="zh-CN"/>
                    </w:rPr>
                    <w:t>隧道窑废气：燃用天然气，采用低氮燃烧技术，废气经</w:t>
                  </w:r>
                  <w:r>
                    <w:rPr>
                      <w:sz w:val="18"/>
                      <w:szCs w:val="18"/>
                    </w:rPr>
                    <w:t>DA00</w:t>
                  </w:r>
                  <w:r>
                    <w:rPr>
                      <w:rFonts w:hint="eastAsia"/>
                      <w:sz w:val="18"/>
                      <w:szCs w:val="18"/>
                      <w:lang w:val="en-US" w:eastAsia="zh-CN"/>
                    </w:rPr>
                    <w:t>5</w:t>
                  </w:r>
                  <w:r>
                    <w:rPr>
                      <w:sz w:val="18"/>
                      <w:szCs w:val="18"/>
                    </w:rPr>
                    <w:t>（H</w:t>
                  </w:r>
                  <w:r>
                    <w:rPr>
                      <w:rFonts w:hint="eastAsia"/>
                      <w:sz w:val="18"/>
                      <w:szCs w:val="18"/>
                      <w:lang w:val="en-US" w:eastAsia="zh-CN"/>
                    </w:rPr>
                    <w:t>15</w:t>
                  </w:r>
                  <w:r>
                    <w:rPr>
                      <w:sz w:val="18"/>
                      <w:szCs w:val="18"/>
                    </w:rPr>
                    <w:t>m，φ0.</w:t>
                  </w:r>
                  <w:r>
                    <w:rPr>
                      <w:rFonts w:hint="eastAsia"/>
                      <w:sz w:val="18"/>
                      <w:szCs w:val="18"/>
                      <w:lang w:val="en-US" w:eastAsia="zh-CN"/>
                    </w:rPr>
                    <w:t>5</w:t>
                  </w:r>
                  <w:r>
                    <w:rPr>
                      <w:sz w:val="18"/>
                      <w:szCs w:val="18"/>
                    </w:rPr>
                    <w:t>m）排入大气环境</w:t>
                  </w:r>
                  <w:r>
                    <w:rPr>
                      <w:rFonts w:hint="eastAsia"/>
                      <w:sz w:val="18"/>
                      <w:szCs w:val="18"/>
                      <w:lang w:eastAsia="zh-CN"/>
                    </w:rPr>
                    <w:t>；</w:t>
                  </w:r>
                </w:p>
                <w:p w14:paraId="6DEA751D">
                  <w:pPr>
                    <w:spacing w:line="280" w:lineRule="exact"/>
                    <w:jc w:val="left"/>
                    <w:rPr>
                      <w:sz w:val="18"/>
                      <w:szCs w:val="18"/>
                    </w:rPr>
                  </w:pPr>
                  <w:r>
                    <w:rPr>
                      <w:rFonts w:hint="eastAsia"/>
                      <w:sz w:val="18"/>
                      <w:szCs w:val="18"/>
                    </w:rPr>
                    <w:t>砖/石机加工粉尘：</w:t>
                  </w:r>
                  <w:r>
                    <w:rPr>
                      <w:rFonts w:hint="eastAsia"/>
                      <w:sz w:val="18"/>
                      <w:szCs w:val="18"/>
                      <w:lang w:val="en-US" w:eastAsia="zh-CN"/>
                    </w:rPr>
                    <w:t>采用实施作业</w:t>
                  </w:r>
                  <w:r>
                    <w:rPr>
                      <w:sz w:val="18"/>
                      <w:szCs w:val="18"/>
                    </w:rPr>
                    <w:t>，除尘效率9</w:t>
                  </w:r>
                  <w:r>
                    <w:rPr>
                      <w:rFonts w:hint="eastAsia"/>
                      <w:sz w:val="18"/>
                      <w:szCs w:val="18"/>
                      <w:lang w:val="en-US" w:eastAsia="zh-CN"/>
                    </w:rPr>
                    <w:t>0</w:t>
                  </w:r>
                  <w:r>
                    <w:rPr>
                      <w:sz w:val="18"/>
                      <w:szCs w:val="18"/>
                    </w:rPr>
                    <w:t>%，</w:t>
                  </w:r>
                  <w:r>
                    <w:rPr>
                      <w:rFonts w:hint="eastAsia"/>
                      <w:sz w:val="18"/>
                      <w:szCs w:val="18"/>
                      <w:lang w:val="en-US" w:eastAsia="zh-CN"/>
                    </w:rPr>
                    <w:t>同时</w:t>
                  </w:r>
                  <w:r>
                    <w:rPr>
                      <w:sz w:val="18"/>
                      <w:szCs w:val="18"/>
                    </w:rPr>
                    <w:t>封闭式车间、加强通风、清扫等；</w:t>
                  </w:r>
                </w:p>
                <w:p w14:paraId="5F82A8C8">
                  <w:pPr>
                    <w:spacing w:line="280" w:lineRule="exact"/>
                    <w:jc w:val="left"/>
                    <w:rPr>
                      <w:sz w:val="18"/>
                      <w:szCs w:val="18"/>
                    </w:rPr>
                  </w:pPr>
                  <w:r>
                    <w:rPr>
                      <w:rFonts w:hint="eastAsia"/>
                      <w:sz w:val="18"/>
                      <w:szCs w:val="18"/>
                    </w:rPr>
                    <w:t>食堂油烟：</w:t>
                  </w:r>
                  <w:r>
                    <w:rPr>
                      <w:sz w:val="18"/>
                      <w:szCs w:val="18"/>
                    </w:rPr>
                    <w:t>设置油烟净化设施，净化效率85%</w:t>
                  </w:r>
                  <w:r>
                    <w:rPr>
                      <w:rFonts w:hint="eastAsia"/>
                      <w:sz w:val="18"/>
                      <w:szCs w:val="18"/>
                    </w:rPr>
                    <w:t>。</w:t>
                  </w:r>
                </w:p>
              </w:tc>
              <w:tc>
                <w:tcPr>
                  <w:tcW w:w="430" w:type="pct"/>
                  <w:vMerge w:val="restart"/>
                  <w:vAlign w:val="center"/>
                </w:tcPr>
                <w:p w14:paraId="4602D9B8">
                  <w:pPr>
                    <w:spacing w:line="280" w:lineRule="exact"/>
                    <w:jc w:val="center"/>
                    <w:rPr>
                      <w:sz w:val="18"/>
                      <w:szCs w:val="18"/>
                    </w:rPr>
                  </w:pPr>
                  <w:r>
                    <w:rPr>
                      <w:rFonts w:hint="eastAsia"/>
                      <w:sz w:val="18"/>
                      <w:szCs w:val="18"/>
                    </w:rPr>
                    <w:t>新建</w:t>
                  </w:r>
                </w:p>
              </w:tc>
            </w:tr>
            <w:tr w14:paraId="0AF25A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282" w:type="pct"/>
                  <w:vMerge w:val="continue"/>
                  <w:vAlign w:val="center"/>
                </w:tcPr>
                <w:p w14:paraId="47F059D4">
                  <w:pPr>
                    <w:spacing w:line="280" w:lineRule="exact"/>
                    <w:jc w:val="center"/>
                    <w:rPr>
                      <w:sz w:val="18"/>
                      <w:szCs w:val="18"/>
                    </w:rPr>
                  </w:pPr>
                </w:p>
              </w:tc>
              <w:tc>
                <w:tcPr>
                  <w:tcW w:w="940" w:type="pct"/>
                  <w:vAlign w:val="center"/>
                </w:tcPr>
                <w:p w14:paraId="14E2A021">
                  <w:pPr>
                    <w:spacing w:line="280" w:lineRule="exact"/>
                    <w:jc w:val="center"/>
                    <w:rPr>
                      <w:sz w:val="18"/>
                      <w:szCs w:val="18"/>
                    </w:rPr>
                  </w:pPr>
                  <w:r>
                    <w:rPr>
                      <w:rFonts w:hint="eastAsia"/>
                      <w:sz w:val="18"/>
                      <w:szCs w:val="18"/>
                    </w:rPr>
                    <w:t>废水</w:t>
                  </w:r>
                </w:p>
              </w:tc>
              <w:tc>
                <w:tcPr>
                  <w:tcW w:w="3346" w:type="pct"/>
                  <w:vAlign w:val="center"/>
                </w:tcPr>
                <w:p w14:paraId="628A379F">
                  <w:pPr>
                    <w:spacing w:line="280" w:lineRule="exact"/>
                    <w:jc w:val="left"/>
                    <w:rPr>
                      <w:bCs/>
                      <w:color w:val="000000"/>
                      <w:sz w:val="18"/>
                      <w:szCs w:val="18"/>
                    </w:rPr>
                  </w:pPr>
                  <w:r>
                    <w:rPr>
                      <w:rFonts w:hint="eastAsia"/>
                      <w:sz w:val="18"/>
                      <w:szCs w:val="18"/>
                    </w:rPr>
                    <w:t>生活污水和</w:t>
                  </w:r>
                  <w:r>
                    <w:rPr>
                      <w:rFonts w:hint="eastAsia"/>
                      <w:bCs/>
                      <w:color w:val="000000"/>
                      <w:sz w:val="18"/>
                      <w:szCs w:val="18"/>
                    </w:rPr>
                    <w:t>车间地面冲洗废水</w:t>
                  </w:r>
                  <w:r>
                    <w:rPr>
                      <w:rFonts w:hint="eastAsia"/>
                      <w:sz w:val="18"/>
                      <w:szCs w:val="18"/>
                    </w:rPr>
                    <w:t>：厂区设有1座50m</w:t>
                  </w:r>
                  <w:r>
                    <w:rPr>
                      <w:rFonts w:hint="eastAsia"/>
                      <w:sz w:val="18"/>
                      <w:szCs w:val="18"/>
                      <w:vertAlign w:val="superscript"/>
                    </w:rPr>
                    <w:t>3</w:t>
                  </w:r>
                  <w:r>
                    <w:rPr>
                      <w:rFonts w:hint="eastAsia"/>
                      <w:sz w:val="18"/>
                      <w:szCs w:val="18"/>
                    </w:rPr>
                    <w:t>防渗化粪池，</w:t>
                  </w:r>
                  <w:r>
                    <w:rPr>
                      <w:color w:val="000000"/>
                      <w:kern w:val="0"/>
                      <w:sz w:val="18"/>
                      <w:szCs w:val="18"/>
                    </w:rPr>
                    <w:t>生活污水</w:t>
                  </w:r>
                  <w:r>
                    <w:rPr>
                      <w:rFonts w:hint="eastAsia"/>
                      <w:bCs/>
                      <w:color w:val="000000"/>
                      <w:sz w:val="18"/>
                      <w:szCs w:val="18"/>
                    </w:rPr>
                    <w:t>进入</w:t>
                  </w:r>
                  <w:r>
                    <w:rPr>
                      <w:bCs/>
                      <w:color w:val="000000"/>
                      <w:sz w:val="18"/>
                      <w:szCs w:val="18"/>
                    </w:rPr>
                    <w:t>站区化粪池</w:t>
                  </w:r>
                  <w:r>
                    <w:rPr>
                      <w:rFonts w:hint="eastAsia"/>
                      <w:bCs/>
                      <w:color w:val="000000"/>
                      <w:sz w:val="18"/>
                      <w:szCs w:val="18"/>
                    </w:rPr>
                    <w:t>，</w:t>
                  </w:r>
                  <w:r>
                    <w:rPr>
                      <w:bCs/>
                      <w:color w:val="000000"/>
                      <w:sz w:val="18"/>
                      <w:szCs w:val="18"/>
                    </w:rPr>
                    <w:t>之后通入污水管网</w:t>
                  </w:r>
                  <w:r>
                    <w:rPr>
                      <w:rFonts w:hint="eastAsia"/>
                      <w:bCs/>
                      <w:color w:val="000000"/>
                      <w:sz w:val="18"/>
                      <w:szCs w:val="18"/>
                    </w:rPr>
                    <w:t>，</w:t>
                  </w:r>
                  <w:r>
                    <w:rPr>
                      <w:bCs/>
                      <w:color w:val="000000"/>
                      <w:sz w:val="18"/>
                      <w:szCs w:val="18"/>
                    </w:rPr>
                    <w:t>最终进入大同市御东污水处理厂</w:t>
                  </w:r>
                  <w:r>
                    <w:rPr>
                      <w:rFonts w:hint="eastAsia"/>
                      <w:bCs/>
                      <w:color w:val="000000"/>
                      <w:sz w:val="18"/>
                      <w:szCs w:val="18"/>
                    </w:rPr>
                    <w:t>。</w:t>
                  </w:r>
                </w:p>
              </w:tc>
              <w:tc>
                <w:tcPr>
                  <w:tcW w:w="430" w:type="pct"/>
                  <w:vMerge w:val="continue"/>
                  <w:vAlign w:val="center"/>
                </w:tcPr>
                <w:p w14:paraId="7032FFD1">
                  <w:pPr>
                    <w:spacing w:line="280" w:lineRule="exact"/>
                    <w:jc w:val="center"/>
                    <w:rPr>
                      <w:sz w:val="18"/>
                      <w:szCs w:val="18"/>
                    </w:rPr>
                  </w:pPr>
                </w:p>
              </w:tc>
            </w:tr>
            <w:tr w14:paraId="59352B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4B61FF9A">
                  <w:pPr>
                    <w:spacing w:line="280" w:lineRule="exact"/>
                    <w:jc w:val="center"/>
                    <w:rPr>
                      <w:sz w:val="18"/>
                      <w:szCs w:val="18"/>
                    </w:rPr>
                  </w:pPr>
                </w:p>
              </w:tc>
              <w:tc>
                <w:tcPr>
                  <w:tcW w:w="940" w:type="pct"/>
                  <w:vMerge w:val="restart"/>
                  <w:vAlign w:val="center"/>
                </w:tcPr>
                <w:p w14:paraId="0D340846">
                  <w:pPr>
                    <w:spacing w:line="280" w:lineRule="exact"/>
                    <w:jc w:val="center"/>
                    <w:rPr>
                      <w:sz w:val="18"/>
                      <w:szCs w:val="18"/>
                    </w:rPr>
                  </w:pPr>
                  <w:r>
                    <w:rPr>
                      <w:sz w:val="18"/>
                      <w:szCs w:val="18"/>
                    </w:rPr>
                    <w:t>固废</w:t>
                  </w:r>
                </w:p>
              </w:tc>
              <w:tc>
                <w:tcPr>
                  <w:tcW w:w="3346" w:type="pct"/>
                  <w:vAlign w:val="center"/>
                </w:tcPr>
                <w:p w14:paraId="270DD7FB">
                  <w:pPr>
                    <w:spacing w:line="280" w:lineRule="exact"/>
                    <w:rPr>
                      <w:sz w:val="18"/>
                      <w:szCs w:val="18"/>
                    </w:rPr>
                  </w:pPr>
                  <w:r>
                    <w:rPr>
                      <w:sz w:val="18"/>
                      <w:szCs w:val="18"/>
                    </w:rPr>
                    <w:t>边角料</w:t>
                  </w:r>
                  <w:r>
                    <w:rPr>
                      <w:rFonts w:hint="eastAsia"/>
                      <w:sz w:val="18"/>
                      <w:szCs w:val="18"/>
                    </w:rPr>
                    <w:t>、</w:t>
                  </w:r>
                  <w:r>
                    <w:rPr>
                      <w:sz w:val="18"/>
                      <w:szCs w:val="18"/>
                    </w:rPr>
                    <w:t>废屑废渣</w:t>
                  </w:r>
                  <w:r>
                    <w:rPr>
                      <w:rFonts w:hint="eastAsia"/>
                      <w:sz w:val="18"/>
                      <w:szCs w:val="18"/>
                    </w:rPr>
                    <w:t>、</w:t>
                  </w:r>
                  <w:r>
                    <w:rPr>
                      <w:sz w:val="18"/>
                      <w:szCs w:val="18"/>
                    </w:rPr>
                    <w:t>沉渣</w:t>
                  </w:r>
                  <w:r>
                    <w:rPr>
                      <w:rFonts w:hint="eastAsia"/>
                      <w:sz w:val="18"/>
                      <w:szCs w:val="18"/>
                    </w:rPr>
                    <w:t>、</w:t>
                  </w:r>
                  <w:r>
                    <w:rPr>
                      <w:sz w:val="18"/>
                      <w:szCs w:val="18"/>
                    </w:rPr>
                    <w:t>除尘灰等统一收集后外售综合利用</w:t>
                  </w:r>
                  <w:r>
                    <w:rPr>
                      <w:rFonts w:hint="eastAsia"/>
                      <w:sz w:val="18"/>
                      <w:szCs w:val="18"/>
                    </w:rPr>
                    <w:t>；</w:t>
                  </w:r>
                </w:p>
              </w:tc>
              <w:tc>
                <w:tcPr>
                  <w:tcW w:w="430" w:type="pct"/>
                  <w:vMerge w:val="continue"/>
                  <w:vAlign w:val="center"/>
                </w:tcPr>
                <w:p w14:paraId="24767E48">
                  <w:pPr>
                    <w:spacing w:line="280" w:lineRule="exact"/>
                    <w:jc w:val="center"/>
                    <w:rPr>
                      <w:sz w:val="18"/>
                      <w:szCs w:val="18"/>
                    </w:rPr>
                  </w:pPr>
                </w:p>
              </w:tc>
            </w:tr>
            <w:tr w14:paraId="573345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3F030801">
                  <w:pPr>
                    <w:spacing w:line="280" w:lineRule="exact"/>
                    <w:jc w:val="center"/>
                    <w:rPr>
                      <w:sz w:val="18"/>
                      <w:szCs w:val="18"/>
                    </w:rPr>
                  </w:pPr>
                </w:p>
              </w:tc>
              <w:tc>
                <w:tcPr>
                  <w:tcW w:w="940" w:type="pct"/>
                  <w:vMerge w:val="continue"/>
                  <w:vAlign w:val="center"/>
                </w:tcPr>
                <w:p w14:paraId="2A65FC42">
                  <w:pPr>
                    <w:spacing w:line="280" w:lineRule="exact"/>
                    <w:jc w:val="center"/>
                    <w:rPr>
                      <w:sz w:val="18"/>
                      <w:szCs w:val="18"/>
                    </w:rPr>
                  </w:pPr>
                </w:p>
              </w:tc>
              <w:tc>
                <w:tcPr>
                  <w:tcW w:w="3346" w:type="pct"/>
                  <w:vAlign w:val="center"/>
                </w:tcPr>
                <w:p w14:paraId="7FA78B81">
                  <w:pPr>
                    <w:spacing w:line="280" w:lineRule="exact"/>
                    <w:rPr>
                      <w:sz w:val="18"/>
                      <w:szCs w:val="18"/>
                    </w:rPr>
                  </w:pPr>
                  <w:r>
                    <w:rPr>
                      <w:rFonts w:hint="eastAsia"/>
                      <w:sz w:val="18"/>
                      <w:szCs w:val="18"/>
                    </w:rPr>
                    <w:t>危险废物：新建1座50m</w:t>
                  </w:r>
                  <w:r>
                    <w:rPr>
                      <w:rFonts w:hint="eastAsia"/>
                      <w:sz w:val="18"/>
                      <w:szCs w:val="18"/>
                      <w:vertAlign w:val="superscript"/>
                    </w:rPr>
                    <w:t>2</w:t>
                  </w:r>
                  <w:r>
                    <w:rPr>
                      <w:rFonts w:hint="eastAsia"/>
                      <w:sz w:val="18"/>
                      <w:szCs w:val="18"/>
                    </w:rPr>
                    <w:t>危废库，废活性炭、</w:t>
                  </w:r>
                  <w:r>
                    <w:rPr>
                      <w:sz w:val="18"/>
                      <w:szCs w:val="18"/>
                    </w:rPr>
                    <w:t>漆渣</w:t>
                  </w:r>
                  <w:r>
                    <w:rPr>
                      <w:rFonts w:hint="eastAsia"/>
                      <w:sz w:val="18"/>
                      <w:szCs w:val="18"/>
                    </w:rPr>
                    <w:t>、</w:t>
                  </w:r>
                  <w:r>
                    <w:rPr>
                      <w:sz w:val="18"/>
                      <w:szCs w:val="18"/>
                    </w:rPr>
                    <w:t>废催化剂</w:t>
                  </w:r>
                  <w:r>
                    <w:rPr>
                      <w:rFonts w:hint="eastAsia"/>
                      <w:sz w:val="18"/>
                      <w:szCs w:val="18"/>
                    </w:rPr>
                    <w:t>、</w:t>
                  </w:r>
                  <w:r>
                    <w:rPr>
                      <w:sz w:val="18"/>
                      <w:szCs w:val="18"/>
                    </w:rPr>
                    <w:t>废机油</w:t>
                  </w:r>
                  <w:r>
                    <w:rPr>
                      <w:rFonts w:hint="eastAsia"/>
                      <w:sz w:val="18"/>
                      <w:szCs w:val="18"/>
                    </w:rPr>
                    <w:t>、</w:t>
                  </w:r>
                  <w:r>
                    <w:rPr>
                      <w:sz w:val="18"/>
                      <w:szCs w:val="18"/>
                    </w:rPr>
                    <w:t>废过滤棉等</w:t>
                  </w:r>
                  <w:r>
                    <w:rPr>
                      <w:rFonts w:hint="eastAsia"/>
                      <w:sz w:val="18"/>
                      <w:szCs w:val="18"/>
                    </w:rPr>
                    <w:t>属于</w:t>
                  </w:r>
                  <w:r>
                    <w:rPr>
                      <w:sz w:val="18"/>
                      <w:szCs w:val="18"/>
                    </w:rPr>
                    <w:t>危险废物</w:t>
                  </w:r>
                  <w:r>
                    <w:rPr>
                      <w:rFonts w:hint="eastAsia"/>
                      <w:sz w:val="18"/>
                      <w:szCs w:val="18"/>
                    </w:rPr>
                    <w:t>，暂存</w:t>
                  </w:r>
                  <w:r>
                    <w:rPr>
                      <w:sz w:val="18"/>
                      <w:szCs w:val="18"/>
                    </w:rPr>
                    <w:t>于</w:t>
                  </w:r>
                  <w:r>
                    <w:rPr>
                      <w:rFonts w:hint="eastAsia"/>
                      <w:sz w:val="18"/>
                      <w:szCs w:val="18"/>
                    </w:rPr>
                    <w:t>危废库</w:t>
                  </w:r>
                  <w:r>
                    <w:rPr>
                      <w:sz w:val="18"/>
                      <w:szCs w:val="18"/>
                    </w:rPr>
                    <w:t>，委托有资质的单位</w:t>
                  </w:r>
                  <w:r>
                    <w:rPr>
                      <w:rFonts w:hint="eastAsia"/>
                      <w:sz w:val="18"/>
                      <w:szCs w:val="18"/>
                    </w:rPr>
                    <w:t>定期</w:t>
                  </w:r>
                  <w:r>
                    <w:rPr>
                      <w:sz w:val="18"/>
                      <w:szCs w:val="18"/>
                    </w:rPr>
                    <w:t>清运</w:t>
                  </w:r>
                  <w:r>
                    <w:rPr>
                      <w:rFonts w:hint="eastAsia"/>
                      <w:sz w:val="18"/>
                      <w:szCs w:val="18"/>
                    </w:rPr>
                    <w:t>、</w:t>
                  </w:r>
                  <w:r>
                    <w:rPr>
                      <w:sz w:val="18"/>
                      <w:szCs w:val="18"/>
                    </w:rPr>
                    <w:t>处置；</w:t>
                  </w:r>
                </w:p>
              </w:tc>
              <w:tc>
                <w:tcPr>
                  <w:tcW w:w="430" w:type="pct"/>
                  <w:vMerge w:val="continue"/>
                  <w:vAlign w:val="center"/>
                </w:tcPr>
                <w:p w14:paraId="60DD42F9">
                  <w:pPr>
                    <w:spacing w:line="280" w:lineRule="exact"/>
                    <w:jc w:val="center"/>
                    <w:rPr>
                      <w:sz w:val="18"/>
                      <w:szCs w:val="18"/>
                    </w:rPr>
                  </w:pPr>
                </w:p>
              </w:tc>
            </w:tr>
            <w:tr w14:paraId="05361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282" w:type="pct"/>
                  <w:vMerge w:val="continue"/>
                  <w:vAlign w:val="center"/>
                </w:tcPr>
                <w:p w14:paraId="70C0AFB7">
                  <w:pPr>
                    <w:spacing w:line="280" w:lineRule="exact"/>
                    <w:jc w:val="center"/>
                    <w:rPr>
                      <w:sz w:val="18"/>
                      <w:szCs w:val="18"/>
                    </w:rPr>
                  </w:pPr>
                </w:p>
              </w:tc>
              <w:tc>
                <w:tcPr>
                  <w:tcW w:w="940" w:type="pct"/>
                  <w:vMerge w:val="continue"/>
                  <w:vAlign w:val="center"/>
                </w:tcPr>
                <w:p w14:paraId="34D8077B">
                  <w:pPr>
                    <w:spacing w:line="280" w:lineRule="exact"/>
                    <w:jc w:val="center"/>
                    <w:rPr>
                      <w:sz w:val="18"/>
                      <w:szCs w:val="18"/>
                    </w:rPr>
                  </w:pPr>
                </w:p>
              </w:tc>
              <w:tc>
                <w:tcPr>
                  <w:tcW w:w="3346" w:type="pct"/>
                  <w:vAlign w:val="center"/>
                </w:tcPr>
                <w:p w14:paraId="07E5C24D">
                  <w:pPr>
                    <w:spacing w:line="280" w:lineRule="exact"/>
                    <w:rPr>
                      <w:sz w:val="18"/>
                      <w:szCs w:val="18"/>
                    </w:rPr>
                  </w:pPr>
                  <w:r>
                    <w:rPr>
                      <w:sz w:val="18"/>
                      <w:szCs w:val="18"/>
                    </w:rPr>
                    <w:t>生活垃圾：收集于厂区封闭式垃圾桶，定期由环卫部门指定堆存区</w:t>
                  </w:r>
                  <w:r>
                    <w:rPr>
                      <w:rFonts w:hint="eastAsia"/>
                      <w:sz w:val="18"/>
                      <w:szCs w:val="18"/>
                    </w:rPr>
                    <w:t>。</w:t>
                  </w:r>
                </w:p>
              </w:tc>
              <w:tc>
                <w:tcPr>
                  <w:tcW w:w="430" w:type="pct"/>
                  <w:vMerge w:val="continue"/>
                  <w:vAlign w:val="center"/>
                </w:tcPr>
                <w:p w14:paraId="1A51948E">
                  <w:pPr>
                    <w:spacing w:line="280" w:lineRule="exact"/>
                    <w:jc w:val="center"/>
                    <w:rPr>
                      <w:sz w:val="18"/>
                      <w:szCs w:val="18"/>
                    </w:rPr>
                  </w:pPr>
                </w:p>
              </w:tc>
            </w:tr>
            <w:tr w14:paraId="5A72F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 w:hRule="atLeast"/>
                <w:jc w:val="center"/>
              </w:trPr>
              <w:tc>
                <w:tcPr>
                  <w:tcW w:w="282" w:type="pct"/>
                  <w:vMerge w:val="continue"/>
                  <w:vAlign w:val="center"/>
                </w:tcPr>
                <w:p w14:paraId="38A55B3F">
                  <w:pPr>
                    <w:spacing w:line="280" w:lineRule="exact"/>
                    <w:jc w:val="center"/>
                    <w:rPr>
                      <w:sz w:val="18"/>
                      <w:szCs w:val="18"/>
                    </w:rPr>
                  </w:pPr>
                </w:p>
              </w:tc>
              <w:tc>
                <w:tcPr>
                  <w:tcW w:w="940" w:type="pct"/>
                  <w:vAlign w:val="center"/>
                </w:tcPr>
                <w:p w14:paraId="62FE0F6E">
                  <w:pPr>
                    <w:spacing w:line="280" w:lineRule="exact"/>
                    <w:jc w:val="center"/>
                    <w:rPr>
                      <w:sz w:val="18"/>
                      <w:szCs w:val="18"/>
                    </w:rPr>
                  </w:pPr>
                  <w:r>
                    <w:rPr>
                      <w:sz w:val="18"/>
                      <w:szCs w:val="18"/>
                    </w:rPr>
                    <w:t>噪声</w:t>
                  </w:r>
                </w:p>
              </w:tc>
              <w:tc>
                <w:tcPr>
                  <w:tcW w:w="3346" w:type="pct"/>
                  <w:vAlign w:val="center"/>
                </w:tcPr>
                <w:p w14:paraId="41E27240">
                  <w:pPr>
                    <w:spacing w:line="280" w:lineRule="exact"/>
                    <w:jc w:val="left"/>
                    <w:rPr>
                      <w:sz w:val="18"/>
                      <w:szCs w:val="18"/>
                    </w:rPr>
                  </w:pPr>
                  <w:r>
                    <w:rPr>
                      <w:rFonts w:hint="eastAsia"/>
                      <w:sz w:val="18"/>
                      <w:szCs w:val="18"/>
                      <w:lang w:val="en-US" w:eastAsia="zh-CN"/>
                    </w:rPr>
                    <w:t>设备选型低噪、采取基础减振、</w:t>
                  </w:r>
                  <w:r>
                    <w:rPr>
                      <w:rFonts w:hint="eastAsia"/>
                      <w:sz w:val="18"/>
                      <w:szCs w:val="18"/>
                    </w:rPr>
                    <w:t>隔声、绿化</w:t>
                  </w:r>
                  <w:r>
                    <w:rPr>
                      <w:rFonts w:hint="eastAsia"/>
                      <w:sz w:val="18"/>
                      <w:szCs w:val="18"/>
                      <w:lang w:val="en-US" w:eastAsia="zh-CN"/>
                    </w:rPr>
                    <w:t>等措施</w:t>
                  </w:r>
                  <w:r>
                    <w:rPr>
                      <w:rFonts w:hint="eastAsia"/>
                      <w:sz w:val="18"/>
                      <w:szCs w:val="18"/>
                    </w:rPr>
                    <w:t>降噪</w:t>
                  </w:r>
                  <w:r>
                    <w:rPr>
                      <w:rFonts w:hint="eastAsia"/>
                      <w:sz w:val="18"/>
                      <w:szCs w:val="18"/>
                      <w:lang w:eastAsia="zh-CN"/>
                    </w:rPr>
                    <w:t>，</w:t>
                  </w:r>
                  <w:r>
                    <w:rPr>
                      <w:rFonts w:hint="eastAsia"/>
                      <w:sz w:val="18"/>
                      <w:szCs w:val="18"/>
                      <w:lang w:val="en-US" w:eastAsia="zh-CN"/>
                    </w:rPr>
                    <w:t>并</w:t>
                  </w:r>
                  <w:r>
                    <w:rPr>
                      <w:rFonts w:hint="eastAsia"/>
                      <w:sz w:val="18"/>
                      <w:szCs w:val="18"/>
                    </w:rPr>
                    <w:t>加强</w:t>
                  </w:r>
                  <w:r>
                    <w:rPr>
                      <w:rFonts w:hint="eastAsia"/>
                      <w:sz w:val="18"/>
                      <w:szCs w:val="18"/>
                      <w:lang w:val="en-US" w:eastAsia="zh-CN"/>
                    </w:rPr>
                    <w:t>厂区内</w:t>
                  </w:r>
                  <w:r>
                    <w:rPr>
                      <w:rFonts w:hint="eastAsia"/>
                      <w:sz w:val="18"/>
                      <w:szCs w:val="18"/>
                    </w:rPr>
                    <w:t>车辆管理。</w:t>
                  </w:r>
                </w:p>
              </w:tc>
              <w:tc>
                <w:tcPr>
                  <w:tcW w:w="430" w:type="pct"/>
                  <w:vMerge w:val="continue"/>
                  <w:vAlign w:val="center"/>
                </w:tcPr>
                <w:p w14:paraId="7C87C552">
                  <w:pPr>
                    <w:spacing w:line="280" w:lineRule="exact"/>
                    <w:jc w:val="center"/>
                    <w:rPr>
                      <w:sz w:val="18"/>
                      <w:szCs w:val="18"/>
                    </w:rPr>
                  </w:pPr>
                </w:p>
              </w:tc>
            </w:tr>
          </w:tbl>
          <w:p w14:paraId="72ACAC60">
            <w:pPr>
              <w:pStyle w:val="79"/>
              <w:snapToGrid/>
              <w:ind w:firstLine="422"/>
              <w:rPr>
                <w:rFonts w:hint="default" w:ascii="Times New Roman" w:hAnsi="Times New Roman" w:eastAsia="宋体"/>
                <w:bCs/>
                <w:color w:val="auto"/>
                <w:szCs w:val="21"/>
                <w:lang w:val="en-US" w:eastAsia="zh-CN"/>
              </w:rPr>
            </w:pPr>
            <w:r>
              <w:rPr>
                <w:rFonts w:hint="eastAsia" w:ascii="Times New Roman" w:hAnsi="Times New Roman"/>
                <w:bCs/>
                <w:color w:val="auto"/>
                <w:szCs w:val="21"/>
              </w:rPr>
              <w:t>2</w:t>
            </w:r>
            <w:r>
              <w:rPr>
                <w:rFonts w:hint="eastAsia" w:ascii="Times New Roman" w:hAnsi="Times New Roman"/>
                <w:bCs/>
                <w:color w:val="auto"/>
                <w:szCs w:val="21"/>
                <w:lang w:val="en-US" w:eastAsia="zh-CN"/>
              </w:rPr>
              <w:t>.2主要原辅材料</w:t>
            </w:r>
          </w:p>
          <w:p w14:paraId="50E75FA9">
            <w:pPr>
              <w:spacing w:line="240" w:lineRule="exact"/>
              <w:jc w:val="center"/>
              <w:rPr>
                <w:rFonts w:hint="default" w:eastAsia="宋体"/>
                <w:b/>
                <w:color w:val="auto"/>
                <w:sz w:val="18"/>
                <w:szCs w:val="18"/>
                <w:lang w:val="en-US" w:eastAsia="zh-CN"/>
              </w:rPr>
            </w:pPr>
            <w:r>
              <w:rPr>
                <w:b/>
                <w:color w:val="auto"/>
                <w:sz w:val="18"/>
                <w:szCs w:val="18"/>
              </w:rPr>
              <w:t>表2</w:t>
            </w:r>
            <w:r>
              <w:rPr>
                <w:rFonts w:hint="eastAsia"/>
                <w:b/>
                <w:color w:val="auto"/>
                <w:sz w:val="18"/>
                <w:szCs w:val="18"/>
                <w:lang w:val="en-US" w:eastAsia="zh-CN"/>
              </w:rPr>
              <w:t>.2</w:t>
            </w:r>
            <w:r>
              <w:rPr>
                <w:b/>
                <w:color w:val="auto"/>
                <w:sz w:val="18"/>
                <w:szCs w:val="18"/>
              </w:rPr>
              <w:t>-</w:t>
            </w:r>
            <w:r>
              <w:rPr>
                <w:rFonts w:hint="eastAsia"/>
                <w:b/>
                <w:color w:val="auto"/>
                <w:sz w:val="18"/>
                <w:szCs w:val="18"/>
                <w:lang w:val="en-US" w:eastAsia="zh-CN"/>
              </w:rPr>
              <w:t>1</w:t>
            </w:r>
            <w:r>
              <w:rPr>
                <w:b/>
                <w:color w:val="auto"/>
                <w:sz w:val="18"/>
                <w:szCs w:val="18"/>
              </w:rPr>
              <w:t xml:space="preserve"> </w:t>
            </w:r>
            <w:r>
              <w:rPr>
                <w:rFonts w:hint="eastAsia"/>
                <w:b/>
                <w:color w:val="auto"/>
                <w:sz w:val="18"/>
                <w:szCs w:val="18"/>
              </w:rPr>
              <w:t xml:space="preserve">  </w:t>
            </w:r>
            <w:r>
              <w:rPr>
                <w:b/>
                <w:color w:val="auto"/>
                <w:sz w:val="18"/>
                <w:szCs w:val="18"/>
              </w:rPr>
              <w:t xml:space="preserve"> </w:t>
            </w:r>
            <w:r>
              <w:rPr>
                <w:rFonts w:hint="eastAsia"/>
                <w:b/>
                <w:color w:val="auto"/>
                <w:sz w:val="18"/>
                <w:szCs w:val="18"/>
                <w:lang w:val="en-US" w:eastAsia="zh-CN"/>
              </w:rPr>
              <w:t>主要原辅材料一览表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75"/>
              <w:gridCol w:w="396"/>
              <w:gridCol w:w="467"/>
              <w:gridCol w:w="1135"/>
              <w:gridCol w:w="1123"/>
              <w:gridCol w:w="953"/>
              <w:gridCol w:w="945"/>
              <w:gridCol w:w="2445"/>
            </w:tblGrid>
            <w:tr w14:paraId="2364C4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300" w:type="pct"/>
                  <w:vAlign w:val="center"/>
                </w:tcPr>
                <w:p w14:paraId="581EAF2B">
                  <w:pPr>
                    <w:snapToGrid w:val="0"/>
                    <w:spacing w:line="280" w:lineRule="exact"/>
                    <w:jc w:val="center"/>
                    <w:rPr>
                      <w:sz w:val="18"/>
                      <w:szCs w:val="18"/>
                    </w:rPr>
                  </w:pPr>
                  <w:r>
                    <w:rPr>
                      <w:sz w:val="18"/>
                      <w:szCs w:val="18"/>
                    </w:rPr>
                    <w:t>序号</w:t>
                  </w:r>
                </w:p>
              </w:tc>
              <w:tc>
                <w:tcPr>
                  <w:tcW w:w="544" w:type="pct"/>
                  <w:gridSpan w:val="2"/>
                  <w:tcBorders>
                    <w:right w:val="single" w:color="auto" w:sz="4" w:space="0"/>
                  </w:tcBorders>
                  <w:vAlign w:val="center"/>
                </w:tcPr>
                <w:p w14:paraId="6B293C8A">
                  <w:pPr>
                    <w:snapToGrid w:val="0"/>
                    <w:spacing w:line="280" w:lineRule="exact"/>
                    <w:jc w:val="center"/>
                    <w:rPr>
                      <w:sz w:val="18"/>
                      <w:szCs w:val="18"/>
                    </w:rPr>
                  </w:pPr>
                  <w:r>
                    <w:rPr>
                      <w:sz w:val="18"/>
                      <w:szCs w:val="18"/>
                    </w:rPr>
                    <w:t>名称</w:t>
                  </w:r>
                </w:p>
              </w:tc>
              <w:tc>
                <w:tcPr>
                  <w:tcW w:w="714" w:type="pct"/>
                  <w:tcBorders>
                    <w:left w:val="single" w:color="auto" w:sz="4" w:space="0"/>
                  </w:tcBorders>
                  <w:vAlign w:val="center"/>
                </w:tcPr>
                <w:p w14:paraId="1466829F">
                  <w:pPr>
                    <w:snapToGrid w:val="0"/>
                    <w:spacing w:line="280" w:lineRule="exact"/>
                    <w:jc w:val="center"/>
                    <w:rPr>
                      <w:sz w:val="18"/>
                      <w:szCs w:val="18"/>
                    </w:rPr>
                  </w:pPr>
                  <w:r>
                    <w:rPr>
                      <w:sz w:val="18"/>
                      <w:szCs w:val="18"/>
                    </w:rPr>
                    <w:t>消耗量</w:t>
                  </w:r>
                  <w:r>
                    <w:rPr>
                      <w:rFonts w:hint="eastAsia"/>
                      <w:sz w:val="18"/>
                      <w:szCs w:val="18"/>
                    </w:rPr>
                    <w:t>（t/a）</w:t>
                  </w:r>
                </w:p>
              </w:tc>
              <w:tc>
                <w:tcPr>
                  <w:tcW w:w="707" w:type="pct"/>
                  <w:vAlign w:val="center"/>
                </w:tcPr>
                <w:p w14:paraId="4CF42345">
                  <w:pPr>
                    <w:snapToGrid w:val="0"/>
                    <w:spacing w:line="280" w:lineRule="exact"/>
                    <w:jc w:val="center"/>
                    <w:rPr>
                      <w:sz w:val="18"/>
                      <w:szCs w:val="18"/>
                    </w:rPr>
                  </w:pPr>
                  <w:r>
                    <w:rPr>
                      <w:sz w:val="18"/>
                      <w:szCs w:val="18"/>
                    </w:rPr>
                    <w:t>最大存储量</w:t>
                  </w:r>
                  <w:r>
                    <w:rPr>
                      <w:rFonts w:hint="eastAsia"/>
                      <w:sz w:val="18"/>
                      <w:szCs w:val="18"/>
                    </w:rPr>
                    <w:t>（t）</w:t>
                  </w:r>
                </w:p>
              </w:tc>
              <w:tc>
                <w:tcPr>
                  <w:tcW w:w="600" w:type="pct"/>
                  <w:vAlign w:val="center"/>
                </w:tcPr>
                <w:p w14:paraId="01B24B99">
                  <w:pPr>
                    <w:snapToGrid w:val="0"/>
                    <w:spacing w:line="280" w:lineRule="exact"/>
                    <w:jc w:val="center"/>
                    <w:rPr>
                      <w:sz w:val="18"/>
                      <w:szCs w:val="18"/>
                    </w:rPr>
                  </w:pPr>
                  <w:r>
                    <w:rPr>
                      <w:rFonts w:hint="eastAsia"/>
                      <w:sz w:val="18"/>
                      <w:szCs w:val="18"/>
                    </w:rPr>
                    <w:t>性状</w:t>
                  </w:r>
                </w:p>
              </w:tc>
              <w:tc>
                <w:tcPr>
                  <w:tcW w:w="595" w:type="pct"/>
                  <w:tcBorders>
                    <w:right w:val="single" w:color="auto" w:sz="4" w:space="0"/>
                  </w:tcBorders>
                  <w:vAlign w:val="center"/>
                </w:tcPr>
                <w:p w14:paraId="637DC8A2">
                  <w:pPr>
                    <w:snapToGrid w:val="0"/>
                    <w:spacing w:line="280" w:lineRule="exact"/>
                    <w:jc w:val="center"/>
                    <w:rPr>
                      <w:sz w:val="18"/>
                      <w:szCs w:val="18"/>
                    </w:rPr>
                  </w:pPr>
                  <w:r>
                    <w:rPr>
                      <w:sz w:val="18"/>
                      <w:szCs w:val="18"/>
                    </w:rPr>
                    <w:t>运输形式</w:t>
                  </w:r>
                </w:p>
              </w:tc>
              <w:tc>
                <w:tcPr>
                  <w:tcW w:w="1536" w:type="pct"/>
                  <w:tcBorders>
                    <w:left w:val="single" w:color="auto" w:sz="4" w:space="0"/>
                  </w:tcBorders>
                  <w:vAlign w:val="center"/>
                </w:tcPr>
                <w:p w14:paraId="0A1E0B17">
                  <w:pPr>
                    <w:snapToGrid w:val="0"/>
                    <w:spacing w:line="280" w:lineRule="exact"/>
                    <w:jc w:val="center"/>
                    <w:rPr>
                      <w:sz w:val="18"/>
                      <w:szCs w:val="18"/>
                    </w:rPr>
                  </w:pPr>
                  <w:r>
                    <w:rPr>
                      <w:sz w:val="18"/>
                      <w:szCs w:val="18"/>
                    </w:rPr>
                    <w:t>储存方式</w:t>
                  </w:r>
                </w:p>
              </w:tc>
            </w:tr>
            <w:tr w14:paraId="756BB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5000" w:type="pct"/>
                  <w:gridSpan w:val="8"/>
                  <w:vAlign w:val="center"/>
                </w:tcPr>
                <w:p w14:paraId="05F35DE4">
                  <w:pPr>
                    <w:snapToGrid w:val="0"/>
                    <w:spacing w:line="280" w:lineRule="exact"/>
                    <w:jc w:val="center"/>
                    <w:rPr>
                      <w:sz w:val="18"/>
                      <w:szCs w:val="18"/>
                    </w:rPr>
                  </w:pPr>
                  <w:r>
                    <w:rPr>
                      <w:sz w:val="18"/>
                      <w:szCs w:val="18"/>
                    </w:rPr>
                    <w:t>主要原材料</w:t>
                  </w:r>
                </w:p>
              </w:tc>
            </w:tr>
            <w:tr w14:paraId="05F67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7CD56FC8">
                  <w:pPr>
                    <w:snapToGrid w:val="0"/>
                    <w:spacing w:line="280" w:lineRule="exact"/>
                    <w:jc w:val="center"/>
                    <w:rPr>
                      <w:sz w:val="18"/>
                      <w:szCs w:val="18"/>
                    </w:rPr>
                  </w:pPr>
                  <w:r>
                    <w:rPr>
                      <w:sz w:val="18"/>
                      <w:szCs w:val="18"/>
                    </w:rPr>
                    <w:t>1</w:t>
                  </w:r>
                </w:p>
              </w:tc>
              <w:tc>
                <w:tcPr>
                  <w:tcW w:w="544" w:type="pct"/>
                  <w:gridSpan w:val="2"/>
                  <w:tcBorders>
                    <w:right w:val="single" w:color="auto" w:sz="4" w:space="0"/>
                  </w:tcBorders>
                  <w:vAlign w:val="center"/>
                </w:tcPr>
                <w:p w14:paraId="627DB84A">
                  <w:pPr>
                    <w:snapToGrid w:val="0"/>
                    <w:spacing w:line="240" w:lineRule="exact"/>
                    <w:jc w:val="center"/>
                    <w:rPr>
                      <w:sz w:val="18"/>
                      <w:szCs w:val="18"/>
                    </w:rPr>
                  </w:pPr>
                  <w:r>
                    <w:rPr>
                      <w:sz w:val="18"/>
                      <w:szCs w:val="18"/>
                    </w:rPr>
                    <w:t>木材料</w:t>
                  </w:r>
                </w:p>
              </w:tc>
              <w:tc>
                <w:tcPr>
                  <w:tcW w:w="714" w:type="pct"/>
                  <w:tcBorders>
                    <w:left w:val="single" w:color="auto" w:sz="4" w:space="0"/>
                  </w:tcBorders>
                  <w:vAlign w:val="center"/>
                </w:tcPr>
                <w:p w14:paraId="26ECCED7">
                  <w:pPr>
                    <w:snapToGrid w:val="0"/>
                    <w:spacing w:line="280" w:lineRule="exact"/>
                    <w:jc w:val="center"/>
                    <w:rPr>
                      <w:rFonts w:hint="eastAsia"/>
                      <w:sz w:val="18"/>
                      <w:szCs w:val="18"/>
                    </w:rPr>
                  </w:pPr>
                  <w:r>
                    <w:rPr>
                      <w:rFonts w:hint="eastAsia"/>
                      <w:sz w:val="18"/>
                      <w:szCs w:val="18"/>
                      <w:lang w:val="en-US" w:eastAsia="zh-CN"/>
                    </w:rPr>
                    <w:t>14</w:t>
                  </w:r>
                  <w:r>
                    <w:rPr>
                      <w:rFonts w:hint="eastAsia"/>
                      <w:sz w:val="18"/>
                      <w:szCs w:val="18"/>
                    </w:rPr>
                    <w:t>00</w:t>
                  </w:r>
                </w:p>
                <w:p w14:paraId="7FE41A44">
                  <w:pPr>
                    <w:snapToGrid w:val="0"/>
                    <w:spacing w:line="280" w:lineRule="exact"/>
                    <w:jc w:val="center"/>
                    <w:rPr>
                      <w:rFonts w:hint="default" w:eastAsia="宋体"/>
                      <w:sz w:val="18"/>
                      <w:szCs w:val="18"/>
                      <w:lang w:val="en-US" w:eastAsia="zh-CN"/>
                    </w:rPr>
                  </w:pPr>
                  <w:r>
                    <w:rPr>
                      <w:rFonts w:hint="eastAsia"/>
                      <w:sz w:val="18"/>
                      <w:szCs w:val="18"/>
                      <w:lang w:eastAsia="zh-CN"/>
                    </w:rPr>
                    <w:t>（</w:t>
                  </w:r>
                  <w:r>
                    <w:rPr>
                      <w:rFonts w:hint="eastAsia"/>
                      <w:sz w:val="18"/>
                      <w:szCs w:val="18"/>
                      <w:lang w:val="en-US" w:eastAsia="zh-CN"/>
                    </w:rPr>
                    <w:t>2800m</w:t>
                  </w:r>
                  <w:r>
                    <w:rPr>
                      <w:rFonts w:hint="eastAsia"/>
                      <w:sz w:val="18"/>
                      <w:szCs w:val="18"/>
                      <w:vertAlign w:val="superscript"/>
                      <w:lang w:val="en-US" w:eastAsia="zh-CN"/>
                    </w:rPr>
                    <w:t>3</w:t>
                  </w:r>
                  <w:r>
                    <w:rPr>
                      <w:rFonts w:hint="eastAsia"/>
                      <w:sz w:val="18"/>
                      <w:szCs w:val="18"/>
                      <w:lang w:val="en-US" w:eastAsia="zh-CN"/>
                    </w:rPr>
                    <w:t>）</w:t>
                  </w:r>
                </w:p>
              </w:tc>
              <w:tc>
                <w:tcPr>
                  <w:tcW w:w="707" w:type="pct"/>
                  <w:vAlign w:val="center"/>
                </w:tcPr>
                <w:p w14:paraId="4A698597">
                  <w:pPr>
                    <w:snapToGrid w:val="0"/>
                    <w:spacing w:line="280" w:lineRule="exact"/>
                    <w:jc w:val="center"/>
                    <w:rPr>
                      <w:sz w:val="18"/>
                      <w:szCs w:val="18"/>
                    </w:rPr>
                  </w:pPr>
                  <w:r>
                    <w:rPr>
                      <w:rFonts w:hint="eastAsia"/>
                      <w:sz w:val="18"/>
                      <w:szCs w:val="18"/>
                      <w:lang w:val="en-US" w:eastAsia="zh-CN"/>
                    </w:rPr>
                    <w:t>2</w:t>
                  </w:r>
                  <w:r>
                    <w:rPr>
                      <w:rFonts w:hint="eastAsia"/>
                      <w:sz w:val="18"/>
                      <w:szCs w:val="18"/>
                    </w:rPr>
                    <w:t>00</w:t>
                  </w:r>
                </w:p>
              </w:tc>
              <w:tc>
                <w:tcPr>
                  <w:tcW w:w="600" w:type="pct"/>
                  <w:vAlign w:val="center"/>
                </w:tcPr>
                <w:p w14:paraId="18B6F8CC">
                  <w:pPr>
                    <w:snapToGrid w:val="0"/>
                    <w:spacing w:line="280" w:lineRule="exact"/>
                    <w:jc w:val="center"/>
                    <w:rPr>
                      <w:sz w:val="18"/>
                      <w:szCs w:val="18"/>
                    </w:rPr>
                  </w:pPr>
                  <w:r>
                    <w:rPr>
                      <w:rFonts w:hint="eastAsia"/>
                      <w:sz w:val="18"/>
                      <w:szCs w:val="18"/>
                    </w:rPr>
                    <w:t>固态</w:t>
                  </w:r>
                </w:p>
              </w:tc>
              <w:tc>
                <w:tcPr>
                  <w:tcW w:w="595" w:type="pct"/>
                  <w:vMerge w:val="restart"/>
                  <w:tcBorders>
                    <w:right w:val="single" w:color="auto" w:sz="4" w:space="0"/>
                  </w:tcBorders>
                  <w:vAlign w:val="center"/>
                </w:tcPr>
                <w:p w14:paraId="2FAE128B">
                  <w:pPr>
                    <w:snapToGrid w:val="0"/>
                    <w:spacing w:line="280" w:lineRule="exact"/>
                    <w:jc w:val="center"/>
                    <w:rPr>
                      <w:sz w:val="18"/>
                      <w:szCs w:val="18"/>
                    </w:rPr>
                  </w:pPr>
                  <w:r>
                    <w:rPr>
                      <w:sz w:val="18"/>
                      <w:szCs w:val="18"/>
                    </w:rPr>
                    <w:t>加盖篷布汽运</w:t>
                  </w:r>
                </w:p>
              </w:tc>
              <w:tc>
                <w:tcPr>
                  <w:tcW w:w="1536" w:type="pct"/>
                  <w:tcBorders>
                    <w:left w:val="single" w:color="auto" w:sz="4" w:space="0"/>
                  </w:tcBorders>
                  <w:vAlign w:val="center"/>
                </w:tcPr>
                <w:p w14:paraId="243DF6B6">
                  <w:pPr>
                    <w:snapToGrid w:val="0"/>
                    <w:spacing w:line="280" w:lineRule="exact"/>
                    <w:jc w:val="center"/>
                    <w:rPr>
                      <w:rFonts w:hint="default" w:eastAsia="宋体"/>
                      <w:sz w:val="18"/>
                      <w:szCs w:val="18"/>
                      <w:lang w:val="en-US" w:eastAsia="zh-CN"/>
                    </w:rPr>
                  </w:pPr>
                  <w:r>
                    <w:rPr>
                      <w:rFonts w:hint="eastAsia"/>
                      <w:sz w:val="18"/>
                      <w:szCs w:val="18"/>
                      <w:lang w:val="en-US" w:eastAsia="zh-CN"/>
                    </w:rPr>
                    <w:t>五车间原料堆存区</w:t>
                  </w:r>
                </w:p>
              </w:tc>
            </w:tr>
            <w:tr w14:paraId="40B41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3A9632D5">
                  <w:pPr>
                    <w:snapToGrid w:val="0"/>
                    <w:spacing w:line="280" w:lineRule="exact"/>
                    <w:jc w:val="center"/>
                    <w:rPr>
                      <w:sz w:val="18"/>
                      <w:szCs w:val="18"/>
                    </w:rPr>
                  </w:pPr>
                  <w:r>
                    <w:rPr>
                      <w:sz w:val="18"/>
                      <w:szCs w:val="18"/>
                    </w:rPr>
                    <w:t>2</w:t>
                  </w:r>
                </w:p>
              </w:tc>
              <w:tc>
                <w:tcPr>
                  <w:tcW w:w="544" w:type="pct"/>
                  <w:gridSpan w:val="2"/>
                  <w:tcBorders>
                    <w:right w:val="single" w:color="auto" w:sz="4" w:space="0"/>
                  </w:tcBorders>
                  <w:vAlign w:val="center"/>
                </w:tcPr>
                <w:p w14:paraId="74FCD114">
                  <w:pPr>
                    <w:snapToGrid w:val="0"/>
                    <w:spacing w:line="240" w:lineRule="exact"/>
                    <w:jc w:val="center"/>
                    <w:rPr>
                      <w:sz w:val="18"/>
                      <w:szCs w:val="18"/>
                    </w:rPr>
                  </w:pPr>
                  <w:r>
                    <w:rPr>
                      <w:rFonts w:hint="eastAsia"/>
                      <w:sz w:val="18"/>
                      <w:szCs w:val="18"/>
                      <w:lang w:val="en-US" w:eastAsia="zh-CN"/>
                    </w:rPr>
                    <w:t>青</w:t>
                  </w:r>
                  <w:r>
                    <w:rPr>
                      <w:sz w:val="18"/>
                      <w:szCs w:val="18"/>
                    </w:rPr>
                    <w:t>砖</w:t>
                  </w:r>
                </w:p>
              </w:tc>
              <w:tc>
                <w:tcPr>
                  <w:tcW w:w="714" w:type="pct"/>
                  <w:tcBorders>
                    <w:left w:val="single" w:color="auto" w:sz="4" w:space="0"/>
                  </w:tcBorders>
                  <w:vAlign w:val="center"/>
                </w:tcPr>
                <w:p w14:paraId="62BA5819">
                  <w:pPr>
                    <w:snapToGrid w:val="0"/>
                    <w:spacing w:line="280" w:lineRule="exact"/>
                    <w:jc w:val="center"/>
                    <w:rPr>
                      <w:rFonts w:hint="eastAsia"/>
                      <w:sz w:val="18"/>
                      <w:szCs w:val="18"/>
                    </w:rPr>
                  </w:pPr>
                  <w:r>
                    <w:rPr>
                      <w:rFonts w:hint="eastAsia"/>
                      <w:sz w:val="18"/>
                      <w:szCs w:val="18"/>
                      <w:lang w:val="en-US" w:eastAsia="zh-CN"/>
                    </w:rPr>
                    <w:t>38</w:t>
                  </w:r>
                  <w:r>
                    <w:rPr>
                      <w:rFonts w:hint="eastAsia"/>
                      <w:sz w:val="18"/>
                      <w:szCs w:val="18"/>
                    </w:rPr>
                    <w:t>00</w:t>
                  </w:r>
                </w:p>
                <w:p w14:paraId="3EE0C0D0">
                  <w:pPr>
                    <w:snapToGrid w:val="0"/>
                    <w:spacing w:line="280" w:lineRule="exact"/>
                    <w:jc w:val="center"/>
                    <w:rPr>
                      <w:rFonts w:hint="eastAsia"/>
                      <w:sz w:val="18"/>
                      <w:szCs w:val="18"/>
                    </w:rPr>
                  </w:pPr>
                  <w:r>
                    <w:rPr>
                      <w:rFonts w:hint="eastAsia"/>
                      <w:sz w:val="18"/>
                      <w:szCs w:val="18"/>
                      <w:lang w:eastAsia="zh-CN"/>
                    </w:rPr>
                    <w:t>（</w:t>
                  </w:r>
                  <w:r>
                    <w:rPr>
                      <w:rFonts w:hint="eastAsia"/>
                      <w:sz w:val="18"/>
                      <w:szCs w:val="18"/>
                      <w:lang w:val="en-US" w:eastAsia="zh-CN"/>
                    </w:rPr>
                    <w:t>2000m</w:t>
                  </w:r>
                  <w:r>
                    <w:rPr>
                      <w:rFonts w:hint="eastAsia"/>
                      <w:sz w:val="18"/>
                      <w:szCs w:val="18"/>
                      <w:vertAlign w:val="superscript"/>
                      <w:lang w:val="en-US" w:eastAsia="zh-CN"/>
                    </w:rPr>
                    <w:t>3</w:t>
                  </w:r>
                  <w:r>
                    <w:rPr>
                      <w:rFonts w:hint="eastAsia"/>
                      <w:sz w:val="18"/>
                      <w:szCs w:val="18"/>
                      <w:lang w:val="en-US" w:eastAsia="zh-CN"/>
                    </w:rPr>
                    <w:t>）</w:t>
                  </w:r>
                </w:p>
              </w:tc>
              <w:tc>
                <w:tcPr>
                  <w:tcW w:w="707" w:type="pct"/>
                  <w:vAlign w:val="center"/>
                </w:tcPr>
                <w:p w14:paraId="29BF9D1D">
                  <w:pPr>
                    <w:snapToGrid w:val="0"/>
                    <w:spacing w:line="280" w:lineRule="exact"/>
                    <w:jc w:val="center"/>
                    <w:rPr>
                      <w:sz w:val="18"/>
                      <w:szCs w:val="18"/>
                    </w:rPr>
                  </w:pPr>
                  <w:r>
                    <w:rPr>
                      <w:rFonts w:hint="eastAsia"/>
                      <w:sz w:val="18"/>
                      <w:szCs w:val="18"/>
                      <w:lang w:val="en-US" w:eastAsia="zh-CN"/>
                    </w:rPr>
                    <w:t>2</w:t>
                  </w:r>
                  <w:r>
                    <w:rPr>
                      <w:rFonts w:hint="eastAsia"/>
                      <w:sz w:val="18"/>
                      <w:szCs w:val="18"/>
                    </w:rPr>
                    <w:t>00</w:t>
                  </w:r>
                </w:p>
              </w:tc>
              <w:tc>
                <w:tcPr>
                  <w:tcW w:w="600" w:type="pct"/>
                  <w:vAlign w:val="center"/>
                </w:tcPr>
                <w:p w14:paraId="4FF12348">
                  <w:pPr>
                    <w:snapToGrid w:val="0"/>
                    <w:spacing w:line="280" w:lineRule="exact"/>
                    <w:jc w:val="center"/>
                    <w:rPr>
                      <w:sz w:val="18"/>
                      <w:szCs w:val="18"/>
                    </w:rPr>
                  </w:pPr>
                  <w:r>
                    <w:rPr>
                      <w:rFonts w:hint="eastAsia"/>
                      <w:sz w:val="18"/>
                      <w:szCs w:val="18"/>
                    </w:rPr>
                    <w:t>固态</w:t>
                  </w:r>
                </w:p>
              </w:tc>
              <w:tc>
                <w:tcPr>
                  <w:tcW w:w="595" w:type="pct"/>
                  <w:vMerge w:val="continue"/>
                  <w:tcBorders>
                    <w:right w:val="single" w:color="auto" w:sz="4" w:space="0"/>
                  </w:tcBorders>
                  <w:vAlign w:val="center"/>
                </w:tcPr>
                <w:p w14:paraId="48AEB9F6">
                  <w:pPr>
                    <w:snapToGrid w:val="0"/>
                    <w:spacing w:line="280" w:lineRule="exact"/>
                    <w:jc w:val="center"/>
                    <w:rPr>
                      <w:sz w:val="18"/>
                      <w:szCs w:val="18"/>
                    </w:rPr>
                  </w:pPr>
                </w:p>
              </w:tc>
              <w:tc>
                <w:tcPr>
                  <w:tcW w:w="1536" w:type="pct"/>
                  <w:tcBorders>
                    <w:left w:val="single" w:color="auto" w:sz="4" w:space="0"/>
                  </w:tcBorders>
                  <w:vAlign w:val="center"/>
                </w:tcPr>
                <w:p w14:paraId="61C40BF3">
                  <w:pPr>
                    <w:snapToGrid w:val="0"/>
                    <w:spacing w:line="280" w:lineRule="exact"/>
                    <w:jc w:val="center"/>
                    <w:rPr>
                      <w:rFonts w:hint="default" w:eastAsia="宋体"/>
                      <w:sz w:val="18"/>
                      <w:szCs w:val="18"/>
                      <w:lang w:val="en-US" w:eastAsia="zh-CN"/>
                    </w:rPr>
                  </w:pPr>
                  <w:r>
                    <w:rPr>
                      <w:rFonts w:hint="eastAsia"/>
                      <w:sz w:val="18"/>
                      <w:szCs w:val="18"/>
                      <w:lang w:val="en-US" w:eastAsia="zh-CN"/>
                    </w:rPr>
                    <w:t>一车间原料堆存区</w:t>
                  </w:r>
                </w:p>
              </w:tc>
            </w:tr>
            <w:tr w14:paraId="288D91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438DDD1B">
                  <w:pPr>
                    <w:snapToGrid w:val="0"/>
                    <w:spacing w:line="280" w:lineRule="exact"/>
                    <w:jc w:val="center"/>
                    <w:rPr>
                      <w:sz w:val="18"/>
                      <w:szCs w:val="18"/>
                    </w:rPr>
                  </w:pPr>
                  <w:r>
                    <w:rPr>
                      <w:sz w:val="18"/>
                      <w:szCs w:val="18"/>
                    </w:rPr>
                    <w:t>3</w:t>
                  </w:r>
                </w:p>
              </w:tc>
              <w:tc>
                <w:tcPr>
                  <w:tcW w:w="544" w:type="pct"/>
                  <w:gridSpan w:val="2"/>
                  <w:tcBorders>
                    <w:right w:val="single" w:color="auto" w:sz="4" w:space="0"/>
                  </w:tcBorders>
                  <w:vAlign w:val="center"/>
                </w:tcPr>
                <w:p w14:paraId="72F86C11">
                  <w:pPr>
                    <w:snapToGrid w:val="0"/>
                    <w:spacing w:line="240" w:lineRule="exact"/>
                    <w:jc w:val="center"/>
                    <w:rPr>
                      <w:sz w:val="18"/>
                      <w:szCs w:val="18"/>
                    </w:rPr>
                  </w:pPr>
                  <w:r>
                    <w:rPr>
                      <w:sz w:val="18"/>
                      <w:szCs w:val="18"/>
                    </w:rPr>
                    <w:t>石材</w:t>
                  </w:r>
                </w:p>
              </w:tc>
              <w:tc>
                <w:tcPr>
                  <w:tcW w:w="714" w:type="pct"/>
                  <w:tcBorders>
                    <w:left w:val="single" w:color="auto" w:sz="4" w:space="0"/>
                  </w:tcBorders>
                  <w:vAlign w:val="center"/>
                </w:tcPr>
                <w:p w14:paraId="36074ECE">
                  <w:pPr>
                    <w:snapToGrid w:val="0"/>
                    <w:spacing w:line="280" w:lineRule="exact"/>
                    <w:jc w:val="center"/>
                    <w:rPr>
                      <w:rFonts w:hint="eastAsia"/>
                      <w:sz w:val="18"/>
                      <w:szCs w:val="18"/>
                    </w:rPr>
                  </w:pPr>
                  <w:r>
                    <w:rPr>
                      <w:rFonts w:hint="eastAsia"/>
                      <w:sz w:val="18"/>
                      <w:szCs w:val="18"/>
                      <w:lang w:val="en-US" w:eastAsia="zh-CN"/>
                    </w:rPr>
                    <w:t>4000</w:t>
                  </w:r>
                  <w:r>
                    <w:rPr>
                      <w:rFonts w:hint="eastAsia"/>
                      <w:sz w:val="18"/>
                      <w:szCs w:val="18"/>
                      <w:lang w:eastAsia="zh-CN"/>
                    </w:rPr>
                    <w:t>（</w:t>
                  </w:r>
                  <w:r>
                    <w:rPr>
                      <w:rFonts w:hint="eastAsia"/>
                      <w:sz w:val="18"/>
                      <w:szCs w:val="18"/>
                      <w:lang w:val="en-US" w:eastAsia="zh-CN"/>
                    </w:rPr>
                    <w:t>1500m</w:t>
                  </w:r>
                  <w:r>
                    <w:rPr>
                      <w:rFonts w:hint="eastAsia"/>
                      <w:sz w:val="18"/>
                      <w:szCs w:val="18"/>
                      <w:vertAlign w:val="superscript"/>
                      <w:lang w:val="en-US" w:eastAsia="zh-CN"/>
                    </w:rPr>
                    <w:t>3</w:t>
                  </w:r>
                  <w:r>
                    <w:rPr>
                      <w:rFonts w:hint="eastAsia"/>
                      <w:sz w:val="18"/>
                      <w:szCs w:val="18"/>
                      <w:lang w:val="en-US" w:eastAsia="zh-CN"/>
                    </w:rPr>
                    <w:t>）</w:t>
                  </w:r>
                </w:p>
              </w:tc>
              <w:tc>
                <w:tcPr>
                  <w:tcW w:w="707" w:type="pct"/>
                  <w:vAlign w:val="center"/>
                </w:tcPr>
                <w:p w14:paraId="3F92D1BF">
                  <w:pPr>
                    <w:snapToGrid w:val="0"/>
                    <w:spacing w:line="280" w:lineRule="exact"/>
                    <w:jc w:val="center"/>
                    <w:rPr>
                      <w:sz w:val="18"/>
                      <w:szCs w:val="18"/>
                    </w:rPr>
                  </w:pPr>
                  <w:r>
                    <w:rPr>
                      <w:rFonts w:hint="eastAsia"/>
                      <w:sz w:val="18"/>
                      <w:szCs w:val="18"/>
                      <w:lang w:val="en-US" w:eastAsia="zh-CN"/>
                    </w:rPr>
                    <w:t>2</w:t>
                  </w:r>
                  <w:r>
                    <w:rPr>
                      <w:rFonts w:hint="eastAsia"/>
                      <w:sz w:val="18"/>
                      <w:szCs w:val="18"/>
                    </w:rPr>
                    <w:t>00</w:t>
                  </w:r>
                </w:p>
              </w:tc>
              <w:tc>
                <w:tcPr>
                  <w:tcW w:w="600" w:type="pct"/>
                  <w:vAlign w:val="center"/>
                </w:tcPr>
                <w:p w14:paraId="3AE6D1BA">
                  <w:pPr>
                    <w:snapToGrid w:val="0"/>
                    <w:spacing w:line="280" w:lineRule="exact"/>
                    <w:jc w:val="center"/>
                    <w:rPr>
                      <w:sz w:val="18"/>
                      <w:szCs w:val="18"/>
                    </w:rPr>
                  </w:pPr>
                  <w:r>
                    <w:rPr>
                      <w:rFonts w:hint="eastAsia"/>
                      <w:sz w:val="18"/>
                      <w:szCs w:val="18"/>
                    </w:rPr>
                    <w:t>固态</w:t>
                  </w:r>
                </w:p>
              </w:tc>
              <w:tc>
                <w:tcPr>
                  <w:tcW w:w="595" w:type="pct"/>
                  <w:vMerge w:val="continue"/>
                  <w:tcBorders>
                    <w:right w:val="single" w:color="auto" w:sz="4" w:space="0"/>
                  </w:tcBorders>
                  <w:vAlign w:val="center"/>
                </w:tcPr>
                <w:p w14:paraId="13FAA135">
                  <w:pPr>
                    <w:snapToGrid w:val="0"/>
                    <w:spacing w:line="280" w:lineRule="exact"/>
                    <w:jc w:val="center"/>
                    <w:rPr>
                      <w:sz w:val="18"/>
                      <w:szCs w:val="18"/>
                    </w:rPr>
                  </w:pPr>
                </w:p>
              </w:tc>
              <w:tc>
                <w:tcPr>
                  <w:tcW w:w="1536" w:type="pct"/>
                  <w:tcBorders>
                    <w:left w:val="single" w:color="auto" w:sz="4" w:space="0"/>
                  </w:tcBorders>
                  <w:vAlign w:val="center"/>
                </w:tcPr>
                <w:p w14:paraId="433EB294">
                  <w:pPr>
                    <w:snapToGrid w:val="0"/>
                    <w:spacing w:line="280" w:lineRule="exact"/>
                    <w:jc w:val="center"/>
                    <w:rPr>
                      <w:sz w:val="18"/>
                      <w:szCs w:val="18"/>
                    </w:rPr>
                  </w:pPr>
                  <w:r>
                    <w:rPr>
                      <w:rFonts w:hint="eastAsia"/>
                      <w:sz w:val="18"/>
                      <w:szCs w:val="18"/>
                      <w:lang w:val="en-US" w:eastAsia="zh-CN"/>
                    </w:rPr>
                    <w:t>二车间原料堆存区</w:t>
                  </w:r>
                </w:p>
              </w:tc>
            </w:tr>
            <w:tr w14:paraId="2CBE8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8"/>
                  <w:vAlign w:val="center"/>
                </w:tcPr>
                <w:p w14:paraId="3E3A7050">
                  <w:pPr>
                    <w:snapToGrid w:val="0"/>
                    <w:spacing w:line="280" w:lineRule="exact"/>
                    <w:jc w:val="center"/>
                    <w:rPr>
                      <w:sz w:val="18"/>
                      <w:szCs w:val="18"/>
                    </w:rPr>
                  </w:pPr>
                  <w:r>
                    <w:rPr>
                      <w:sz w:val="18"/>
                      <w:szCs w:val="18"/>
                    </w:rPr>
                    <w:t>主要辅助材料</w:t>
                  </w:r>
                </w:p>
              </w:tc>
            </w:tr>
            <w:tr w14:paraId="2A45D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27C18395">
                  <w:pPr>
                    <w:snapToGrid w:val="0"/>
                    <w:spacing w:line="280" w:lineRule="exact"/>
                    <w:jc w:val="center"/>
                    <w:rPr>
                      <w:sz w:val="18"/>
                      <w:szCs w:val="18"/>
                    </w:rPr>
                  </w:pPr>
                  <w:r>
                    <w:rPr>
                      <w:rFonts w:hint="eastAsia"/>
                      <w:sz w:val="18"/>
                      <w:szCs w:val="18"/>
                    </w:rPr>
                    <w:t>4</w:t>
                  </w:r>
                </w:p>
              </w:tc>
              <w:tc>
                <w:tcPr>
                  <w:tcW w:w="249" w:type="pct"/>
                  <w:vMerge w:val="restart"/>
                  <w:tcBorders>
                    <w:right w:val="single" w:color="auto" w:sz="4" w:space="0"/>
                  </w:tcBorders>
                  <w:vAlign w:val="center"/>
                </w:tcPr>
                <w:p w14:paraId="53C83ADB">
                  <w:pPr>
                    <w:snapToGrid w:val="0"/>
                    <w:spacing w:line="280" w:lineRule="exact"/>
                    <w:jc w:val="center"/>
                    <w:rPr>
                      <w:sz w:val="18"/>
                      <w:szCs w:val="18"/>
                    </w:rPr>
                  </w:pPr>
                  <w:r>
                    <w:rPr>
                      <w:sz w:val="18"/>
                      <w:szCs w:val="18"/>
                    </w:rPr>
                    <w:t>水性漆</w:t>
                  </w:r>
                </w:p>
              </w:tc>
              <w:tc>
                <w:tcPr>
                  <w:tcW w:w="294" w:type="pct"/>
                  <w:tcBorders>
                    <w:left w:val="single" w:color="auto" w:sz="4" w:space="0"/>
                    <w:right w:val="single" w:color="auto" w:sz="4" w:space="0"/>
                  </w:tcBorders>
                  <w:vAlign w:val="center"/>
                </w:tcPr>
                <w:p w14:paraId="0EAA8A7B">
                  <w:pPr>
                    <w:snapToGrid w:val="0"/>
                    <w:spacing w:line="280" w:lineRule="exact"/>
                    <w:jc w:val="center"/>
                    <w:rPr>
                      <w:sz w:val="18"/>
                      <w:szCs w:val="18"/>
                    </w:rPr>
                  </w:pPr>
                  <w:r>
                    <w:rPr>
                      <w:rFonts w:hint="eastAsia"/>
                      <w:sz w:val="18"/>
                      <w:szCs w:val="18"/>
                    </w:rPr>
                    <w:t>底漆</w:t>
                  </w:r>
                </w:p>
              </w:tc>
              <w:tc>
                <w:tcPr>
                  <w:tcW w:w="714" w:type="pct"/>
                  <w:tcBorders>
                    <w:left w:val="single" w:color="auto" w:sz="4" w:space="0"/>
                  </w:tcBorders>
                  <w:vAlign w:val="center"/>
                </w:tcPr>
                <w:p w14:paraId="71CCDB24">
                  <w:pPr>
                    <w:snapToGrid w:val="0"/>
                    <w:spacing w:line="280" w:lineRule="exact"/>
                    <w:jc w:val="center"/>
                    <w:rPr>
                      <w:rFonts w:hint="eastAsia" w:eastAsia="宋体"/>
                      <w:sz w:val="18"/>
                      <w:szCs w:val="18"/>
                      <w:lang w:eastAsia="zh-CN"/>
                    </w:rPr>
                  </w:pPr>
                  <w:r>
                    <w:rPr>
                      <w:rFonts w:hint="eastAsia"/>
                      <w:sz w:val="18"/>
                      <w:szCs w:val="18"/>
                      <w:lang w:val="en-US" w:eastAsia="zh-CN"/>
                    </w:rPr>
                    <w:t>3</w:t>
                  </w:r>
                </w:p>
              </w:tc>
              <w:tc>
                <w:tcPr>
                  <w:tcW w:w="707" w:type="pct"/>
                  <w:vAlign w:val="center"/>
                </w:tcPr>
                <w:p w14:paraId="7790AC56">
                  <w:pPr>
                    <w:snapToGrid w:val="0"/>
                    <w:spacing w:line="280" w:lineRule="exact"/>
                    <w:jc w:val="center"/>
                    <w:rPr>
                      <w:rFonts w:hint="eastAsia" w:eastAsia="宋体"/>
                      <w:sz w:val="18"/>
                      <w:szCs w:val="18"/>
                      <w:lang w:eastAsia="zh-CN"/>
                    </w:rPr>
                  </w:pPr>
                  <w:r>
                    <w:rPr>
                      <w:rFonts w:hint="eastAsia"/>
                      <w:sz w:val="18"/>
                      <w:szCs w:val="18"/>
                      <w:lang w:val="en-US" w:eastAsia="zh-CN"/>
                    </w:rPr>
                    <w:t>3</w:t>
                  </w:r>
                </w:p>
              </w:tc>
              <w:tc>
                <w:tcPr>
                  <w:tcW w:w="600" w:type="pct"/>
                  <w:vAlign w:val="center"/>
                </w:tcPr>
                <w:p w14:paraId="721A0DD8">
                  <w:pPr>
                    <w:snapToGrid w:val="0"/>
                    <w:spacing w:line="280" w:lineRule="exact"/>
                    <w:jc w:val="center"/>
                    <w:rPr>
                      <w:sz w:val="18"/>
                      <w:szCs w:val="18"/>
                    </w:rPr>
                  </w:pPr>
                  <w:r>
                    <w:rPr>
                      <w:sz w:val="18"/>
                      <w:szCs w:val="18"/>
                    </w:rPr>
                    <w:t>液态</w:t>
                  </w:r>
                </w:p>
              </w:tc>
              <w:tc>
                <w:tcPr>
                  <w:tcW w:w="595" w:type="pct"/>
                  <w:vMerge w:val="restart"/>
                  <w:tcBorders>
                    <w:right w:val="single" w:color="auto" w:sz="4" w:space="0"/>
                  </w:tcBorders>
                  <w:vAlign w:val="center"/>
                </w:tcPr>
                <w:p w14:paraId="5F9FB29D">
                  <w:pPr>
                    <w:snapToGrid w:val="0"/>
                    <w:spacing w:line="280" w:lineRule="exact"/>
                    <w:jc w:val="center"/>
                    <w:rPr>
                      <w:sz w:val="18"/>
                      <w:szCs w:val="18"/>
                    </w:rPr>
                  </w:pPr>
                  <w:r>
                    <w:rPr>
                      <w:sz w:val="18"/>
                      <w:szCs w:val="18"/>
                    </w:rPr>
                    <w:t>供货厂家箱式汽运</w:t>
                  </w:r>
                </w:p>
              </w:tc>
              <w:tc>
                <w:tcPr>
                  <w:tcW w:w="1536" w:type="pct"/>
                  <w:vMerge w:val="restart"/>
                  <w:tcBorders>
                    <w:left w:val="single" w:color="auto" w:sz="4" w:space="0"/>
                  </w:tcBorders>
                  <w:vAlign w:val="center"/>
                </w:tcPr>
                <w:p w14:paraId="125B706B">
                  <w:pPr>
                    <w:snapToGrid w:val="0"/>
                    <w:spacing w:line="280" w:lineRule="exact"/>
                    <w:jc w:val="center"/>
                    <w:rPr>
                      <w:sz w:val="18"/>
                      <w:szCs w:val="18"/>
                    </w:rPr>
                  </w:pPr>
                  <w:r>
                    <w:rPr>
                      <w:rFonts w:hint="eastAsia"/>
                      <w:sz w:val="18"/>
                      <w:szCs w:val="18"/>
                      <w:lang w:val="en-US" w:eastAsia="zh-CN"/>
                    </w:rPr>
                    <w:t>三车间</w:t>
                  </w:r>
                </w:p>
              </w:tc>
            </w:tr>
            <w:tr w14:paraId="4944E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078ED78E">
                  <w:pPr>
                    <w:snapToGrid w:val="0"/>
                    <w:spacing w:line="280" w:lineRule="exact"/>
                    <w:jc w:val="center"/>
                    <w:rPr>
                      <w:sz w:val="18"/>
                      <w:szCs w:val="18"/>
                    </w:rPr>
                  </w:pPr>
                  <w:r>
                    <w:rPr>
                      <w:rFonts w:hint="eastAsia"/>
                      <w:sz w:val="18"/>
                      <w:szCs w:val="18"/>
                    </w:rPr>
                    <w:t>5</w:t>
                  </w:r>
                </w:p>
              </w:tc>
              <w:tc>
                <w:tcPr>
                  <w:tcW w:w="249" w:type="pct"/>
                  <w:vMerge w:val="continue"/>
                  <w:tcBorders>
                    <w:right w:val="single" w:color="auto" w:sz="4" w:space="0"/>
                  </w:tcBorders>
                  <w:vAlign w:val="center"/>
                </w:tcPr>
                <w:p w14:paraId="55BB5B20">
                  <w:pPr>
                    <w:snapToGrid w:val="0"/>
                    <w:spacing w:line="280" w:lineRule="exact"/>
                    <w:jc w:val="center"/>
                    <w:rPr>
                      <w:sz w:val="18"/>
                      <w:szCs w:val="18"/>
                    </w:rPr>
                  </w:pPr>
                </w:p>
              </w:tc>
              <w:tc>
                <w:tcPr>
                  <w:tcW w:w="294" w:type="pct"/>
                  <w:tcBorders>
                    <w:left w:val="single" w:color="auto" w:sz="4" w:space="0"/>
                    <w:right w:val="single" w:color="auto" w:sz="4" w:space="0"/>
                  </w:tcBorders>
                  <w:vAlign w:val="center"/>
                </w:tcPr>
                <w:p w14:paraId="2990A6F8">
                  <w:pPr>
                    <w:snapToGrid w:val="0"/>
                    <w:spacing w:line="280" w:lineRule="exact"/>
                    <w:jc w:val="center"/>
                    <w:rPr>
                      <w:sz w:val="18"/>
                      <w:szCs w:val="18"/>
                    </w:rPr>
                  </w:pPr>
                  <w:r>
                    <w:rPr>
                      <w:rFonts w:hint="eastAsia"/>
                      <w:sz w:val="18"/>
                      <w:szCs w:val="18"/>
                    </w:rPr>
                    <w:t>面漆</w:t>
                  </w:r>
                </w:p>
              </w:tc>
              <w:tc>
                <w:tcPr>
                  <w:tcW w:w="714" w:type="pct"/>
                  <w:tcBorders>
                    <w:left w:val="single" w:color="auto" w:sz="4" w:space="0"/>
                  </w:tcBorders>
                  <w:vAlign w:val="center"/>
                </w:tcPr>
                <w:p w14:paraId="2A41F7E3">
                  <w:pPr>
                    <w:snapToGrid w:val="0"/>
                    <w:spacing w:line="280" w:lineRule="exact"/>
                    <w:jc w:val="center"/>
                    <w:rPr>
                      <w:rFonts w:hint="eastAsia" w:eastAsia="宋体"/>
                      <w:sz w:val="18"/>
                      <w:szCs w:val="18"/>
                      <w:lang w:eastAsia="zh-CN"/>
                    </w:rPr>
                  </w:pPr>
                  <w:r>
                    <w:rPr>
                      <w:rFonts w:hint="eastAsia"/>
                      <w:sz w:val="18"/>
                      <w:szCs w:val="18"/>
                      <w:lang w:val="en-US" w:eastAsia="zh-CN"/>
                    </w:rPr>
                    <w:t>4</w:t>
                  </w:r>
                </w:p>
              </w:tc>
              <w:tc>
                <w:tcPr>
                  <w:tcW w:w="707" w:type="pct"/>
                  <w:vAlign w:val="center"/>
                </w:tcPr>
                <w:p w14:paraId="5A88977C">
                  <w:pPr>
                    <w:snapToGrid w:val="0"/>
                    <w:spacing w:line="280" w:lineRule="exact"/>
                    <w:jc w:val="center"/>
                    <w:rPr>
                      <w:rFonts w:hint="eastAsia" w:eastAsia="宋体"/>
                      <w:sz w:val="18"/>
                      <w:szCs w:val="18"/>
                      <w:lang w:eastAsia="zh-CN"/>
                    </w:rPr>
                  </w:pPr>
                  <w:r>
                    <w:rPr>
                      <w:rFonts w:hint="eastAsia"/>
                      <w:sz w:val="18"/>
                      <w:szCs w:val="18"/>
                      <w:lang w:val="en-US" w:eastAsia="zh-CN"/>
                    </w:rPr>
                    <w:t>4</w:t>
                  </w:r>
                </w:p>
              </w:tc>
              <w:tc>
                <w:tcPr>
                  <w:tcW w:w="600" w:type="pct"/>
                  <w:vAlign w:val="center"/>
                </w:tcPr>
                <w:p w14:paraId="2B05ED05">
                  <w:pPr>
                    <w:snapToGrid w:val="0"/>
                    <w:spacing w:line="280" w:lineRule="exact"/>
                    <w:jc w:val="center"/>
                    <w:rPr>
                      <w:sz w:val="18"/>
                      <w:szCs w:val="18"/>
                    </w:rPr>
                  </w:pPr>
                  <w:r>
                    <w:rPr>
                      <w:sz w:val="18"/>
                      <w:szCs w:val="18"/>
                    </w:rPr>
                    <w:t>液态</w:t>
                  </w:r>
                </w:p>
              </w:tc>
              <w:tc>
                <w:tcPr>
                  <w:tcW w:w="595" w:type="pct"/>
                  <w:vMerge w:val="continue"/>
                  <w:tcBorders>
                    <w:right w:val="single" w:color="auto" w:sz="4" w:space="0"/>
                  </w:tcBorders>
                  <w:vAlign w:val="center"/>
                </w:tcPr>
                <w:p w14:paraId="45DDB3D7">
                  <w:pPr>
                    <w:snapToGrid w:val="0"/>
                    <w:spacing w:line="280" w:lineRule="exact"/>
                    <w:jc w:val="center"/>
                    <w:rPr>
                      <w:sz w:val="18"/>
                      <w:szCs w:val="18"/>
                    </w:rPr>
                  </w:pPr>
                </w:p>
              </w:tc>
              <w:tc>
                <w:tcPr>
                  <w:tcW w:w="1536" w:type="pct"/>
                  <w:vMerge w:val="continue"/>
                  <w:tcBorders>
                    <w:left w:val="single" w:color="auto" w:sz="4" w:space="0"/>
                  </w:tcBorders>
                  <w:vAlign w:val="center"/>
                </w:tcPr>
                <w:p w14:paraId="6A70B9DF">
                  <w:pPr>
                    <w:snapToGrid w:val="0"/>
                    <w:spacing w:line="280" w:lineRule="exact"/>
                    <w:jc w:val="center"/>
                    <w:rPr>
                      <w:sz w:val="18"/>
                      <w:szCs w:val="18"/>
                    </w:rPr>
                  </w:pPr>
                </w:p>
              </w:tc>
            </w:tr>
            <w:tr w14:paraId="09D616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21EEF1BC">
                  <w:pPr>
                    <w:snapToGrid w:val="0"/>
                    <w:spacing w:line="280" w:lineRule="exact"/>
                    <w:jc w:val="center"/>
                    <w:rPr>
                      <w:sz w:val="18"/>
                      <w:szCs w:val="18"/>
                    </w:rPr>
                  </w:pPr>
                  <w:r>
                    <w:rPr>
                      <w:rFonts w:hint="eastAsia"/>
                      <w:sz w:val="18"/>
                      <w:szCs w:val="18"/>
                    </w:rPr>
                    <w:t>6</w:t>
                  </w:r>
                </w:p>
              </w:tc>
              <w:tc>
                <w:tcPr>
                  <w:tcW w:w="544" w:type="pct"/>
                  <w:gridSpan w:val="2"/>
                  <w:tcBorders>
                    <w:right w:val="single" w:color="auto" w:sz="4" w:space="0"/>
                  </w:tcBorders>
                  <w:vAlign w:val="center"/>
                </w:tcPr>
                <w:p w14:paraId="5B8EA574">
                  <w:pPr>
                    <w:snapToGrid w:val="0"/>
                    <w:spacing w:line="280" w:lineRule="exact"/>
                    <w:jc w:val="center"/>
                    <w:rPr>
                      <w:rFonts w:hint="eastAsia" w:eastAsia="宋体"/>
                      <w:sz w:val="18"/>
                      <w:szCs w:val="18"/>
                      <w:lang w:eastAsia="zh-CN"/>
                    </w:rPr>
                  </w:pPr>
                  <w:r>
                    <w:rPr>
                      <w:rFonts w:hint="eastAsia"/>
                      <w:sz w:val="18"/>
                      <w:szCs w:val="18"/>
                      <w:lang w:val="en-US" w:eastAsia="zh-CN"/>
                    </w:rPr>
                    <w:t>防腐剂</w:t>
                  </w:r>
                </w:p>
              </w:tc>
              <w:tc>
                <w:tcPr>
                  <w:tcW w:w="714" w:type="pct"/>
                  <w:tcBorders>
                    <w:left w:val="single" w:color="auto" w:sz="4" w:space="0"/>
                  </w:tcBorders>
                  <w:vAlign w:val="center"/>
                </w:tcPr>
                <w:p w14:paraId="57A34497">
                  <w:pPr>
                    <w:snapToGrid w:val="0"/>
                    <w:spacing w:line="280" w:lineRule="exact"/>
                    <w:jc w:val="center"/>
                    <w:rPr>
                      <w:rFonts w:hint="eastAsia" w:eastAsia="宋体"/>
                      <w:sz w:val="18"/>
                      <w:szCs w:val="18"/>
                      <w:lang w:eastAsia="zh-CN"/>
                    </w:rPr>
                  </w:pPr>
                  <w:r>
                    <w:rPr>
                      <w:rFonts w:hint="eastAsia"/>
                      <w:sz w:val="18"/>
                      <w:szCs w:val="18"/>
                      <w:lang w:val="en-US" w:eastAsia="zh-CN"/>
                    </w:rPr>
                    <w:t>2</w:t>
                  </w:r>
                </w:p>
              </w:tc>
              <w:tc>
                <w:tcPr>
                  <w:tcW w:w="707" w:type="pct"/>
                  <w:vAlign w:val="center"/>
                </w:tcPr>
                <w:p w14:paraId="2EADECBA">
                  <w:pPr>
                    <w:snapToGrid w:val="0"/>
                    <w:spacing w:line="280" w:lineRule="exact"/>
                    <w:jc w:val="center"/>
                    <w:rPr>
                      <w:rFonts w:hint="eastAsia" w:eastAsia="宋体"/>
                      <w:sz w:val="18"/>
                      <w:szCs w:val="18"/>
                      <w:lang w:eastAsia="zh-CN"/>
                    </w:rPr>
                  </w:pPr>
                  <w:r>
                    <w:rPr>
                      <w:rFonts w:hint="eastAsia"/>
                      <w:sz w:val="18"/>
                      <w:szCs w:val="18"/>
                      <w:lang w:val="en-US" w:eastAsia="zh-CN"/>
                    </w:rPr>
                    <w:t>2</w:t>
                  </w:r>
                </w:p>
              </w:tc>
              <w:tc>
                <w:tcPr>
                  <w:tcW w:w="600" w:type="pct"/>
                  <w:vAlign w:val="center"/>
                </w:tcPr>
                <w:p w14:paraId="0A13D841">
                  <w:pPr>
                    <w:snapToGrid w:val="0"/>
                    <w:spacing w:line="280" w:lineRule="exact"/>
                    <w:jc w:val="center"/>
                    <w:rPr>
                      <w:sz w:val="18"/>
                      <w:szCs w:val="18"/>
                    </w:rPr>
                  </w:pPr>
                  <w:r>
                    <w:rPr>
                      <w:sz w:val="18"/>
                      <w:szCs w:val="18"/>
                    </w:rPr>
                    <w:t>液态</w:t>
                  </w:r>
                </w:p>
              </w:tc>
              <w:tc>
                <w:tcPr>
                  <w:tcW w:w="595" w:type="pct"/>
                  <w:vMerge w:val="continue"/>
                  <w:tcBorders>
                    <w:right w:val="single" w:color="auto" w:sz="4" w:space="0"/>
                  </w:tcBorders>
                  <w:vAlign w:val="center"/>
                </w:tcPr>
                <w:p w14:paraId="30CC57CD">
                  <w:pPr>
                    <w:snapToGrid w:val="0"/>
                    <w:spacing w:line="280" w:lineRule="exact"/>
                    <w:jc w:val="center"/>
                    <w:rPr>
                      <w:sz w:val="18"/>
                      <w:szCs w:val="18"/>
                    </w:rPr>
                  </w:pPr>
                </w:p>
              </w:tc>
              <w:tc>
                <w:tcPr>
                  <w:tcW w:w="1536" w:type="pct"/>
                  <w:vMerge w:val="continue"/>
                  <w:tcBorders>
                    <w:left w:val="single" w:color="auto" w:sz="4" w:space="0"/>
                  </w:tcBorders>
                  <w:vAlign w:val="center"/>
                </w:tcPr>
                <w:p w14:paraId="3CF67855">
                  <w:pPr>
                    <w:snapToGrid w:val="0"/>
                    <w:spacing w:line="280" w:lineRule="exact"/>
                    <w:jc w:val="center"/>
                    <w:rPr>
                      <w:sz w:val="18"/>
                      <w:szCs w:val="18"/>
                    </w:rPr>
                  </w:pPr>
                </w:p>
              </w:tc>
            </w:tr>
            <w:tr w14:paraId="1D40E6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03BBC350">
                  <w:pPr>
                    <w:snapToGrid w:val="0"/>
                    <w:spacing w:line="280" w:lineRule="exact"/>
                    <w:jc w:val="center"/>
                    <w:rPr>
                      <w:rFonts w:hint="eastAsia"/>
                      <w:sz w:val="18"/>
                      <w:szCs w:val="18"/>
                    </w:rPr>
                  </w:pPr>
                  <w:r>
                    <w:rPr>
                      <w:rFonts w:hint="eastAsia"/>
                      <w:sz w:val="18"/>
                      <w:szCs w:val="18"/>
                    </w:rPr>
                    <w:t>7</w:t>
                  </w:r>
                </w:p>
              </w:tc>
              <w:tc>
                <w:tcPr>
                  <w:tcW w:w="544" w:type="pct"/>
                  <w:gridSpan w:val="2"/>
                  <w:tcBorders>
                    <w:right w:val="single" w:color="auto" w:sz="4" w:space="0"/>
                  </w:tcBorders>
                  <w:vAlign w:val="center"/>
                </w:tcPr>
                <w:p w14:paraId="3013B8BC">
                  <w:pPr>
                    <w:snapToGrid w:val="0"/>
                    <w:spacing w:line="280" w:lineRule="exact"/>
                    <w:jc w:val="center"/>
                    <w:rPr>
                      <w:rFonts w:hint="eastAsia"/>
                      <w:sz w:val="18"/>
                      <w:szCs w:val="18"/>
                      <w:lang w:val="en-US" w:eastAsia="zh-CN"/>
                    </w:rPr>
                  </w:pPr>
                  <w:r>
                    <w:rPr>
                      <w:sz w:val="18"/>
                      <w:szCs w:val="18"/>
                    </w:rPr>
                    <w:t>胶</w:t>
                  </w:r>
                  <w:r>
                    <w:rPr>
                      <w:rFonts w:hint="eastAsia"/>
                      <w:sz w:val="18"/>
                      <w:szCs w:val="18"/>
                    </w:rPr>
                    <w:t>（水性）</w:t>
                  </w:r>
                </w:p>
              </w:tc>
              <w:tc>
                <w:tcPr>
                  <w:tcW w:w="714" w:type="pct"/>
                  <w:tcBorders>
                    <w:left w:val="single" w:color="auto" w:sz="4" w:space="0"/>
                  </w:tcBorders>
                  <w:vAlign w:val="center"/>
                </w:tcPr>
                <w:p w14:paraId="24888F35">
                  <w:pPr>
                    <w:snapToGrid w:val="0"/>
                    <w:spacing w:line="280" w:lineRule="exact"/>
                    <w:jc w:val="center"/>
                    <w:rPr>
                      <w:rFonts w:hint="eastAsia"/>
                      <w:sz w:val="18"/>
                      <w:szCs w:val="18"/>
                      <w:lang w:val="en-US" w:eastAsia="zh-CN"/>
                    </w:rPr>
                  </w:pPr>
                  <w:r>
                    <w:rPr>
                      <w:rFonts w:hint="eastAsia"/>
                      <w:sz w:val="18"/>
                      <w:szCs w:val="18"/>
                    </w:rPr>
                    <w:t>1.5</w:t>
                  </w:r>
                </w:p>
              </w:tc>
              <w:tc>
                <w:tcPr>
                  <w:tcW w:w="707" w:type="pct"/>
                  <w:vAlign w:val="center"/>
                </w:tcPr>
                <w:p w14:paraId="203C5D4A">
                  <w:pPr>
                    <w:snapToGrid w:val="0"/>
                    <w:spacing w:line="280" w:lineRule="exact"/>
                    <w:jc w:val="center"/>
                    <w:rPr>
                      <w:rFonts w:hint="eastAsia"/>
                      <w:sz w:val="18"/>
                      <w:szCs w:val="18"/>
                      <w:lang w:val="en-US" w:eastAsia="zh-CN"/>
                    </w:rPr>
                  </w:pPr>
                  <w:r>
                    <w:rPr>
                      <w:rFonts w:hint="eastAsia"/>
                      <w:sz w:val="18"/>
                      <w:szCs w:val="18"/>
                    </w:rPr>
                    <w:t>0.3</w:t>
                  </w:r>
                </w:p>
              </w:tc>
              <w:tc>
                <w:tcPr>
                  <w:tcW w:w="600" w:type="pct"/>
                  <w:vAlign w:val="center"/>
                </w:tcPr>
                <w:p w14:paraId="50FBDDD6">
                  <w:pPr>
                    <w:snapToGrid w:val="0"/>
                    <w:spacing w:line="280" w:lineRule="exact"/>
                    <w:jc w:val="center"/>
                    <w:rPr>
                      <w:sz w:val="18"/>
                      <w:szCs w:val="18"/>
                    </w:rPr>
                  </w:pPr>
                  <w:r>
                    <w:rPr>
                      <w:sz w:val="18"/>
                      <w:szCs w:val="18"/>
                    </w:rPr>
                    <w:t>液态</w:t>
                  </w:r>
                </w:p>
              </w:tc>
              <w:tc>
                <w:tcPr>
                  <w:tcW w:w="595" w:type="pct"/>
                  <w:vMerge w:val="continue"/>
                  <w:tcBorders>
                    <w:right w:val="single" w:color="auto" w:sz="4" w:space="0"/>
                  </w:tcBorders>
                  <w:vAlign w:val="center"/>
                </w:tcPr>
                <w:p w14:paraId="5FF0515B">
                  <w:pPr>
                    <w:snapToGrid w:val="0"/>
                    <w:spacing w:line="280" w:lineRule="exact"/>
                    <w:jc w:val="center"/>
                    <w:rPr>
                      <w:sz w:val="18"/>
                      <w:szCs w:val="18"/>
                    </w:rPr>
                  </w:pPr>
                </w:p>
              </w:tc>
              <w:tc>
                <w:tcPr>
                  <w:tcW w:w="1536" w:type="pct"/>
                  <w:tcBorders>
                    <w:left w:val="single" w:color="auto" w:sz="4" w:space="0"/>
                  </w:tcBorders>
                  <w:vAlign w:val="center"/>
                </w:tcPr>
                <w:p w14:paraId="427815F7">
                  <w:pPr>
                    <w:snapToGrid w:val="0"/>
                    <w:spacing w:line="280" w:lineRule="exact"/>
                    <w:jc w:val="center"/>
                    <w:rPr>
                      <w:rFonts w:hint="eastAsia" w:eastAsia="宋体"/>
                      <w:sz w:val="18"/>
                      <w:szCs w:val="18"/>
                      <w:lang w:val="en-US" w:eastAsia="zh-CN"/>
                    </w:rPr>
                  </w:pPr>
                  <w:r>
                    <w:rPr>
                      <w:rFonts w:hint="eastAsia"/>
                      <w:sz w:val="18"/>
                      <w:szCs w:val="18"/>
                      <w:lang w:val="en-US" w:eastAsia="zh-CN"/>
                    </w:rPr>
                    <w:t>四车间</w:t>
                  </w:r>
                </w:p>
              </w:tc>
            </w:tr>
            <w:tr w14:paraId="292C9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300" w:type="pct"/>
                  <w:vAlign w:val="center"/>
                </w:tcPr>
                <w:p w14:paraId="6F6A7F90">
                  <w:pPr>
                    <w:snapToGrid w:val="0"/>
                    <w:spacing w:line="280" w:lineRule="exact"/>
                    <w:jc w:val="center"/>
                    <w:rPr>
                      <w:sz w:val="18"/>
                      <w:szCs w:val="18"/>
                    </w:rPr>
                  </w:pPr>
                  <w:r>
                    <w:rPr>
                      <w:rFonts w:hint="eastAsia"/>
                      <w:sz w:val="18"/>
                      <w:szCs w:val="18"/>
                    </w:rPr>
                    <w:t>8</w:t>
                  </w:r>
                </w:p>
              </w:tc>
              <w:tc>
                <w:tcPr>
                  <w:tcW w:w="544" w:type="pct"/>
                  <w:gridSpan w:val="2"/>
                  <w:tcBorders>
                    <w:right w:val="single" w:color="auto" w:sz="4" w:space="0"/>
                  </w:tcBorders>
                  <w:vAlign w:val="center"/>
                </w:tcPr>
                <w:p w14:paraId="7FEC9DD7">
                  <w:pPr>
                    <w:snapToGrid w:val="0"/>
                    <w:spacing w:line="280" w:lineRule="exact"/>
                    <w:jc w:val="center"/>
                    <w:rPr>
                      <w:sz w:val="18"/>
                      <w:szCs w:val="18"/>
                    </w:rPr>
                  </w:pPr>
                  <w:r>
                    <w:rPr>
                      <w:sz w:val="18"/>
                      <w:szCs w:val="18"/>
                    </w:rPr>
                    <w:t>活性炭</w:t>
                  </w:r>
                </w:p>
              </w:tc>
              <w:tc>
                <w:tcPr>
                  <w:tcW w:w="714" w:type="pct"/>
                  <w:tcBorders>
                    <w:left w:val="single" w:color="auto" w:sz="4" w:space="0"/>
                  </w:tcBorders>
                  <w:vAlign w:val="center"/>
                </w:tcPr>
                <w:p w14:paraId="1B19DEB1">
                  <w:pPr>
                    <w:snapToGrid w:val="0"/>
                    <w:spacing w:line="280" w:lineRule="exact"/>
                    <w:jc w:val="center"/>
                    <w:rPr>
                      <w:rFonts w:hint="default" w:eastAsia="宋体"/>
                      <w:sz w:val="18"/>
                      <w:szCs w:val="18"/>
                      <w:lang w:val="en-US" w:eastAsia="zh-CN"/>
                    </w:rPr>
                  </w:pPr>
                  <w:r>
                    <w:rPr>
                      <w:rFonts w:hint="eastAsia"/>
                      <w:sz w:val="18"/>
                      <w:szCs w:val="18"/>
                      <w:lang w:val="en-US" w:eastAsia="zh-CN"/>
                    </w:rPr>
                    <w:t>1.5</w:t>
                  </w:r>
                </w:p>
              </w:tc>
              <w:tc>
                <w:tcPr>
                  <w:tcW w:w="707" w:type="pct"/>
                  <w:vAlign w:val="center"/>
                </w:tcPr>
                <w:p w14:paraId="15A7EE33">
                  <w:pPr>
                    <w:snapToGrid w:val="0"/>
                    <w:spacing w:line="280" w:lineRule="exact"/>
                    <w:jc w:val="center"/>
                    <w:rPr>
                      <w:rFonts w:hint="default" w:eastAsia="宋体"/>
                      <w:sz w:val="18"/>
                      <w:szCs w:val="18"/>
                      <w:lang w:val="en-US" w:eastAsia="zh-CN"/>
                    </w:rPr>
                  </w:pPr>
                  <w:r>
                    <w:rPr>
                      <w:rFonts w:hint="eastAsia"/>
                      <w:sz w:val="18"/>
                      <w:szCs w:val="18"/>
                      <w:lang w:val="en-US" w:eastAsia="zh-CN"/>
                    </w:rPr>
                    <w:t>-</w:t>
                  </w:r>
                </w:p>
              </w:tc>
              <w:tc>
                <w:tcPr>
                  <w:tcW w:w="600" w:type="pct"/>
                  <w:vAlign w:val="center"/>
                </w:tcPr>
                <w:p w14:paraId="070BD0F4">
                  <w:pPr>
                    <w:snapToGrid w:val="0"/>
                    <w:spacing w:line="280" w:lineRule="exact"/>
                    <w:jc w:val="center"/>
                    <w:rPr>
                      <w:sz w:val="18"/>
                      <w:szCs w:val="18"/>
                    </w:rPr>
                  </w:pPr>
                  <w:r>
                    <w:rPr>
                      <w:sz w:val="18"/>
                      <w:szCs w:val="18"/>
                    </w:rPr>
                    <w:t>固态</w:t>
                  </w:r>
                </w:p>
              </w:tc>
              <w:tc>
                <w:tcPr>
                  <w:tcW w:w="595" w:type="pct"/>
                  <w:tcBorders>
                    <w:right w:val="single" w:color="auto" w:sz="4" w:space="0"/>
                  </w:tcBorders>
                  <w:vAlign w:val="center"/>
                </w:tcPr>
                <w:p w14:paraId="7427AFB9">
                  <w:pPr>
                    <w:snapToGrid w:val="0"/>
                    <w:spacing w:line="280" w:lineRule="exact"/>
                    <w:jc w:val="center"/>
                    <w:rPr>
                      <w:sz w:val="18"/>
                      <w:szCs w:val="18"/>
                    </w:rPr>
                  </w:pPr>
                  <w:r>
                    <w:rPr>
                      <w:sz w:val="18"/>
                      <w:szCs w:val="18"/>
                    </w:rPr>
                    <w:t>设备厂家专车运输</w:t>
                  </w:r>
                </w:p>
              </w:tc>
              <w:tc>
                <w:tcPr>
                  <w:tcW w:w="1536" w:type="pct"/>
                  <w:tcBorders>
                    <w:left w:val="single" w:color="auto" w:sz="4" w:space="0"/>
                  </w:tcBorders>
                  <w:vAlign w:val="center"/>
                </w:tcPr>
                <w:p w14:paraId="0930CF3E">
                  <w:pPr>
                    <w:snapToGrid w:val="0"/>
                    <w:spacing w:line="280" w:lineRule="exact"/>
                    <w:jc w:val="center"/>
                    <w:rPr>
                      <w:sz w:val="18"/>
                      <w:szCs w:val="18"/>
                    </w:rPr>
                  </w:pPr>
                  <w:r>
                    <w:rPr>
                      <w:sz w:val="18"/>
                      <w:szCs w:val="18"/>
                    </w:rPr>
                    <w:t>定期替换</w:t>
                  </w:r>
                  <w:r>
                    <w:rPr>
                      <w:rFonts w:hint="eastAsia"/>
                      <w:sz w:val="18"/>
                      <w:szCs w:val="18"/>
                    </w:rPr>
                    <w:t>，</w:t>
                  </w:r>
                  <w:r>
                    <w:rPr>
                      <w:sz w:val="18"/>
                      <w:szCs w:val="18"/>
                    </w:rPr>
                    <w:t>不做外存</w:t>
                  </w:r>
                </w:p>
              </w:tc>
            </w:tr>
            <w:tr w14:paraId="1A3A59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0" w:type="pct"/>
                  <w:vAlign w:val="center"/>
                </w:tcPr>
                <w:p w14:paraId="2C80CDE4">
                  <w:pPr>
                    <w:snapToGrid w:val="0"/>
                    <w:spacing w:line="280" w:lineRule="exact"/>
                    <w:jc w:val="center"/>
                    <w:rPr>
                      <w:rFonts w:hint="eastAsia" w:eastAsia="宋体"/>
                      <w:sz w:val="18"/>
                      <w:szCs w:val="18"/>
                      <w:lang w:val="en-US" w:eastAsia="zh-CN"/>
                    </w:rPr>
                  </w:pPr>
                  <w:r>
                    <w:rPr>
                      <w:rFonts w:hint="eastAsia"/>
                      <w:sz w:val="18"/>
                      <w:szCs w:val="18"/>
                      <w:lang w:val="en-US" w:eastAsia="zh-CN"/>
                    </w:rPr>
                    <w:t>9</w:t>
                  </w:r>
                </w:p>
              </w:tc>
              <w:tc>
                <w:tcPr>
                  <w:tcW w:w="544" w:type="pct"/>
                  <w:gridSpan w:val="2"/>
                  <w:tcBorders>
                    <w:right w:val="single" w:color="auto" w:sz="4" w:space="0"/>
                  </w:tcBorders>
                  <w:vAlign w:val="center"/>
                </w:tcPr>
                <w:p w14:paraId="2727C2C6">
                  <w:pPr>
                    <w:snapToGrid w:val="0"/>
                    <w:spacing w:line="280" w:lineRule="exact"/>
                    <w:jc w:val="center"/>
                    <w:rPr>
                      <w:sz w:val="18"/>
                      <w:szCs w:val="18"/>
                    </w:rPr>
                  </w:pPr>
                  <w:r>
                    <w:rPr>
                      <w:sz w:val="18"/>
                      <w:szCs w:val="18"/>
                    </w:rPr>
                    <w:t>机油</w:t>
                  </w:r>
                </w:p>
              </w:tc>
              <w:tc>
                <w:tcPr>
                  <w:tcW w:w="714" w:type="pct"/>
                  <w:tcBorders>
                    <w:left w:val="single" w:color="auto" w:sz="4" w:space="0"/>
                  </w:tcBorders>
                  <w:vAlign w:val="center"/>
                </w:tcPr>
                <w:p w14:paraId="16D5330A">
                  <w:pPr>
                    <w:snapToGrid w:val="0"/>
                    <w:spacing w:line="280" w:lineRule="exact"/>
                    <w:jc w:val="center"/>
                    <w:rPr>
                      <w:sz w:val="18"/>
                      <w:szCs w:val="18"/>
                    </w:rPr>
                  </w:pPr>
                  <w:r>
                    <w:rPr>
                      <w:rFonts w:hint="eastAsia"/>
                      <w:sz w:val="18"/>
                      <w:szCs w:val="18"/>
                      <w:lang w:val="en-US" w:eastAsia="zh-CN"/>
                    </w:rPr>
                    <w:t>2</w:t>
                  </w:r>
                </w:p>
              </w:tc>
              <w:tc>
                <w:tcPr>
                  <w:tcW w:w="707" w:type="pct"/>
                  <w:vAlign w:val="center"/>
                </w:tcPr>
                <w:p w14:paraId="1432A14B">
                  <w:pPr>
                    <w:snapToGrid w:val="0"/>
                    <w:spacing w:line="280" w:lineRule="exact"/>
                    <w:jc w:val="center"/>
                    <w:rPr>
                      <w:rFonts w:hint="eastAsia" w:eastAsia="宋体"/>
                      <w:sz w:val="18"/>
                      <w:szCs w:val="18"/>
                      <w:lang w:eastAsia="zh-CN"/>
                    </w:rPr>
                  </w:pPr>
                  <w:r>
                    <w:rPr>
                      <w:rFonts w:hint="eastAsia"/>
                      <w:sz w:val="18"/>
                      <w:szCs w:val="18"/>
                      <w:lang w:val="en-US" w:eastAsia="zh-CN"/>
                    </w:rPr>
                    <w:t>1</w:t>
                  </w:r>
                </w:p>
              </w:tc>
              <w:tc>
                <w:tcPr>
                  <w:tcW w:w="600" w:type="pct"/>
                  <w:vAlign w:val="center"/>
                </w:tcPr>
                <w:p w14:paraId="42755756">
                  <w:pPr>
                    <w:snapToGrid w:val="0"/>
                    <w:spacing w:line="280" w:lineRule="exact"/>
                    <w:jc w:val="center"/>
                    <w:rPr>
                      <w:sz w:val="18"/>
                      <w:szCs w:val="18"/>
                    </w:rPr>
                  </w:pPr>
                  <w:r>
                    <w:rPr>
                      <w:sz w:val="18"/>
                      <w:szCs w:val="18"/>
                    </w:rPr>
                    <w:t>液态</w:t>
                  </w:r>
                </w:p>
              </w:tc>
              <w:tc>
                <w:tcPr>
                  <w:tcW w:w="595" w:type="pct"/>
                  <w:tcBorders>
                    <w:right w:val="single" w:color="auto" w:sz="4" w:space="0"/>
                  </w:tcBorders>
                  <w:vAlign w:val="center"/>
                </w:tcPr>
                <w:p w14:paraId="2EAA8837">
                  <w:pPr>
                    <w:snapToGrid w:val="0"/>
                    <w:spacing w:line="280" w:lineRule="exact"/>
                    <w:jc w:val="center"/>
                    <w:rPr>
                      <w:sz w:val="18"/>
                      <w:szCs w:val="18"/>
                    </w:rPr>
                  </w:pPr>
                  <w:r>
                    <w:rPr>
                      <w:sz w:val="18"/>
                      <w:szCs w:val="18"/>
                    </w:rPr>
                    <w:t>供货厂家箱式汽运</w:t>
                  </w:r>
                </w:p>
              </w:tc>
              <w:tc>
                <w:tcPr>
                  <w:tcW w:w="1536" w:type="pct"/>
                  <w:tcBorders>
                    <w:left w:val="single" w:color="auto" w:sz="4" w:space="0"/>
                  </w:tcBorders>
                  <w:vAlign w:val="center"/>
                </w:tcPr>
                <w:p w14:paraId="69D9F8C7">
                  <w:pPr>
                    <w:snapToGrid w:val="0"/>
                    <w:spacing w:line="280" w:lineRule="exact"/>
                    <w:jc w:val="center"/>
                    <w:rPr>
                      <w:sz w:val="18"/>
                      <w:szCs w:val="18"/>
                    </w:rPr>
                  </w:pPr>
                  <w:r>
                    <w:rPr>
                      <w:rFonts w:hint="eastAsia"/>
                      <w:sz w:val="18"/>
                      <w:szCs w:val="18"/>
                    </w:rPr>
                    <w:t>仓库</w:t>
                  </w:r>
                </w:p>
              </w:tc>
            </w:tr>
          </w:tbl>
          <w:p w14:paraId="62FFA577">
            <w:pPr>
              <w:autoSpaceDE w:val="0"/>
              <w:autoSpaceDN w:val="0"/>
              <w:adjustRightInd w:val="0"/>
              <w:spacing w:line="360" w:lineRule="auto"/>
              <w:ind w:firstLine="422" w:firstLineChars="200"/>
              <w:jc w:val="left"/>
              <w:rPr>
                <w:rFonts w:hAnsiTheme="minorEastAsia" w:eastAsiaTheme="minorEastAsia"/>
                <w:b/>
                <w:bCs/>
                <w:szCs w:val="21"/>
              </w:rPr>
            </w:pPr>
            <w:r>
              <w:rPr>
                <w:rFonts w:hint="eastAsia" w:hAnsiTheme="minorEastAsia" w:eastAsiaTheme="minorEastAsia"/>
                <w:b/>
                <w:bCs/>
                <w:szCs w:val="21"/>
              </w:rPr>
              <w:t>木材料：</w:t>
            </w:r>
            <w:r>
              <w:rPr>
                <w:rFonts w:hint="eastAsia" w:ascii="宋体" w:hAnsi="宋体"/>
                <w:color w:val="000000"/>
              </w:rPr>
              <w:t>本项目使用的木材为东北松、黄花松、落叶松、乌木、云南松、油松、波罗格、榆木、水曲柳、白杨等木材，均为已经供货厂家去皮、锯材、防腐、初次干燥等初步加工后的木材，进场后经电烘干干燥后方可进行产品加工。</w:t>
            </w:r>
          </w:p>
          <w:p w14:paraId="12B4BB41">
            <w:pPr>
              <w:autoSpaceDE w:val="0"/>
              <w:autoSpaceDN w:val="0"/>
              <w:adjustRightInd w:val="0"/>
              <w:spacing w:line="360" w:lineRule="auto"/>
              <w:ind w:firstLine="422" w:firstLineChars="200"/>
              <w:jc w:val="left"/>
              <w:rPr>
                <w:rFonts w:eastAsiaTheme="minorEastAsia"/>
                <w:kern w:val="0"/>
                <w:szCs w:val="21"/>
              </w:rPr>
            </w:pPr>
            <w:r>
              <w:rPr>
                <w:rFonts w:hAnsiTheme="minorEastAsia" w:eastAsiaTheme="minorEastAsia"/>
                <w:b/>
                <w:bCs/>
                <w:szCs w:val="21"/>
              </w:rPr>
              <w:t>油漆理化性质：</w:t>
            </w:r>
            <w:r>
              <w:rPr>
                <w:rFonts w:hAnsiTheme="minorEastAsia" w:eastAsiaTheme="minorEastAsia"/>
                <w:kern w:val="0"/>
                <w:szCs w:val="21"/>
              </w:rPr>
              <w:t>油漆是一种能牢固覆盖在物体表面，起保护、装饰、标志和其他特殊用途的化学混合物涂料；一般由成膜物质、填料（颜填料）、溶剂、助剂等四部分组成。油漆为粘稠油性颜料，未干情况下易燃，不溶于水，微溶于脂肪，可溶于醇、醛、醚、苯、烷，易溶于汽油、煤油、柴油。</w:t>
            </w:r>
          </w:p>
          <w:p w14:paraId="47AAF8DE">
            <w:pPr>
              <w:autoSpaceDE w:val="0"/>
              <w:autoSpaceDN w:val="0"/>
              <w:adjustRightInd w:val="0"/>
              <w:spacing w:line="360" w:lineRule="auto"/>
              <w:ind w:firstLine="420" w:firstLineChars="200"/>
              <w:jc w:val="left"/>
              <w:rPr>
                <w:rFonts w:hAnsiTheme="minorEastAsia" w:eastAsiaTheme="minorEastAsia"/>
                <w:kern w:val="0"/>
                <w:szCs w:val="21"/>
              </w:rPr>
            </w:pPr>
            <w:r>
              <w:rPr>
                <w:rFonts w:hint="eastAsia" w:hAnsiTheme="minorEastAsia" w:eastAsiaTheme="minorEastAsia"/>
                <w:kern w:val="0"/>
                <w:szCs w:val="21"/>
              </w:rPr>
              <w:t>本项目</w:t>
            </w:r>
            <w:r>
              <w:rPr>
                <w:rFonts w:hAnsiTheme="minorEastAsia" w:eastAsiaTheme="minorEastAsia"/>
                <w:kern w:val="0"/>
                <w:szCs w:val="21"/>
              </w:rPr>
              <w:t>使用的油漆为水性漆</w:t>
            </w:r>
            <w:r>
              <w:rPr>
                <w:rFonts w:hint="eastAsia" w:hAnsiTheme="minorEastAsia" w:eastAsiaTheme="minorEastAsia"/>
                <w:kern w:val="0"/>
                <w:szCs w:val="21"/>
              </w:rPr>
              <w:t>，</w:t>
            </w:r>
            <w:r>
              <w:rPr>
                <w:rFonts w:hAnsiTheme="minorEastAsia" w:eastAsiaTheme="minorEastAsia"/>
                <w:kern w:val="0"/>
                <w:szCs w:val="21"/>
              </w:rPr>
              <w:t>分别为环氧水性底漆和丙烯酸水性面漆</w:t>
            </w:r>
            <w:r>
              <w:rPr>
                <w:rFonts w:hint="eastAsia" w:hAnsiTheme="minorEastAsia" w:eastAsiaTheme="minorEastAsia"/>
                <w:kern w:val="0"/>
                <w:szCs w:val="21"/>
              </w:rPr>
              <w:t>。</w:t>
            </w:r>
          </w:p>
          <w:p w14:paraId="6715EC2D">
            <w:pPr>
              <w:autoSpaceDE w:val="0"/>
              <w:autoSpaceDN w:val="0"/>
              <w:adjustRightInd w:val="0"/>
              <w:snapToGrid w:val="0"/>
              <w:spacing w:line="240" w:lineRule="atLeast"/>
              <w:jc w:val="center"/>
              <w:rPr>
                <w:b/>
                <w:bCs/>
                <w:sz w:val="18"/>
                <w:szCs w:val="18"/>
              </w:rPr>
            </w:pPr>
            <w:r>
              <w:rPr>
                <w:rFonts w:hint="eastAsia"/>
                <w:b/>
                <w:bCs/>
                <w:sz w:val="18"/>
                <w:szCs w:val="18"/>
              </w:rPr>
              <w:t>表2</w:t>
            </w:r>
            <w:r>
              <w:rPr>
                <w:rFonts w:hint="eastAsia"/>
                <w:b/>
                <w:bCs/>
                <w:sz w:val="18"/>
                <w:szCs w:val="18"/>
                <w:lang w:val="en-US" w:eastAsia="zh-CN"/>
              </w:rPr>
              <w:t>.2-2</w:t>
            </w:r>
            <w:r>
              <w:rPr>
                <w:rFonts w:hint="eastAsia"/>
                <w:b/>
                <w:bCs/>
                <w:sz w:val="18"/>
                <w:szCs w:val="18"/>
              </w:rPr>
              <w:t xml:space="preserve">    油漆及成分一览表</w:t>
            </w:r>
          </w:p>
          <w:tbl>
            <w:tblPr>
              <w:tblStyle w:val="49"/>
              <w:tblW w:w="494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050"/>
              <w:gridCol w:w="5794"/>
            </w:tblGrid>
            <w:tr w14:paraId="1B82B7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73" w:type="dxa"/>
                  <w:vAlign w:val="center"/>
                </w:tcPr>
                <w:p w14:paraId="06AA7B70">
                  <w:pPr>
                    <w:snapToGrid w:val="0"/>
                    <w:spacing w:line="280" w:lineRule="exact"/>
                    <w:jc w:val="center"/>
                    <w:rPr>
                      <w:sz w:val="18"/>
                      <w:szCs w:val="18"/>
                    </w:rPr>
                  </w:pPr>
                  <w:r>
                    <w:rPr>
                      <w:rFonts w:hint="eastAsia"/>
                      <w:sz w:val="18"/>
                      <w:szCs w:val="18"/>
                    </w:rPr>
                    <w:t>原辅材料</w:t>
                  </w:r>
                </w:p>
              </w:tc>
              <w:tc>
                <w:tcPr>
                  <w:tcW w:w="5293" w:type="dxa"/>
                  <w:vAlign w:val="center"/>
                </w:tcPr>
                <w:p w14:paraId="156A42F2">
                  <w:pPr>
                    <w:snapToGrid w:val="0"/>
                    <w:spacing w:line="280" w:lineRule="exact"/>
                    <w:jc w:val="center"/>
                    <w:rPr>
                      <w:sz w:val="18"/>
                      <w:szCs w:val="18"/>
                    </w:rPr>
                  </w:pPr>
                  <w:r>
                    <w:rPr>
                      <w:rFonts w:hint="eastAsia"/>
                      <w:sz w:val="18"/>
                      <w:szCs w:val="18"/>
                    </w:rPr>
                    <w:t>主要成分</w:t>
                  </w:r>
                </w:p>
              </w:tc>
            </w:tr>
            <w:tr w14:paraId="702716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73" w:type="dxa"/>
                  <w:vAlign w:val="center"/>
                </w:tcPr>
                <w:p w14:paraId="36D15CD0">
                  <w:pPr>
                    <w:snapToGrid w:val="0"/>
                    <w:spacing w:line="280" w:lineRule="exact"/>
                    <w:jc w:val="center"/>
                    <w:rPr>
                      <w:sz w:val="18"/>
                      <w:szCs w:val="18"/>
                    </w:rPr>
                  </w:pPr>
                  <w:r>
                    <w:rPr>
                      <w:rFonts w:hint="eastAsia"/>
                      <w:sz w:val="18"/>
                      <w:szCs w:val="18"/>
                    </w:rPr>
                    <w:t>环氧水性底漆</w:t>
                  </w:r>
                </w:p>
              </w:tc>
              <w:tc>
                <w:tcPr>
                  <w:tcW w:w="5293" w:type="dxa"/>
                  <w:vAlign w:val="center"/>
                </w:tcPr>
                <w:p w14:paraId="0566BB8D">
                  <w:pPr>
                    <w:snapToGrid w:val="0"/>
                    <w:spacing w:line="280" w:lineRule="exact"/>
                    <w:rPr>
                      <w:sz w:val="18"/>
                      <w:szCs w:val="18"/>
                    </w:rPr>
                  </w:pPr>
                  <w:r>
                    <w:rPr>
                      <w:rFonts w:hint="eastAsia"/>
                      <w:sz w:val="18"/>
                      <w:szCs w:val="18"/>
                    </w:rPr>
                    <w:t>环氧树脂＜67%、颜填料（硫酸钡、滑石粉、钛白粉等）＜20%、助剂（锈蚀抑制剂、分散剂、润湿剂、消泡剂、成膜助剂）等＜8%、离子水＜5%；</w:t>
                  </w:r>
                </w:p>
              </w:tc>
            </w:tr>
            <w:tr w14:paraId="20C039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73" w:type="dxa"/>
                  <w:vAlign w:val="center"/>
                </w:tcPr>
                <w:p w14:paraId="06DF526B">
                  <w:pPr>
                    <w:snapToGrid w:val="0"/>
                    <w:spacing w:line="280" w:lineRule="exact"/>
                    <w:jc w:val="center"/>
                    <w:rPr>
                      <w:sz w:val="18"/>
                      <w:szCs w:val="18"/>
                    </w:rPr>
                  </w:pPr>
                  <w:r>
                    <w:rPr>
                      <w:rFonts w:hint="eastAsia"/>
                      <w:sz w:val="18"/>
                      <w:szCs w:val="18"/>
                    </w:rPr>
                    <w:t>丙烯酸水性面漆</w:t>
                  </w:r>
                </w:p>
              </w:tc>
              <w:tc>
                <w:tcPr>
                  <w:tcW w:w="5293" w:type="dxa"/>
                  <w:vAlign w:val="center"/>
                </w:tcPr>
                <w:p w14:paraId="5BA11F03">
                  <w:pPr>
                    <w:snapToGrid w:val="0"/>
                    <w:spacing w:line="280" w:lineRule="exact"/>
                    <w:rPr>
                      <w:sz w:val="18"/>
                      <w:szCs w:val="18"/>
                    </w:rPr>
                  </w:pPr>
                  <w:r>
                    <w:rPr>
                      <w:rFonts w:hint="eastAsia"/>
                      <w:sz w:val="18"/>
                      <w:szCs w:val="18"/>
                    </w:rPr>
                    <w:t>丙烯酸树酯＜75%、颜填料＜10%，助剂（醇酸、复合分散剂、成膜助剂、复合消泡剂、增稠剂等）＜10%、离子水＜5%；</w:t>
                  </w:r>
                </w:p>
              </w:tc>
            </w:tr>
          </w:tbl>
          <w:p w14:paraId="2C8644E5">
            <w:pPr>
              <w:autoSpaceDE w:val="0"/>
              <w:autoSpaceDN w:val="0"/>
              <w:adjustRightInd w:val="0"/>
              <w:spacing w:line="360" w:lineRule="auto"/>
              <w:ind w:firstLine="422" w:firstLineChars="200"/>
              <w:jc w:val="left"/>
              <w:rPr>
                <w:rFonts w:hAnsiTheme="minorEastAsia" w:eastAsiaTheme="minorEastAsia"/>
                <w:b/>
                <w:kern w:val="0"/>
                <w:szCs w:val="21"/>
              </w:rPr>
            </w:pPr>
            <w:r>
              <w:rPr>
                <w:rFonts w:hint="eastAsia" w:hAnsiTheme="minorEastAsia" w:eastAsiaTheme="minorEastAsia"/>
                <w:b/>
                <w:kern w:val="0"/>
                <w:szCs w:val="21"/>
              </w:rPr>
              <w:t>油漆使用量核算：</w:t>
            </w:r>
          </w:p>
          <w:p w14:paraId="159EFCD8">
            <w:pPr>
              <w:spacing w:line="360" w:lineRule="auto"/>
              <w:ind w:firstLine="420" w:firstLineChars="200"/>
              <w:rPr>
                <w:bCs/>
                <w:szCs w:val="21"/>
              </w:rPr>
            </w:pPr>
            <w:r>
              <w:rPr>
                <w:rFonts w:hint="eastAsia"/>
                <w:bCs/>
                <w:szCs w:val="21"/>
              </w:rPr>
              <w:t>油漆用量采用以下公式计算：</w:t>
            </w:r>
          </w:p>
          <w:p w14:paraId="1E516F75">
            <w:pPr>
              <w:spacing w:line="360" w:lineRule="auto"/>
              <w:ind w:firstLine="420" w:firstLineChars="200"/>
              <w:jc w:val="center"/>
              <w:rPr>
                <w:szCs w:val="21"/>
              </w:rPr>
            </w:pPr>
            <w:r>
              <w:rPr>
                <w:szCs w:val="21"/>
              </w:rPr>
              <w:t>m=ρδs×10</w:t>
            </w:r>
            <w:r>
              <w:rPr>
                <w:szCs w:val="21"/>
                <w:vertAlign w:val="superscript"/>
              </w:rPr>
              <w:t>-6</w:t>
            </w:r>
            <w:r>
              <w:rPr>
                <w:szCs w:val="21"/>
              </w:rPr>
              <w:t>/（NV·ε）</w:t>
            </w:r>
          </w:p>
          <w:p w14:paraId="43119D1F">
            <w:pPr>
              <w:spacing w:line="360" w:lineRule="auto"/>
              <w:ind w:firstLine="420" w:firstLineChars="200"/>
              <w:rPr>
                <w:bCs/>
                <w:szCs w:val="21"/>
              </w:rPr>
            </w:pPr>
            <w:r>
              <w:rPr>
                <w:bCs/>
                <w:szCs w:val="21"/>
              </w:rPr>
              <w:t>其中：m——油漆用量</w:t>
            </w:r>
            <w:r>
              <w:rPr>
                <w:rFonts w:hint="eastAsia"/>
                <w:bCs/>
                <w:szCs w:val="21"/>
              </w:rPr>
              <w:t>，t</w:t>
            </w:r>
            <w:r>
              <w:rPr>
                <w:bCs/>
                <w:szCs w:val="21"/>
              </w:rPr>
              <w:t>；</w:t>
            </w:r>
          </w:p>
          <w:p w14:paraId="46ECFD6F">
            <w:pPr>
              <w:spacing w:line="360" w:lineRule="auto"/>
              <w:ind w:firstLine="420" w:firstLineChars="200"/>
              <w:rPr>
                <w:bCs/>
                <w:szCs w:val="21"/>
              </w:rPr>
            </w:pPr>
            <w:r>
              <w:rPr>
                <w:bCs/>
                <w:szCs w:val="21"/>
              </w:rPr>
              <w:t xml:space="preserve">      ρ——该油漆密度</w:t>
            </w:r>
            <w:r>
              <w:rPr>
                <w:rFonts w:hint="eastAsia"/>
                <w:bCs/>
                <w:szCs w:val="21"/>
              </w:rPr>
              <w:t>，t/m</w:t>
            </w:r>
            <w:r>
              <w:rPr>
                <w:rFonts w:hint="eastAsia"/>
                <w:bCs/>
                <w:szCs w:val="21"/>
                <w:vertAlign w:val="superscript"/>
              </w:rPr>
              <w:t>3</w:t>
            </w:r>
            <w:r>
              <w:rPr>
                <w:bCs/>
                <w:szCs w:val="21"/>
              </w:rPr>
              <w:t>；</w:t>
            </w:r>
          </w:p>
          <w:p w14:paraId="3848E577">
            <w:pPr>
              <w:spacing w:line="360" w:lineRule="auto"/>
              <w:ind w:firstLine="420" w:firstLineChars="200"/>
              <w:rPr>
                <w:bCs/>
                <w:szCs w:val="21"/>
              </w:rPr>
            </w:pPr>
            <w:r>
              <w:rPr>
                <w:bCs/>
                <w:szCs w:val="21"/>
              </w:rPr>
              <w:t xml:space="preserve">      δ——涂层厚度</w:t>
            </w:r>
            <w:r>
              <w:rPr>
                <w:rFonts w:hint="eastAsia"/>
                <w:bCs/>
                <w:szCs w:val="21"/>
              </w:rPr>
              <w:t>，</w:t>
            </w:r>
            <w:r>
              <w:rPr>
                <w:bCs/>
                <w:szCs w:val="21"/>
              </w:rPr>
              <w:t>μm；</w:t>
            </w:r>
          </w:p>
          <w:p w14:paraId="0EF34298">
            <w:pPr>
              <w:spacing w:line="360" w:lineRule="auto"/>
              <w:ind w:firstLine="420" w:firstLineChars="200"/>
              <w:rPr>
                <w:bCs/>
                <w:szCs w:val="21"/>
              </w:rPr>
            </w:pPr>
            <w:r>
              <w:rPr>
                <w:bCs/>
                <w:szCs w:val="21"/>
              </w:rPr>
              <w:t xml:space="preserve">      s——涂装面积</w:t>
            </w:r>
            <w:r>
              <w:rPr>
                <w:rFonts w:hint="eastAsia"/>
                <w:bCs/>
                <w:szCs w:val="21"/>
              </w:rPr>
              <w:t>，m</w:t>
            </w:r>
            <w:r>
              <w:rPr>
                <w:rFonts w:hint="eastAsia"/>
                <w:bCs/>
                <w:szCs w:val="21"/>
                <w:vertAlign w:val="superscript"/>
              </w:rPr>
              <w:t>2</w:t>
            </w:r>
            <w:r>
              <w:rPr>
                <w:bCs/>
                <w:szCs w:val="21"/>
              </w:rPr>
              <w:t>；</w:t>
            </w:r>
          </w:p>
          <w:p w14:paraId="2223AF9D">
            <w:pPr>
              <w:spacing w:line="360" w:lineRule="auto"/>
              <w:ind w:firstLine="420" w:firstLineChars="200"/>
              <w:rPr>
                <w:bCs/>
                <w:szCs w:val="21"/>
              </w:rPr>
            </w:pPr>
            <w:r>
              <w:rPr>
                <w:bCs/>
                <w:szCs w:val="21"/>
              </w:rPr>
              <w:t xml:space="preserve">      NV——工作漆中的体积固体份</w:t>
            </w:r>
            <w:r>
              <w:rPr>
                <w:rFonts w:hint="eastAsia"/>
                <w:bCs/>
                <w:szCs w:val="21"/>
              </w:rPr>
              <w:t>，</w:t>
            </w:r>
            <w:r>
              <w:rPr>
                <w:bCs/>
                <w:szCs w:val="21"/>
              </w:rPr>
              <w:t>%；</w:t>
            </w:r>
          </w:p>
          <w:p w14:paraId="122C319E">
            <w:pPr>
              <w:spacing w:line="360" w:lineRule="auto"/>
              <w:ind w:firstLine="420" w:firstLineChars="200"/>
              <w:rPr>
                <w:bCs/>
                <w:szCs w:val="21"/>
              </w:rPr>
            </w:pPr>
            <w:r>
              <w:rPr>
                <w:bCs/>
                <w:szCs w:val="21"/>
              </w:rPr>
              <w:t xml:space="preserve">      ε——</w:t>
            </w:r>
            <w:r>
              <w:rPr>
                <w:rFonts w:hint="eastAsia"/>
                <w:bCs/>
                <w:szCs w:val="21"/>
              </w:rPr>
              <w:t>固份附着率，</w:t>
            </w:r>
            <w:r>
              <w:rPr>
                <w:bCs/>
                <w:szCs w:val="21"/>
              </w:rPr>
              <w:t>%。</w:t>
            </w:r>
          </w:p>
          <w:p w14:paraId="1896B868">
            <w:pPr>
              <w:spacing w:line="360" w:lineRule="auto"/>
              <w:ind w:firstLine="420" w:firstLineChars="200"/>
              <w:rPr>
                <w:szCs w:val="21"/>
              </w:rPr>
            </w:pPr>
            <w:r>
              <w:rPr>
                <w:rFonts w:hint="eastAsia" w:hAnsiTheme="minorEastAsia" w:eastAsiaTheme="minorEastAsia"/>
                <w:kern w:val="0"/>
                <w:szCs w:val="21"/>
              </w:rPr>
              <w:t>本项目消耗油漆的工序为木</w:t>
            </w:r>
            <w:r>
              <w:rPr>
                <w:rFonts w:hint="eastAsia"/>
                <w:bCs/>
                <w:szCs w:val="21"/>
              </w:rPr>
              <w:t>门窗、木屋产品，预计产品表面积达</w:t>
            </w:r>
            <w:r>
              <w:rPr>
                <w:rFonts w:hint="eastAsia"/>
                <w:bCs/>
                <w:szCs w:val="21"/>
                <w:lang w:val="en-US" w:eastAsia="zh-CN"/>
              </w:rPr>
              <w:t>1</w:t>
            </w:r>
            <w:r>
              <w:rPr>
                <w:rFonts w:hint="eastAsia"/>
                <w:bCs/>
                <w:szCs w:val="21"/>
              </w:rPr>
              <w:t>5000m</w:t>
            </w:r>
            <w:r>
              <w:rPr>
                <w:rFonts w:hint="eastAsia"/>
                <w:bCs/>
                <w:szCs w:val="21"/>
                <w:vertAlign w:val="superscript"/>
              </w:rPr>
              <w:t>2</w:t>
            </w:r>
            <w:r>
              <w:rPr>
                <w:rFonts w:hint="eastAsia"/>
                <w:bCs/>
                <w:szCs w:val="21"/>
              </w:rPr>
              <w:t>。</w:t>
            </w:r>
            <w:r>
              <w:rPr>
                <w:rFonts w:hint="eastAsia"/>
                <w:szCs w:val="21"/>
              </w:rPr>
              <w:t>根据项目所用油漆成分以及建设单位提供的资料，同时考虑到工人操作水平、以及水性漆使用过程中的损耗等，项目各类水性漆涂装情况见表2</w:t>
            </w:r>
            <w:r>
              <w:rPr>
                <w:rFonts w:hint="eastAsia"/>
                <w:szCs w:val="21"/>
                <w:lang w:val="en-US" w:eastAsia="zh-CN"/>
              </w:rPr>
              <w:t>.2</w:t>
            </w:r>
            <w:r>
              <w:rPr>
                <w:rFonts w:hint="eastAsia"/>
                <w:szCs w:val="21"/>
              </w:rPr>
              <w:t>-</w:t>
            </w:r>
            <w:r>
              <w:rPr>
                <w:rFonts w:hint="eastAsia"/>
                <w:szCs w:val="21"/>
                <w:lang w:val="en-US" w:eastAsia="zh-CN"/>
              </w:rPr>
              <w:t>3</w:t>
            </w:r>
            <w:r>
              <w:rPr>
                <w:rFonts w:hint="eastAsia"/>
                <w:szCs w:val="21"/>
              </w:rPr>
              <w:t>和</w:t>
            </w:r>
            <w:r>
              <w:rPr>
                <w:rFonts w:hint="eastAsia"/>
                <w:szCs w:val="21"/>
                <w:lang w:val="en-US" w:eastAsia="zh-CN"/>
              </w:rPr>
              <w:t>2.2</w:t>
            </w:r>
            <w:r>
              <w:rPr>
                <w:rFonts w:hint="eastAsia"/>
                <w:szCs w:val="21"/>
              </w:rPr>
              <w:t>-</w:t>
            </w:r>
            <w:r>
              <w:rPr>
                <w:rFonts w:hint="eastAsia"/>
                <w:szCs w:val="21"/>
                <w:lang w:val="en-US" w:eastAsia="zh-CN"/>
              </w:rPr>
              <w:t>4</w:t>
            </w:r>
            <w:r>
              <w:rPr>
                <w:rFonts w:hint="eastAsia"/>
                <w:szCs w:val="21"/>
              </w:rPr>
              <w:t>。</w:t>
            </w:r>
          </w:p>
          <w:p w14:paraId="1A0705CB">
            <w:pPr>
              <w:autoSpaceDE w:val="0"/>
              <w:autoSpaceDN w:val="0"/>
              <w:adjustRightInd w:val="0"/>
              <w:snapToGrid w:val="0"/>
              <w:spacing w:line="240" w:lineRule="atLeast"/>
              <w:jc w:val="center"/>
              <w:rPr>
                <w:b/>
                <w:bCs/>
                <w:sz w:val="18"/>
                <w:szCs w:val="18"/>
              </w:rPr>
            </w:pPr>
            <w:r>
              <w:rPr>
                <w:rFonts w:hint="eastAsia"/>
                <w:b/>
                <w:bCs/>
                <w:sz w:val="18"/>
                <w:szCs w:val="18"/>
              </w:rPr>
              <w:t>表2</w:t>
            </w:r>
            <w:r>
              <w:rPr>
                <w:rFonts w:hint="eastAsia"/>
                <w:b/>
                <w:bCs/>
                <w:sz w:val="18"/>
                <w:szCs w:val="18"/>
                <w:lang w:val="en-US" w:eastAsia="zh-CN"/>
              </w:rPr>
              <w:t>.2-3</w:t>
            </w:r>
            <w:r>
              <w:rPr>
                <w:rFonts w:hint="eastAsia"/>
                <w:b/>
                <w:bCs/>
                <w:sz w:val="18"/>
                <w:szCs w:val="18"/>
              </w:rPr>
              <w:t xml:space="preserve">   项目水性漆使用情况一览表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541"/>
              <w:gridCol w:w="1104"/>
              <w:gridCol w:w="810"/>
              <w:gridCol w:w="694"/>
              <w:gridCol w:w="767"/>
              <w:gridCol w:w="792"/>
              <w:gridCol w:w="1046"/>
              <w:gridCol w:w="1134"/>
              <w:gridCol w:w="1051"/>
            </w:tblGrid>
            <w:tr w14:paraId="11D6E9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41" w:type="pct"/>
                  <w:shd w:val="clear" w:color="auto" w:fill="auto"/>
                  <w:vAlign w:val="center"/>
                </w:tcPr>
                <w:p w14:paraId="231BA5E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位置</w:t>
                  </w:r>
                </w:p>
              </w:tc>
              <w:tc>
                <w:tcPr>
                  <w:tcW w:w="695" w:type="pct"/>
                  <w:shd w:val="clear" w:color="auto" w:fill="auto"/>
                  <w:vAlign w:val="center"/>
                </w:tcPr>
                <w:p w14:paraId="5459349F">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名称</w:t>
                  </w:r>
                </w:p>
              </w:tc>
              <w:tc>
                <w:tcPr>
                  <w:tcW w:w="510" w:type="pct"/>
                  <w:shd w:val="clear" w:color="auto" w:fill="auto"/>
                  <w:vAlign w:val="center"/>
                </w:tcPr>
                <w:p w14:paraId="75227DC2">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油漆密度</w:t>
                  </w:r>
                </w:p>
              </w:tc>
              <w:tc>
                <w:tcPr>
                  <w:tcW w:w="437" w:type="pct"/>
                  <w:vAlign w:val="center"/>
                </w:tcPr>
                <w:p w14:paraId="51EBC92D">
                  <w:pPr>
                    <w:snapToGrid w:val="0"/>
                    <w:spacing w:line="280" w:lineRule="exact"/>
                    <w:jc w:val="center"/>
                    <w:rPr>
                      <w:rFonts w:hint="eastAsia" w:hAnsiTheme="minorEastAsia" w:eastAsiaTheme="minorEastAsia"/>
                      <w:sz w:val="18"/>
                      <w:szCs w:val="18"/>
                    </w:rPr>
                  </w:pPr>
                  <w:r>
                    <w:rPr>
                      <w:rFonts w:hint="eastAsia" w:hAnsiTheme="minorEastAsia" w:eastAsiaTheme="minorEastAsia"/>
                      <w:sz w:val="18"/>
                      <w:szCs w:val="18"/>
                    </w:rPr>
                    <w:t>涂层</w:t>
                  </w:r>
                </w:p>
                <w:p w14:paraId="2741EC2F">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厚度</w:t>
                  </w:r>
                </w:p>
              </w:tc>
              <w:tc>
                <w:tcPr>
                  <w:tcW w:w="483" w:type="pct"/>
                  <w:vAlign w:val="center"/>
                </w:tcPr>
                <w:p w14:paraId="0CC51305">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固份含量</w:t>
                  </w:r>
                </w:p>
              </w:tc>
              <w:tc>
                <w:tcPr>
                  <w:tcW w:w="499" w:type="pct"/>
                  <w:vAlign w:val="center"/>
                </w:tcPr>
                <w:p w14:paraId="076155CF">
                  <w:pPr>
                    <w:snapToGrid w:val="0"/>
                    <w:spacing w:line="280" w:lineRule="exact"/>
                    <w:jc w:val="center"/>
                    <w:rPr>
                      <w:rFonts w:hint="eastAsia" w:hAnsiTheme="minorEastAsia" w:eastAsiaTheme="minorEastAsia"/>
                      <w:sz w:val="18"/>
                      <w:szCs w:val="18"/>
                    </w:rPr>
                  </w:pPr>
                  <w:r>
                    <w:rPr>
                      <w:rFonts w:hint="eastAsia" w:hAnsiTheme="minorEastAsia" w:eastAsiaTheme="minorEastAsia"/>
                      <w:sz w:val="18"/>
                      <w:szCs w:val="18"/>
                    </w:rPr>
                    <w:t>固份</w:t>
                  </w:r>
                </w:p>
                <w:p w14:paraId="2F4C91C0">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附着率</w:t>
                  </w:r>
                </w:p>
              </w:tc>
              <w:tc>
                <w:tcPr>
                  <w:tcW w:w="659" w:type="pct"/>
                  <w:shd w:val="clear" w:color="auto" w:fill="auto"/>
                  <w:vAlign w:val="center"/>
                </w:tcPr>
                <w:p w14:paraId="42CFC4CA">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单位面积油漆用量</w:t>
                  </w:r>
                </w:p>
              </w:tc>
              <w:tc>
                <w:tcPr>
                  <w:tcW w:w="714" w:type="pct"/>
                  <w:vAlign w:val="center"/>
                </w:tcPr>
                <w:p w14:paraId="7A587023">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单位重量油漆喷涂面积</w:t>
                  </w:r>
                </w:p>
              </w:tc>
              <w:tc>
                <w:tcPr>
                  <w:tcW w:w="662" w:type="pct"/>
                  <w:vAlign w:val="center"/>
                </w:tcPr>
                <w:p w14:paraId="7CC8AFB4">
                  <w:pPr>
                    <w:snapToGrid w:val="0"/>
                    <w:spacing w:line="280" w:lineRule="exact"/>
                    <w:jc w:val="center"/>
                    <w:rPr>
                      <w:rFonts w:hint="eastAsia" w:hAnsiTheme="minorEastAsia" w:eastAsiaTheme="minorEastAsia"/>
                      <w:sz w:val="18"/>
                      <w:szCs w:val="18"/>
                    </w:rPr>
                  </w:pPr>
                  <w:r>
                    <w:rPr>
                      <w:rFonts w:hint="eastAsia" w:hAnsiTheme="minorEastAsia" w:eastAsiaTheme="minorEastAsia"/>
                      <w:sz w:val="18"/>
                      <w:szCs w:val="18"/>
                    </w:rPr>
                    <w:t>本次评</w:t>
                  </w:r>
                </w:p>
                <w:p w14:paraId="300BA00B">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价取值</w:t>
                  </w:r>
                </w:p>
              </w:tc>
            </w:tr>
            <w:tr w14:paraId="03B59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jc w:val="center"/>
              </w:trPr>
              <w:tc>
                <w:tcPr>
                  <w:tcW w:w="341" w:type="pct"/>
                  <w:vMerge w:val="restart"/>
                  <w:shd w:val="clear" w:color="auto" w:fill="auto"/>
                  <w:vAlign w:val="center"/>
                </w:tcPr>
                <w:p w14:paraId="7284F3AD">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木门窗、木屋</w:t>
                  </w:r>
                </w:p>
              </w:tc>
              <w:tc>
                <w:tcPr>
                  <w:tcW w:w="695" w:type="pct"/>
                  <w:shd w:val="clear" w:color="auto" w:fill="auto"/>
                  <w:vAlign w:val="center"/>
                </w:tcPr>
                <w:p w14:paraId="565839C1">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环氧水性底漆</w:t>
                  </w:r>
                </w:p>
              </w:tc>
              <w:tc>
                <w:tcPr>
                  <w:tcW w:w="510" w:type="pct"/>
                  <w:shd w:val="clear" w:color="auto" w:fill="auto"/>
                  <w:vAlign w:val="center"/>
                </w:tcPr>
                <w:p w14:paraId="1A16B6BC">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1.1t/m</w:t>
                  </w:r>
                  <w:r>
                    <w:rPr>
                      <w:rFonts w:hint="eastAsia" w:hAnsiTheme="minorEastAsia" w:eastAsiaTheme="minorEastAsia"/>
                      <w:sz w:val="18"/>
                      <w:szCs w:val="18"/>
                      <w:vertAlign w:val="superscript"/>
                    </w:rPr>
                    <w:t>3</w:t>
                  </w:r>
                </w:p>
              </w:tc>
              <w:tc>
                <w:tcPr>
                  <w:tcW w:w="437" w:type="pct"/>
                  <w:vAlign w:val="center"/>
                </w:tcPr>
                <w:p w14:paraId="02BCC9BB">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80</w:t>
                  </w:r>
                  <w:r>
                    <w:rPr>
                      <w:rFonts w:hAnsiTheme="minorEastAsia" w:eastAsiaTheme="minorEastAsia"/>
                      <w:sz w:val="18"/>
                      <w:szCs w:val="18"/>
                    </w:rPr>
                    <w:t>μm</w:t>
                  </w:r>
                </w:p>
              </w:tc>
              <w:tc>
                <w:tcPr>
                  <w:tcW w:w="483" w:type="pct"/>
                  <w:vAlign w:val="center"/>
                </w:tcPr>
                <w:p w14:paraId="56FFBD1B">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87%</w:t>
                  </w:r>
                </w:p>
              </w:tc>
              <w:tc>
                <w:tcPr>
                  <w:tcW w:w="499" w:type="pct"/>
                  <w:vAlign w:val="center"/>
                </w:tcPr>
                <w:p w14:paraId="55EBC442">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55%</w:t>
                  </w:r>
                </w:p>
              </w:tc>
              <w:tc>
                <w:tcPr>
                  <w:tcW w:w="659" w:type="pct"/>
                  <w:shd w:val="clear" w:color="auto" w:fill="auto"/>
                  <w:vAlign w:val="center"/>
                </w:tcPr>
                <w:p w14:paraId="2570B15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0.184kg/m</w:t>
                  </w:r>
                  <w:r>
                    <w:rPr>
                      <w:rFonts w:hint="eastAsia" w:hAnsiTheme="minorEastAsia" w:eastAsiaTheme="minorEastAsia"/>
                      <w:sz w:val="18"/>
                      <w:szCs w:val="18"/>
                      <w:vertAlign w:val="superscript"/>
                    </w:rPr>
                    <w:t>2</w:t>
                  </w:r>
                </w:p>
              </w:tc>
              <w:tc>
                <w:tcPr>
                  <w:tcW w:w="714" w:type="pct"/>
                  <w:vAlign w:val="center"/>
                </w:tcPr>
                <w:p w14:paraId="3F39EF6A">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5.43m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tc>
              <w:tc>
                <w:tcPr>
                  <w:tcW w:w="662" w:type="pct"/>
                  <w:vAlign w:val="center"/>
                </w:tcPr>
                <w:p w14:paraId="2374CF94">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tc>
            </w:tr>
            <w:tr w14:paraId="578C4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41" w:type="pct"/>
                  <w:vMerge w:val="continue"/>
                  <w:shd w:val="clear" w:color="auto" w:fill="auto"/>
                  <w:vAlign w:val="center"/>
                </w:tcPr>
                <w:p w14:paraId="2A80887B">
                  <w:pPr>
                    <w:snapToGrid w:val="0"/>
                    <w:spacing w:line="280" w:lineRule="exact"/>
                    <w:jc w:val="center"/>
                    <w:rPr>
                      <w:rFonts w:hAnsiTheme="minorEastAsia" w:eastAsiaTheme="minorEastAsia"/>
                      <w:sz w:val="18"/>
                      <w:szCs w:val="18"/>
                    </w:rPr>
                  </w:pPr>
                </w:p>
              </w:tc>
              <w:tc>
                <w:tcPr>
                  <w:tcW w:w="695" w:type="pct"/>
                  <w:shd w:val="clear" w:color="auto" w:fill="auto"/>
                  <w:vAlign w:val="center"/>
                </w:tcPr>
                <w:p w14:paraId="653B08BF">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丙烯酸水性面漆</w:t>
                  </w:r>
                </w:p>
              </w:tc>
              <w:tc>
                <w:tcPr>
                  <w:tcW w:w="510" w:type="pct"/>
                  <w:shd w:val="clear" w:color="auto" w:fill="auto"/>
                  <w:vAlign w:val="center"/>
                </w:tcPr>
                <w:p w14:paraId="22A9AE84">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1.1t/m</w:t>
                  </w:r>
                  <w:r>
                    <w:rPr>
                      <w:rFonts w:hint="eastAsia" w:hAnsiTheme="minorEastAsia" w:eastAsiaTheme="minorEastAsia"/>
                      <w:sz w:val="18"/>
                      <w:szCs w:val="18"/>
                      <w:vertAlign w:val="superscript"/>
                    </w:rPr>
                    <w:t>3</w:t>
                  </w:r>
                </w:p>
              </w:tc>
              <w:tc>
                <w:tcPr>
                  <w:tcW w:w="437" w:type="pct"/>
                  <w:vAlign w:val="center"/>
                </w:tcPr>
                <w:p w14:paraId="0DB74847">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55</w:t>
                  </w:r>
                  <w:r>
                    <w:rPr>
                      <w:rFonts w:hAnsiTheme="minorEastAsia" w:eastAsiaTheme="minorEastAsia"/>
                      <w:sz w:val="18"/>
                      <w:szCs w:val="18"/>
                    </w:rPr>
                    <w:t>μm</w:t>
                  </w:r>
                </w:p>
              </w:tc>
              <w:tc>
                <w:tcPr>
                  <w:tcW w:w="483" w:type="pct"/>
                  <w:vAlign w:val="center"/>
                </w:tcPr>
                <w:p w14:paraId="78F9EFD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85%</w:t>
                  </w:r>
                </w:p>
              </w:tc>
              <w:tc>
                <w:tcPr>
                  <w:tcW w:w="499" w:type="pct"/>
                  <w:vAlign w:val="center"/>
                </w:tcPr>
                <w:p w14:paraId="1209F550">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55%</w:t>
                  </w:r>
                </w:p>
              </w:tc>
              <w:tc>
                <w:tcPr>
                  <w:tcW w:w="659" w:type="pct"/>
                  <w:shd w:val="clear" w:color="auto" w:fill="auto"/>
                  <w:vAlign w:val="center"/>
                </w:tcPr>
                <w:p w14:paraId="2531EA9D">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0.129kg/m</w:t>
                  </w:r>
                  <w:r>
                    <w:rPr>
                      <w:rFonts w:hint="eastAsia" w:hAnsiTheme="minorEastAsia" w:eastAsiaTheme="minorEastAsia"/>
                      <w:sz w:val="18"/>
                      <w:szCs w:val="18"/>
                      <w:vertAlign w:val="superscript"/>
                    </w:rPr>
                    <w:t>2</w:t>
                  </w:r>
                </w:p>
              </w:tc>
              <w:tc>
                <w:tcPr>
                  <w:tcW w:w="714" w:type="pct"/>
                  <w:vAlign w:val="center"/>
                </w:tcPr>
                <w:p w14:paraId="46C3A53C">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7.75 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tc>
              <w:tc>
                <w:tcPr>
                  <w:tcW w:w="662" w:type="pct"/>
                  <w:vAlign w:val="center"/>
                </w:tcPr>
                <w:p w14:paraId="35CD9692">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7.5m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tc>
            </w:tr>
          </w:tbl>
          <w:p w14:paraId="53DB6DE5">
            <w:pPr>
              <w:autoSpaceDE w:val="0"/>
              <w:autoSpaceDN w:val="0"/>
              <w:adjustRightInd w:val="0"/>
              <w:snapToGrid w:val="0"/>
              <w:spacing w:line="240" w:lineRule="atLeast"/>
              <w:jc w:val="center"/>
              <w:rPr>
                <w:b/>
                <w:bCs/>
                <w:sz w:val="18"/>
                <w:szCs w:val="18"/>
              </w:rPr>
            </w:pPr>
            <w:r>
              <w:rPr>
                <w:rFonts w:hint="eastAsia"/>
                <w:b/>
                <w:bCs/>
                <w:sz w:val="18"/>
                <w:szCs w:val="18"/>
              </w:rPr>
              <w:t>表2</w:t>
            </w:r>
            <w:r>
              <w:rPr>
                <w:rFonts w:hint="eastAsia"/>
                <w:b/>
                <w:bCs/>
                <w:sz w:val="18"/>
                <w:szCs w:val="18"/>
                <w:lang w:val="en-US" w:eastAsia="zh-CN"/>
              </w:rPr>
              <w:t>.2-4</w:t>
            </w:r>
            <w:r>
              <w:rPr>
                <w:rFonts w:hint="eastAsia"/>
                <w:b/>
                <w:bCs/>
                <w:sz w:val="18"/>
                <w:szCs w:val="18"/>
              </w:rPr>
              <w:t xml:space="preserve">    项目油漆使用情况一览表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511"/>
              <w:gridCol w:w="1453"/>
              <w:gridCol w:w="642"/>
              <w:gridCol w:w="1339"/>
              <w:gridCol w:w="961"/>
              <w:gridCol w:w="1199"/>
              <w:gridCol w:w="834"/>
            </w:tblGrid>
            <w:tr w14:paraId="08C25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51" w:type="pct"/>
                  <w:shd w:val="clear" w:color="auto" w:fill="auto"/>
                  <w:vAlign w:val="center"/>
                </w:tcPr>
                <w:p w14:paraId="7DF2A12C">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位置</w:t>
                  </w:r>
                </w:p>
              </w:tc>
              <w:tc>
                <w:tcPr>
                  <w:tcW w:w="915" w:type="pct"/>
                  <w:vAlign w:val="center"/>
                </w:tcPr>
                <w:p w14:paraId="0B27BE68">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分类</w:t>
                  </w:r>
                </w:p>
              </w:tc>
              <w:tc>
                <w:tcPr>
                  <w:tcW w:w="404" w:type="pct"/>
                  <w:vAlign w:val="center"/>
                </w:tcPr>
                <w:p w14:paraId="44B95DF7">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类别</w:t>
                  </w:r>
                </w:p>
              </w:tc>
              <w:tc>
                <w:tcPr>
                  <w:tcW w:w="843" w:type="pct"/>
                  <w:shd w:val="clear" w:color="auto" w:fill="auto"/>
                  <w:vAlign w:val="center"/>
                </w:tcPr>
                <w:p w14:paraId="0836424E">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名称</w:t>
                  </w:r>
                </w:p>
              </w:tc>
              <w:tc>
                <w:tcPr>
                  <w:tcW w:w="605" w:type="pct"/>
                  <w:shd w:val="clear" w:color="auto" w:fill="auto"/>
                  <w:vAlign w:val="center"/>
                </w:tcPr>
                <w:p w14:paraId="6450E472">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涂装面积</w:t>
                  </w:r>
                </w:p>
              </w:tc>
              <w:tc>
                <w:tcPr>
                  <w:tcW w:w="755" w:type="pct"/>
                  <w:vAlign w:val="center"/>
                </w:tcPr>
                <w:p w14:paraId="587AC8D2">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消耗</w:t>
                  </w:r>
                  <w:r>
                    <w:rPr>
                      <w:rFonts w:hAnsiTheme="minorEastAsia" w:eastAsiaTheme="minorEastAsia"/>
                      <w:sz w:val="18"/>
                      <w:szCs w:val="18"/>
                    </w:rPr>
                    <w:t>系数</w:t>
                  </w:r>
                </w:p>
              </w:tc>
              <w:tc>
                <w:tcPr>
                  <w:tcW w:w="525" w:type="pct"/>
                  <w:shd w:val="clear" w:color="auto" w:fill="auto"/>
                  <w:vAlign w:val="center"/>
                </w:tcPr>
                <w:p w14:paraId="3C20DB7C">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总耗量</w:t>
                  </w:r>
                </w:p>
              </w:tc>
            </w:tr>
            <w:tr w14:paraId="541215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51" w:type="pct"/>
                  <w:vMerge w:val="restart"/>
                  <w:shd w:val="clear" w:color="auto" w:fill="auto"/>
                  <w:vAlign w:val="center"/>
                </w:tcPr>
                <w:p w14:paraId="72C73671">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木门窗、木屋</w:t>
                  </w:r>
                </w:p>
              </w:tc>
              <w:tc>
                <w:tcPr>
                  <w:tcW w:w="915" w:type="pct"/>
                  <w:vAlign w:val="center"/>
                </w:tcPr>
                <w:p w14:paraId="5DF0B8A1">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底漆</w:t>
                  </w:r>
                </w:p>
              </w:tc>
              <w:tc>
                <w:tcPr>
                  <w:tcW w:w="404" w:type="pct"/>
                  <w:vMerge w:val="restart"/>
                  <w:vAlign w:val="center"/>
                </w:tcPr>
                <w:p w14:paraId="4279E3E1">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水</w:t>
                  </w:r>
                </w:p>
                <w:p w14:paraId="5EE923B7">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性</w:t>
                  </w:r>
                </w:p>
                <w:p w14:paraId="5BBE762A">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漆</w:t>
                  </w:r>
                </w:p>
              </w:tc>
              <w:tc>
                <w:tcPr>
                  <w:tcW w:w="843" w:type="pct"/>
                  <w:shd w:val="clear" w:color="auto" w:fill="auto"/>
                  <w:vAlign w:val="center"/>
                </w:tcPr>
                <w:p w14:paraId="1D09156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环氧水性底漆</w:t>
                  </w:r>
                </w:p>
              </w:tc>
              <w:tc>
                <w:tcPr>
                  <w:tcW w:w="605" w:type="pct"/>
                  <w:vMerge w:val="restart"/>
                  <w:shd w:val="clear" w:color="auto" w:fill="auto"/>
                  <w:vAlign w:val="center"/>
                </w:tcPr>
                <w:p w14:paraId="1EB05F24">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r>
                    <w:rPr>
                      <w:rFonts w:hint="eastAsia" w:hAnsiTheme="minorEastAsia" w:eastAsiaTheme="minorEastAsia"/>
                      <w:sz w:val="18"/>
                      <w:szCs w:val="18"/>
                    </w:rPr>
                    <w:t>5000m</w:t>
                  </w:r>
                  <w:r>
                    <w:rPr>
                      <w:rFonts w:hint="eastAsia" w:hAnsiTheme="minorEastAsia" w:eastAsiaTheme="minorEastAsia"/>
                      <w:sz w:val="18"/>
                      <w:szCs w:val="18"/>
                      <w:vertAlign w:val="superscript"/>
                    </w:rPr>
                    <w:t>2</w:t>
                  </w:r>
                </w:p>
              </w:tc>
              <w:tc>
                <w:tcPr>
                  <w:tcW w:w="755" w:type="pct"/>
                  <w:vAlign w:val="center"/>
                </w:tcPr>
                <w:p w14:paraId="699DBA61">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5m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tc>
              <w:tc>
                <w:tcPr>
                  <w:tcW w:w="525" w:type="pct"/>
                  <w:shd w:val="clear" w:color="auto" w:fill="auto"/>
                  <w:vAlign w:val="center"/>
                </w:tcPr>
                <w:p w14:paraId="0AE3CE2C">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3</w:t>
                  </w:r>
                  <w:r>
                    <w:rPr>
                      <w:rFonts w:hint="eastAsia" w:hAnsiTheme="minorEastAsia" w:eastAsiaTheme="minorEastAsia"/>
                      <w:sz w:val="18"/>
                      <w:szCs w:val="18"/>
                    </w:rPr>
                    <w:t>t/a</w:t>
                  </w:r>
                </w:p>
              </w:tc>
            </w:tr>
            <w:tr w14:paraId="271AA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51" w:type="pct"/>
                  <w:vMerge w:val="continue"/>
                  <w:shd w:val="clear" w:color="auto" w:fill="auto"/>
                  <w:vAlign w:val="center"/>
                </w:tcPr>
                <w:p w14:paraId="488FFF52">
                  <w:pPr>
                    <w:snapToGrid w:val="0"/>
                    <w:spacing w:line="280" w:lineRule="exact"/>
                    <w:jc w:val="center"/>
                    <w:rPr>
                      <w:rFonts w:hAnsiTheme="minorEastAsia" w:eastAsiaTheme="minorEastAsia"/>
                      <w:sz w:val="18"/>
                      <w:szCs w:val="18"/>
                    </w:rPr>
                  </w:pPr>
                </w:p>
              </w:tc>
              <w:tc>
                <w:tcPr>
                  <w:tcW w:w="915" w:type="pct"/>
                  <w:vAlign w:val="center"/>
                </w:tcPr>
                <w:p w14:paraId="6442C5BE">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面漆</w:t>
                  </w:r>
                </w:p>
              </w:tc>
              <w:tc>
                <w:tcPr>
                  <w:tcW w:w="404" w:type="pct"/>
                  <w:vMerge w:val="continue"/>
                  <w:vAlign w:val="center"/>
                </w:tcPr>
                <w:p w14:paraId="57B53620">
                  <w:pPr>
                    <w:snapToGrid w:val="0"/>
                    <w:spacing w:line="280" w:lineRule="exact"/>
                    <w:jc w:val="center"/>
                    <w:rPr>
                      <w:rFonts w:hAnsiTheme="minorEastAsia" w:eastAsiaTheme="minorEastAsia"/>
                      <w:sz w:val="18"/>
                      <w:szCs w:val="18"/>
                    </w:rPr>
                  </w:pPr>
                </w:p>
              </w:tc>
              <w:tc>
                <w:tcPr>
                  <w:tcW w:w="843" w:type="pct"/>
                  <w:shd w:val="clear" w:color="auto" w:fill="auto"/>
                  <w:vAlign w:val="center"/>
                </w:tcPr>
                <w:p w14:paraId="6B5B79A0">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丙烯酸水性面漆</w:t>
                  </w:r>
                </w:p>
              </w:tc>
              <w:tc>
                <w:tcPr>
                  <w:tcW w:w="605" w:type="pct"/>
                  <w:vMerge w:val="continue"/>
                  <w:shd w:val="clear" w:color="auto" w:fill="auto"/>
                  <w:vAlign w:val="center"/>
                </w:tcPr>
                <w:p w14:paraId="564317A4">
                  <w:pPr>
                    <w:snapToGrid w:val="0"/>
                    <w:spacing w:line="280" w:lineRule="exact"/>
                    <w:jc w:val="center"/>
                    <w:rPr>
                      <w:rFonts w:hAnsiTheme="minorEastAsia" w:eastAsiaTheme="minorEastAsia"/>
                      <w:sz w:val="18"/>
                      <w:szCs w:val="18"/>
                    </w:rPr>
                  </w:pPr>
                </w:p>
              </w:tc>
              <w:tc>
                <w:tcPr>
                  <w:tcW w:w="755" w:type="pct"/>
                  <w:vAlign w:val="center"/>
                </w:tcPr>
                <w:p w14:paraId="37767D97">
                  <w:pPr>
                    <w:snapToGrid w:val="0"/>
                    <w:spacing w:line="280" w:lineRule="exact"/>
                    <w:jc w:val="center"/>
                    <w:rPr>
                      <w:rFonts w:hint="eastAsia" w:hAnsiTheme="minorEastAsia" w:eastAsiaTheme="minorEastAsia"/>
                      <w:sz w:val="18"/>
                      <w:szCs w:val="18"/>
                    </w:rPr>
                  </w:pPr>
                  <w:r>
                    <w:rPr>
                      <w:rFonts w:hint="eastAsia" w:hAnsiTheme="minorEastAsia" w:eastAsiaTheme="minorEastAsia"/>
                      <w:sz w:val="18"/>
                      <w:szCs w:val="18"/>
                    </w:rPr>
                    <w:t>7.5m</w:t>
                  </w:r>
                  <w:r>
                    <w:rPr>
                      <w:rFonts w:hint="eastAsia" w:hAnsiTheme="minorEastAsia" w:eastAsiaTheme="minorEastAsia"/>
                      <w:sz w:val="18"/>
                      <w:szCs w:val="18"/>
                      <w:vertAlign w:val="superscript"/>
                    </w:rPr>
                    <w:t>2</w:t>
                  </w:r>
                  <w:r>
                    <w:rPr>
                      <w:rFonts w:hint="eastAsia" w:hAnsiTheme="minorEastAsia" w:eastAsiaTheme="minorEastAsia"/>
                      <w:sz w:val="18"/>
                      <w:szCs w:val="18"/>
                    </w:rPr>
                    <w:t>/kg</w:t>
                  </w:r>
                </w:p>
                <w:p w14:paraId="502782C2">
                  <w:pPr>
                    <w:snapToGrid w:val="0"/>
                    <w:spacing w:line="280" w:lineRule="exact"/>
                    <w:jc w:val="center"/>
                    <w:rPr>
                      <w:rFonts w:hint="default" w:hAnsiTheme="minorEastAsia" w:eastAsiaTheme="minorEastAsia"/>
                      <w:sz w:val="18"/>
                      <w:szCs w:val="18"/>
                      <w:lang w:val="en-US" w:eastAsia="zh-CN"/>
                    </w:rPr>
                  </w:pPr>
                  <w:r>
                    <w:rPr>
                      <w:rFonts w:hint="eastAsia" w:hAnsiTheme="minorEastAsia" w:eastAsiaTheme="minorEastAsia"/>
                      <w:sz w:val="18"/>
                      <w:szCs w:val="18"/>
                      <w:lang w:eastAsia="zh-CN"/>
                    </w:rPr>
                    <w:t>（</w:t>
                  </w:r>
                  <w:r>
                    <w:rPr>
                      <w:rFonts w:hint="eastAsia" w:hAnsiTheme="minorEastAsia" w:eastAsiaTheme="minorEastAsia"/>
                      <w:sz w:val="18"/>
                      <w:szCs w:val="18"/>
                      <w:lang w:val="en-US" w:eastAsia="zh-CN"/>
                    </w:rPr>
                    <w:t>2次）</w:t>
                  </w:r>
                </w:p>
              </w:tc>
              <w:tc>
                <w:tcPr>
                  <w:tcW w:w="525" w:type="pct"/>
                  <w:shd w:val="clear" w:color="auto" w:fill="auto"/>
                  <w:vAlign w:val="center"/>
                </w:tcPr>
                <w:p w14:paraId="03BFAB9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4</w:t>
                  </w:r>
                  <w:r>
                    <w:rPr>
                      <w:rFonts w:hint="eastAsia" w:hAnsiTheme="minorEastAsia" w:eastAsiaTheme="minorEastAsia"/>
                      <w:sz w:val="18"/>
                      <w:szCs w:val="18"/>
                    </w:rPr>
                    <w:t>t/a</w:t>
                  </w:r>
                </w:p>
              </w:tc>
            </w:tr>
            <w:tr w14:paraId="20EB8F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51" w:type="pct"/>
                  <w:vMerge w:val="continue"/>
                  <w:shd w:val="clear" w:color="auto" w:fill="auto"/>
                  <w:vAlign w:val="center"/>
                </w:tcPr>
                <w:p w14:paraId="5CBB80D9">
                  <w:pPr>
                    <w:snapToGrid w:val="0"/>
                    <w:spacing w:line="280" w:lineRule="exact"/>
                    <w:jc w:val="center"/>
                    <w:rPr>
                      <w:rFonts w:hAnsiTheme="minorEastAsia" w:eastAsiaTheme="minorEastAsia"/>
                      <w:sz w:val="18"/>
                      <w:szCs w:val="18"/>
                    </w:rPr>
                  </w:pPr>
                </w:p>
              </w:tc>
              <w:tc>
                <w:tcPr>
                  <w:tcW w:w="915" w:type="pct"/>
                  <w:vAlign w:val="center"/>
                </w:tcPr>
                <w:p w14:paraId="0CFC8DE9">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稀释剂</w:t>
                  </w:r>
                </w:p>
              </w:tc>
              <w:tc>
                <w:tcPr>
                  <w:tcW w:w="404" w:type="pct"/>
                  <w:vAlign w:val="center"/>
                </w:tcPr>
                <w:p w14:paraId="6AC630B4">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水</w:t>
                  </w:r>
                </w:p>
              </w:tc>
              <w:tc>
                <w:tcPr>
                  <w:tcW w:w="2203" w:type="pct"/>
                  <w:gridSpan w:val="3"/>
                  <w:shd w:val="clear" w:color="auto" w:fill="auto"/>
                  <w:vAlign w:val="center"/>
                </w:tcPr>
                <w:p w14:paraId="54BC8BF3">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rPr>
                    <w:t>底漆/水</w:t>
                  </w:r>
                  <w:r>
                    <w:rPr>
                      <w:rFonts w:hAnsiTheme="minorEastAsia" w:eastAsiaTheme="minorEastAsia"/>
                      <w:sz w:val="18"/>
                      <w:szCs w:val="18"/>
                    </w:rPr>
                    <w:t>=10</w:t>
                  </w:r>
                  <w:r>
                    <w:rPr>
                      <w:rFonts w:hint="eastAsia" w:hAnsiTheme="minorEastAsia" w:eastAsiaTheme="minorEastAsia"/>
                      <w:sz w:val="18"/>
                      <w:szCs w:val="18"/>
                    </w:rPr>
                    <w:t>/</w:t>
                  </w:r>
                  <w:r>
                    <w:rPr>
                      <w:rFonts w:hAnsiTheme="minorEastAsia" w:eastAsiaTheme="minorEastAsia"/>
                      <w:sz w:val="18"/>
                      <w:szCs w:val="18"/>
                    </w:rPr>
                    <w:t>1；面漆</w:t>
                  </w:r>
                  <w:r>
                    <w:rPr>
                      <w:rFonts w:hint="eastAsia" w:hAnsiTheme="minorEastAsia" w:eastAsiaTheme="minorEastAsia"/>
                      <w:sz w:val="18"/>
                      <w:szCs w:val="18"/>
                    </w:rPr>
                    <w:t>/水</w:t>
                  </w:r>
                  <w:r>
                    <w:rPr>
                      <w:rFonts w:hAnsiTheme="minorEastAsia" w:eastAsiaTheme="minorEastAsia"/>
                      <w:sz w:val="18"/>
                      <w:szCs w:val="18"/>
                    </w:rPr>
                    <w:t>=10</w:t>
                  </w:r>
                  <w:r>
                    <w:rPr>
                      <w:rFonts w:hint="eastAsia" w:hAnsiTheme="minorEastAsia" w:eastAsiaTheme="minorEastAsia"/>
                      <w:sz w:val="18"/>
                      <w:szCs w:val="18"/>
                    </w:rPr>
                    <w:t>/</w:t>
                  </w:r>
                  <w:r>
                    <w:rPr>
                      <w:rFonts w:hAnsiTheme="minorEastAsia" w:eastAsiaTheme="minorEastAsia"/>
                      <w:sz w:val="18"/>
                      <w:szCs w:val="18"/>
                    </w:rPr>
                    <w:t>1.</w:t>
                  </w:r>
                  <w:r>
                    <w:rPr>
                      <w:rFonts w:hint="eastAsia" w:hAnsiTheme="minorEastAsia" w:eastAsiaTheme="minorEastAsia"/>
                      <w:sz w:val="18"/>
                      <w:szCs w:val="18"/>
                    </w:rPr>
                    <w:t>2</w:t>
                  </w:r>
                </w:p>
              </w:tc>
              <w:tc>
                <w:tcPr>
                  <w:tcW w:w="525" w:type="pct"/>
                  <w:shd w:val="clear" w:color="auto" w:fill="auto"/>
                  <w:vAlign w:val="center"/>
                </w:tcPr>
                <w:p w14:paraId="769E9EF4">
                  <w:pPr>
                    <w:snapToGrid w:val="0"/>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0.7</w:t>
                  </w:r>
                  <w:r>
                    <w:rPr>
                      <w:rFonts w:hint="eastAsia" w:hAnsiTheme="minorEastAsia" w:eastAsiaTheme="minorEastAsia"/>
                      <w:sz w:val="18"/>
                      <w:szCs w:val="18"/>
                    </w:rPr>
                    <w:t>8t/a</w:t>
                  </w:r>
                </w:p>
              </w:tc>
            </w:tr>
          </w:tbl>
          <w:p w14:paraId="59925A1C">
            <w:pPr>
              <w:autoSpaceDE w:val="0"/>
              <w:autoSpaceDN w:val="0"/>
              <w:adjustRightInd w:val="0"/>
              <w:spacing w:line="360" w:lineRule="auto"/>
              <w:ind w:firstLine="420" w:firstLineChars="200"/>
              <w:jc w:val="left"/>
            </w:pPr>
            <w:r>
              <w:rPr>
                <w:rFonts w:hint="eastAsia"/>
              </w:rPr>
              <w:t>由上表可知，项目水性漆年用量</w:t>
            </w:r>
            <w:r>
              <w:rPr>
                <w:rFonts w:hint="eastAsia"/>
                <w:lang w:val="en-US" w:eastAsia="zh-CN"/>
              </w:rPr>
              <w:t>7</w:t>
            </w:r>
            <w:r>
              <w:rPr>
                <w:rFonts w:hint="eastAsia"/>
              </w:rPr>
              <w:t>t/a；</w:t>
            </w:r>
          </w:p>
          <w:p w14:paraId="2215CDF0">
            <w:pPr>
              <w:autoSpaceDE w:val="0"/>
              <w:autoSpaceDN w:val="0"/>
              <w:adjustRightInd w:val="0"/>
              <w:spacing w:line="360" w:lineRule="auto"/>
              <w:ind w:firstLine="422" w:firstLineChars="200"/>
              <w:jc w:val="left"/>
              <w:rPr>
                <w:rFonts w:hint="default" w:eastAsia="宋体"/>
                <w:lang w:val="en-US" w:eastAsia="zh-CN"/>
              </w:rPr>
            </w:pPr>
            <w:r>
              <w:rPr>
                <w:rFonts w:hint="eastAsia"/>
                <w:b/>
              </w:rPr>
              <w:t>胶</w:t>
            </w:r>
            <w:r>
              <w:rPr>
                <w:rFonts w:hint="eastAsia"/>
                <w:b/>
                <w:bCs/>
              </w:rPr>
              <w:t>理化性质：</w:t>
            </w:r>
            <w:r>
              <w:rPr>
                <w:rFonts w:hint="eastAsia"/>
                <w:lang w:val="en-US" w:eastAsia="zh-CN"/>
              </w:rPr>
              <w:t>本项目使用的防腐剂为</w:t>
            </w:r>
            <w:r>
              <w:rPr>
                <w:rFonts w:hint="eastAsia"/>
              </w:rPr>
              <w:t>碱性铜季铵盐</w:t>
            </w:r>
            <w:r>
              <w:rPr>
                <w:rFonts w:hint="eastAsia"/>
                <w:lang w:eastAsia="zh-CN"/>
              </w:rPr>
              <w:t>，</w:t>
            </w:r>
            <w:r>
              <w:rPr>
                <w:rFonts w:hint="eastAsia"/>
                <w:lang w:val="en-US" w:eastAsia="zh-CN"/>
              </w:rPr>
              <w:t>属于</w:t>
            </w:r>
            <w:r>
              <w:rPr>
                <w:rFonts w:hint="eastAsia"/>
              </w:rPr>
              <w:t>当前主流环保型防腐剂</w:t>
            </w:r>
            <w:r>
              <w:rPr>
                <w:rFonts w:hint="eastAsia"/>
                <w:lang w:eastAsia="zh-CN"/>
              </w:rPr>
              <w:t>，</w:t>
            </w:r>
            <w:r>
              <w:rPr>
                <w:rFonts w:hint="eastAsia"/>
              </w:rPr>
              <w:t>ACQ（Alkaline Copper Quaternary）是 CCA 的环保替代产品，不含砷和铬</w:t>
            </w:r>
            <w:r>
              <w:rPr>
                <w:rFonts w:hint="eastAsia"/>
                <w:lang w:eastAsia="zh-CN"/>
              </w:rPr>
              <w:t>，</w:t>
            </w:r>
            <w:r>
              <w:rPr>
                <w:rFonts w:hint="eastAsia"/>
                <w:lang w:val="en-US" w:eastAsia="zh-CN"/>
              </w:rPr>
              <w:t>主要成分为</w:t>
            </w:r>
            <w:r>
              <w:rPr>
                <w:rFonts w:hint="eastAsia"/>
              </w:rPr>
              <w:t>铜铵化合物（氧化铜 CuO +季铵盐）。深蓝色 / 蓝绿色微黏液体</w:t>
            </w:r>
            <w:r>
              <w:rPr>
                <w:rFonts w:hint="eastAsia"/>
                <w:lang w:eastAsia="zh-CN"/>
              </w:rPr>
              <w:t>，</w:t>
            </w:r>
            <w:r>
              <w:rPr>
                <w:rFonts w:hint="eastAsia"/>
                <w:lang w:val="en-US" w:eastAsia="zh-CN"/>
              </w:rPr>
              <w:t>密度</w:t>
            </w:r>
            <w:r>
              <w:rPr>
                <w:rFonts w:hint="eastAsia"/>
              </w:rPr>
              <w:t>1.10–1.25 g/cm³</w:t>
            </w:r>
            <w:r>
              <w:rPr>
                <w:rFonts w:hint="eastAsia"/>
                <w:lang w:eastAsia="zh-CN"/>
              </w:rPr>
              <w:t>，</w:t>
            </w:r>
            <w:r>
              <w:rPr>
                <w:rFonts w:hint="eastAsia"/>
              </w:rPr>
              <w:t>pH值8–9（弱碱性</w:t>
            </w:r>
            <w:r>
              <w:rPr>
                <w:rFonts w:hint="eastAsia"/>
                <w:lang w:eastAsia="zh-CN"/>
              </w:rPr>
              <w:t>，</w:t>
            </w:r>
            <w:r>
              <w:rPr>
                <w:rFonts w:hint="eastAsia"/>
              </w:rPr>
              <w:t>微黏性</w:t>
            </w:r>
            <w:r>
              <w:rPr>
                <w:rFonts w:hint="eastAsia"/>
                <w:lang w:eastAsia="zh-CN"/>
              </w:rPr>
              <w:t>，</w:t>
            </w:r>
            <w:r>
              <w:rPr>
                <w:rFonts w:hint="eastAsia"/>
              </w:rPr>
              <w:t>与水完全互溶</w:t>
            </w:r>
            <w:r>
              <w:rPr>
                <w:rFonts w:hint="eastAsia"/>
                <w:lang w:eastAsia="zh-CN"/>
              </w:rPr>
              <w:t>，</w:t>
            </w:r>
            <w:r>
              <w:rPr>
                <w:rFonts w:hint="eastAsia"/>
              </w:rPr>
              <w:t>水溶性好、低毒、对金属腐蚀性较低，抗流失性强，不降低木材强度，不影响油漆涂装。处理后木材呈绿色，户外使用寿命可达 40 年。适用于户外承重木构件、古建筑修缮。</w:t>
            </w:r>
          </w:p>
          <w:p w14:paraId="39B3B8CE">
            <w:pPr>
              <w:adjustRightInd w:val="0"/>
              <w:snapToGrid w:val="0"/>
              <w:spacing w:line="360" w:lineRule="auto"/>
              <w:ind w:firstLine="422" w:firstLineChars="200"/>
              <w:rPr>
                <w:b/>
                <w:bCs/>
                <w:color w:val="auto"/>
                <w:szCs w:val="21"/>
              </w:rPr>
            </w:pPr>
            <w:r>
              <w:rPr>
                <w:rFonts w:hint="eastAsia"/>
                <w:b/>
                <w:bCs/>
                <w:color w:val="auto"/>
                <w:szCs w:val="21"/>
                <w:lang w:val="en-US" w:eastAsia="zh-CN"/>
              </w:rPr>
              <w:t>2.4</w:t>
            </w:r>
            <w:r>
              <w:rPr>
                <w:rFonts w:hint="eastAsia"/>
                <w:b/>
                <w:bCs/>
                <w:color w:val="auto"/>
                <w:szCs w:val="21"/>
              </w:rPr>
              <w:t>主要生产设备</w:t>
            </w:r>
          </w:p>
          <w:p w14:paraId="136D0CD8">
            <w:pPr>
              <w:spacing w:line="240" w:lineRule="exact"/>
              <w:jc w:val="center"/>
              <w:rPr>
                <w:b/>
                <w:color w:val="auto"/>
                <w:sz w:val="18"/>
                <w:szCs w:val="18"/>
              </w:rPr>
            </w:pPr>
            <w:r>
              <w:rPr>
                <w:b/>
                <w:color w:val="auto"/>
                <w:sz w:val="18"/>
                <w:szCs w:val="18"/>
              </w:rPr>
              <w:t>表</w:t>
            </w:r>
            <w:r>
              <w:rPr>
                <w:rFonts w:hint="eastAsia"/>
                <w:b/>
                <w:color w:val="auto"/>
                <w:sz w:val="18"/>
                <w:szCs w:val="18"/>
              </w:rPr>
              <w:t>2</w:t>
            </w:r>
            <w:r>
              <w:rPr>
                <w:rFonts w:hint="eastAsia"/>
                <w:b/>
                <w:color w:val="auto"/>
                <w:sz w:val="18"/>
                <w:szCs w:val="18"/>
                <w:lang w:val="en-US" w:eastAsia="zh-CN"/>
              </w:rPr>
              <w:t>.</w:t>
            </w:r>
            <w:r>
              <w:rPr>
                <w:rFonts w:hint="eastAsia"/>
                <w:b/>
                <w:color w:val="auto"/>
                <w:sz w:val="18"/>
                <w:szCs w:val="18"/>
              </w:rPr>
              <w:t>4-</w:t>
            </w:r>
            <w:r>
              <w:rPr>
                <w:rFonts w:hint="eastAsia"/>
                <w:b/>
                <w:color w:val="auto"/>
                <w:sz w:val="18"/>
                <w:szCs w:val="18"/>
                <w:lang w:val="en-US" w:eastAsia="zh-CN"/>
              </w:rPr>
              <w:t>1</w:t>
            </w:r>
            <w:r>
              <w:rPr>
                <w:b/>
                <w:color w:val="auto"/>
                <w:sz w:val="18"/>
                <w:szCs w:val="18"/>
              </w:rPr>
              <w:t xml:space="preserve">    主要生产设备表</w:t>
            </w:r>
          </w:p>
          <w:tbl>
            <w:tblPr>
              <w:tblStyle w:val="48"/>
              <w:tblW w:w="5000" w:type="pct"/>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376"/>
              <w:gridCol w:w="2080"/>
              <w:gridCol w:w="2104"/>
              <w:gridCol w:w="772"/>
              <w:gridCol w:w="2064"/>
              <w:gridCol w:w="543"/>
            </w:tblGrid>
            <w:tr w14:paraId="746D47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5E82DF14">
                  <w:pPr>
                    <w:spacing w:line="280" w:lineRule="exact"/>
                    <w:jc w:val="center"/>
                    <w:rPr>
                      <w:rFonts w:eastAsiaTheme="minorEastAsia"/>
                      <w:sz w:val="18"/>
                      <w:szCs w:val="18"/>
                    </w:rPr>
                  </w:pPr>
                  <w:r>
                    <w:rPr>
                      <w:rFonts w:hAnsiTheme="minorEastAsia" w:eastAsiaTheme="minorEastAsia"/>
                      <w:sz w:val="18"/>
                      <w:szCs w:val="18"/>
                    </w:rPr>
                    <w:t>序号</w:t>
                  </w:r>
                </w:p>
              </w:tc>
              <w:tc>
                <w:tcPr>
                  <w:tcW w:w="1309" w:type="pct"/>
                  <w:tcMar>
                    <w:top w:w="15" w:type="dxa"/>
                    <w:left w:w="15" w:type="dxa"/>
                    <w:right w:w="15" w:type="dxa"/>
                  </w:tcMar>
                  <w:vAlign w:val="center"/>
                </w:tcPr>
                <w:p w14:paraId="74308396">
                  <w:pPr>
                    <w:spacing w:line="280" w:lineRule="exact"/>
                    <w:jc w:val="center"/>
                    <w:rPr>
                      <w:rFonts w:eastAsiaTheme="minorEastAsia"/>
                      <w:sz w:val="18"/>
                      <w:szCs w:val="18"/>
                    </w:rPr>
                  </w:pPr>
                  <w:r>
                    <w:rPr>
                      <w:rFonts w:hAnsiTheme="minorEastAsia" w:eastAsiaTheme="minorEastAsia"/>
                      <w:sz w:val="18"/>
                      <w:szCs w:val="18"/>
                    </w:rPr>
                    <w:t>名</w:t>
                  </w:r>
                  <w:r>
                    <w:rPr>
                      <w:rFonts w:eastAsiaTheme="minorEastAsia"/>
                      <w:sz w:val="18"/>
                      <w:szCs w:val="18"/>
                    </w:rPr>
                    <w:t xml:space="preserve"> </w:t>
                  </w:r>
                  <w:r>
                    <w:rPr>
                      <w:rFonts w:hAnsiTheme="minorEastAsia" w:eastAsiaTheme="minorEastAsia"/>
                      <w:sz w:val="18"/>
                      <w:szCs w:val="18"/>
                    </w:rPr>
                    <w:t>称</w:t>
                  </w:r>
                </w:p>
              </w:tc>
              <w:tc>
                <w:tcPr>
                  <w:tcW w:w="1324" w:type="pct"/>
                  <w:tcMar>
                    <w:top w:w="15" w:type="dxa"/>
                    <w:left w:w="15" w:type="dxa"/>
                    <w:right w:w="15" w:type="dxa"/>
                  </w:tcMar>
                  <w:vAlign w:val="center"/>
                </w:tcPr>
                <w:p w14:paraId="54A8A422">
                  <w:pPr>
                    <w:spacing w:line="280" w:lineRule="exact"/>
                    <w:jc w:val="center"/>
                    <w:rPr>
                      <w:rFonts w:eastAsiaTheme="minorEastAsia"/>
                      <w:sz w:val="18"/>
                      <w:szCs w:val="18"/>
                    </w:rPr>
                  </w:pPr>
                  <w:r>
                    <w:rPr>
                      <w:rFonts w:hAnsiTheme="minorEastAsia" w:eastAsiaTheme="minorEastAsia"/>
                      <w:sz w:val="18"/>
                      <w:szCs w:val="18"/>
                    </w:rPr>
                    <w:t>型号</w:t>
                  </w:r>
                </w:p>
              </w:tc>
              <w:tc>
                <w:tcPr>
                  <w:tcW w:w="486" w:type="pct"/>
                  <w:tcBorders>
                    <w:right w:val="single" w:color="auto" w:sz="4" w:space="0"/>
                  </w:tcBorders>
                  <w:tcMar>
                    <w:top w:w="15" w:type="dxa"/>
                    <w:left w:w="15" w:type="dxa"/>
                    <w:right w:w="15" w:type="dxa"/>
                  </w:tcMar>
                  <w:vAlign w:val="center"/>
                </w:tcPr>
                <w:p w14:paraId="3411008D">
                  <w:pPr>
                    <w:spacing w:line="280" w:lineRule="exact"/>
                    <w:jc w:val="center"/>
                    <w:rPr>
                      <w:rFonts w:hAnsiTheme="minorEastAsia" w:eastAsiaTheme="minorEastAsia"/>
                      <w:sz w:val="18"/>
                      <w:szCs w:val="18"/>
                    </w:rPr>
                  </w:pPr>
                  <w:r>
                    <w:rPr>
                      <w:rFonts w:hAnsiTheme="minorEastAsia" w:eastAsiaTheme="minorEastAsia"/>
                      <w:sz w:val="18"/>
                      <w:szCs w:val="18"/>
                    </w:rPr>
                    <w:t>数量</w:t>
                  </w:r>
                </w:p>
                <w:p w14:paraId="5246A6AC">
                  <w:pPr>
                    <w:spacing w:line="280" w:lineRule="exact"/>
                    <w:jc w:val="center"/>
                    <w:rPr>
                      <w:rFonts w:eastAsiaTheme="minorEastAsia"/>
                      <w:sz w:val="18"/>
                      <w:szCs w:val="18"/>
                    </w:rPr>
                  </w:pPr>
                  <w:r>
                    <w:rPr>
                      <w:rFonts w:hAnsiTheme="minorEastAsia" w:eastAsiaTheme="minorEastAsia"/>
                      <w:sz w:val="18"/>
                      <w:szCs w:val="18"/>
                    </w:rPr>
                    <w:t>（</w:t>
                  </w:r>
                  <w:r>
                    <w:rPr>
                      <w:rFonts w:hint="eastAsia" w:hAnsiTheme="minorEastAsia" w:eastAsiaTheme="minorEastAsia"/>
                      <w:sz w:val="18"/>
                      <w:szCs w:val="18"/>
                      <w:lang w:val="en-US" w:eastAsia="zh-CN"/>
                    </w:rPr>
                    <w:t>台/</w:t>
                  </w:r>
                  <w:r>
                    <w:rPr>
                      <w:rFonts w:hAnsiTheme="minorEastAsia" w:eastAsiaTheme="minorEastAsia"/>
                      <w:sz w:val="18"/>
                      <w:szCs w:val="18"/>
                    </w:rPr>
                    <w:t>套）</w:t>
                  </w:r>
                </w:p>
              </w:tc>
              <w:tc>
                <w:tcPr>
                  <w:tcW w:w="1641" w:type="pct"/>
                  <w:gridSpan w:val="2"/>
                  <w:tcMar>
                    <w:top w:w="15" w:type="dxa"/>
                    <w:left w:w="15" w:type="dxa"/>
                    <w:right w:w="15" w:type="dxa"/>
                  </w:tcMar>
                  <w:vAlign w:val="center"/>
                </w:tcPr>
                <w:p w14:paraId="6C1518D3">
                  <w:pPr>
                    <w:spacing w:line="280" w:lineRule="exact"/>
                    <w:jc w:val="center"/>
                    <w:rPr>
                      <w:rFonts w:eastAsiaTheme="minorEastAsia"/>
                      <w:sz w:val="18"/>
                      <w:szCs w:val="18"/>
                    </w:rPr>
                  </w:pPr>
                  <w:r>
                    <w:rPr>
                      <w:rFonts w:eastAsiaTheme="minorEastAsia"/>
                      <w:sz w:val="18"/>
                      <w:szCs w:val="18"/>
                    </w:rPr>
                    <w:t>备注</w:t>
                  </w:r>
                </w:p>
              </w:tc>
            </w:tr>
            <w:tr w14:paraId="780F1B6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77FB86D6">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309" w:type="pct"/>
                  <w:tcMar>
                    <w:top w:w="15" w:type="dxa"/>
                    <w:left w:w="15" w:type="dxa"/>
                    <w:right w:w="15" w:type="dxa"/>
                  </w:tcMar>
                  <w:vAlign w:val="center"/>
                </w:tcPr>
                <w:p w14:paraId="6122DB52">
                  <w:pPr>
                    <w:jc w:val="center"/>
                    <w:rPr>
                      <w:rFonts w:hint="eastAsia"/>
                      <w:color w:val="000000"/>
                      <w:sz w:val="18"/>
                      <w:szCs w:val="18"/>
                    </w:rPr>
                  </w:pPr>
                  <w:r>
                    <w:rPr>
                      <w:rFonts w:hint="eastAsia"/>
                      <w:color w:val="000000"/>
                      <w:sz w:val="18"/>
                      <w:szCs w:val="18"/>
                    </w:rPr>
                    <w:t>青砖切割机</w:t>
                  </w:r>
                </w:p>
              </w:tc>
              <w:tc>
                <w:tcPr>
                  <w:tcW w:w="1324" w:type="pct"/>
                  <w:tcMar>
                    <w:top w:w="15" w:type="dxa"/>
                    <w:left w:w="15" w:type="dxa"/>
                    <w:right w:w="15" w:type="dxa"/>
                  </w:tcMar>
                  <w:vAlign w:val="center"/>
                </w:tcPr>
                <w:p w14:paraId="2B657046">
                  <w:pPr>
                    <w:jc w:val="center"/>
                    <w:rPr>
                      <w:rFonts w:hint="eastAsia"/>
                      <w:color w:val="000000"/>
                      <w:sz w:val="18"/>
                      <w:szCs w:val="18"/>
                    </w:rPr>
                  </w:pPr>
                  <w:r>
                    <w:rPr>
                      <w:rFonts w:hint="eastAsia"/>
                      <w:color w:val="000000"/>
                      <w:sz w:val="18"/>
                      <w:szCs w:val="18"/>
                    </w:rPr>
                    <w:t>永盛达YSD-8005.5kW</w:t>
                  </w:r>
                </w:p>
              </w:tc>
              <w:tc>
                <w:tcPr>
                  <w:tcW w:w="486" w:type="pct"/>
                  <w:tcBorders>
                    <w:right w:val="single" w:color="auto" w:sz="4" w:space="0"/>
                  </w:tcBorders>
                  <w:tcMar>
                    <w:top w:w="15" w:type="dxa"/>
                    <w:left w:w="15" w:type="dxa"/>
                    <w:right w:w="15" w:type="dxa"/>
                  </w:tcMar>
                  <w:vAlign w:val="center"/>
                </w:tcPr>
                <w:p w14:paraId="647F452A">
                  <w:pPr>
                    <w:spacing w:line="280" w:lineRule="exact"/>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6D352E6D">
                  <w:pPr>
                    <w:jc w:val="center"/>
                    <w:rPr>
                      <w:rFonts w:hint="eastAsia"/>
                      <w:color w:val="000000"/>
                      <w:sz w:val="18"/>
                      <w:szCs w:val="18"/>
                      <w:lang w:val="en-US" w:eastAsia="zh-CN"/>
                    </w:rPr>
                  </w:pPr>
                  <w:r>
                    <w:rPr>
                      <w:rFonts w:hint="eastAsia"/>
                      <w:color w:val="000000"/>
                      <w:sz w:val="18"/>
                      <w:szCs w:val="18"/>
                    </w:rPr>
                    <w:t>砖坯切割</w:t>
                  </w:r>
                </w:p>
              </w:tc>
              <w:tc>
                <w:tcPr>
                  <w:tcW w:w="342" w:type="pct"/>
                  <w:vMerge w:val="restart"/>
                  <w:tcBorders>
                    <w:left w:val="single" w:color="auto" w:sz="4" w:space="0"/>
                  </w:tcBorders>
                  <w:tcMar>
                    <w:top w:w="15" w:type="dxa"/>
                    <w:left w:w="15" w:type="dxa"/>
                    <w:right w:w="15" w:type="dxa"/>
                  </w:tcMar>
                  <w:vAlign w:val="center"/>
                </w:tcPr>
                <w:p w14:paraId="793C87A0">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一车间</w:t>
                  </w:r>
                </w:p>
              </w:tc>
            </w:tr>
            <w:tr w14:paraId="7B0BACB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664DA04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2</w:t>
                  </w:r>
                </w:p>
              </w:tc>
              <w:tc>
                <w:tcPr>
                  <w:tcW w:w="1309" w:type="pct"/>
                  <w:tcMar>
                    <w:top w:w="15" w:type="dxa"/>
                    <w:left w:w="15" w:type="dxa"/>
                    <w:right w:w="15" w:type="dxa"/>
                  </w:tcMar>
                  <w:vAlign w:val="center"/>
                </w:tcPr>
                <w:p w14:paraId="2311EA51">
                  <w:pPr>
                    <w:jc w:val="center"/>
                    <w:rPr>
                      <w:rFonts w:hint="eastAsia"/>
                      <w:color w:val="000000"/>
                      <w:sz w:val="18"/>
                      <w:szCs w:val="18"/>
                    </w:rPr>
                  </w:pPr>
                  <w:r>
                    <w:rPr>
                      <w:rFonts w:hint="eastAsia"/>
                      <w:color w:val="000000"/>
                      <w:sz w:val="18"/>
                      <w:szCs w:val="18"/>
                    </w:rPr>
                    <w:t>数控砖雕雕刻机</w:t>
                  </w:r>
                </w:p>
              </w:tc>
              <w:tc>
                <w:tcPr>
                  <w:tcW w:w="1324" w:type="pct"/>
                  <w:tcMar>
                    <w:top w:w="15" w:type="dxa"/>
                    <w:left w:w="15" w:type="dxa"/>
                    <w:right w:w="15" w:type="dxa"/>
                  </w:tcMar>
                  <w:vAlign w:val="center"/>
                </w:tcPr>
                <w:p w14:paraId="2C18AC1A">
                  <w:pPr>
                    <w:jc w:val="center"/>
                    <w:rPr>
                      <w:rFonts w:hint="eastAsia"/>
                      <w:color w:val="000000"/>
                      <w:sz w:val="18"/>
                      <w:szCs w:val="18"/>
                    </w:rPr>
                  </w:pPr>
                  <w:r>
                    <w:rPr>
                      <w:rFonts w:hint="eastAsia"/>
                      <w:color w:val="000000"/>
                      <w:sz w:val="18"/>
                      <w:szCs w:val="18"/>
                    </w:rPr>
                    <w:t>北京精雕JD-6080B5.5kW</w:t>
                  </w:r>
                </w:p>
              </w:tc>
              <w:tc>
                <w:tcPr>
                  <w:tcW w:w="486" w:type="pct"/>
                  <w:tcBorders>
                    <w:right w:val="single" w:color="auto" w:sz="4" w:space="0"/>
                  </w:tcBorders>
                  <w:tcMar>
                    <w:top w:w="15" w:type="dxa"/>
                    <w:left w:w="15" w:type="dxa"/>
                    <w:right w:w="15" w:type="dxa"/>
                  </w:tcMar>
                  <w:vAlign w:val="center"/>
                </w:tcPr>
                <w:p w14:paraId="7C6AB8E9">
                  <w:pPr>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1B2F64A9">
                  <w:pPr>
                    <w:jc w:val="center"/>
                    <w:rPr>
                      <w:rFonts w:hint="eastAsia"/>
                      <w:color w:val="000000"/>
                      <w:sz w:val="18"/>
                      <w:szCs w:val="18"/>
                    </w:rPr>
                  </w:pPr>
                  <w:r>
                    <w:rPr>
                      <w:rFonts w:hint="eastAsia"/>
                      <w:color w:val="000000"/>
                      <w:sz w:val="18"/>
                      <w:szCs w:val="18"/>
                    </w:rPr>
                    <w:t>砖雕精雕</w:t>
                  </w:r>
                </w:p>
              </w:tc>
              <w:tc>
                <w:tcPr>
                  <w:tcW w:w="342" w:type="pct"/>
                  <w:vMerge w:val="continue"/>
                  <w:tcBorders>
                    <w:left w:val="single" w:color="auto" w:sz="4" w:space="0"/>
                  </w:tcBorders>
                  <w:tcMar>
                    <w:top w:w="15" w:type="dxa"/>
                    <w:left w:w="15" w:type="dxa"/>
                    <w:right w:w="15" w:type="dxa"/>
                  </w:tcMar>
                  <w:vAlign w:val="center"/>
                </w:tcPr>
                <w:p w14:paraId="0579D91C">
                  <w:pPr>
                    <w:spacing w:line="280" w:lineRule="exact"/>
                    <w:jc w:val="center"/>
                    <w:rPr>
                      <w:rFonts w:eastAsiaTheme="minorEastAsia"/>
                      <w:sz w:val="18"/>
                      <w:szCs w:val="18"/>
                    </w:rPr>
                  </w:pPr>
                </w:p>
              </w:tc>
            </w:tr>
            <w:tr w14:paraId="53CB3A8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345AB25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3</w:t>
                  </w:r>
                </w:p>
              </w:tc>
              <w:tc>
                <w:tcPr>
                  <w:tcW w:w="1309" w:type="pct"/>
                  <w:tcMar>
                    <w:top w:w="15" w:type="dxa"/>
                    <w:left w:w="15" w:type="dxa"/>
                    <w:right w:w="15" w:type="dxa"/>
                  </w:tcMar>
                  <w:vAlign w:val="center"/>
                </w:tcPr>
                <w:p w14:paraId="53E23C13">
                  <w:pPr>
                    <w:jc w:val="center"/>
                    <w:rPr>
                      <w:rFonts w:hint="eastAsia"/>
                      <w:color w:val="000000"/>
                      <w:sz w:val="18"/>
                      <w:szCs w:val="18"/>
                    </w:rPr>
                  </w:pPr>
                  <w:r>
                    <w:rPr>
                      <w:rFonts w:hint="eastAsia"/>
                      <w:color w:val="000000"/>
                      <w:sz w:val="18"/>
                      <w:szCs w:val="18"/>
                    </w:rPr>
                    <w:t>水磨打磨机</w:t>
                  </w:r>
                </w:p>
              </w:tc>
              <w:tc>
                <w:tcPr>
                  <w:tcW w:w="1324" w:type="pct"/>
                  <w:tcMar>
                    <w:top w:w="15" w:type="dxa"/>
                    <w:left w:w="15" w:type="dxa"/>
                    <w:right w:w="15" w:type="dxa"/>
                  </w:tcMar>
                  <w:vAlign w:val="center"/>
                </w:tcPr>
                <w:p w14:paraId="58513B84">
                  <w:pPr>
                    <w:jc w:val="center"/>
                    <w:rPr>
                      <w:rFonts w:hint="eastAsia"/>
                      <w:color w:val="000000"/>
                      <w:sz w:val="18"/>
                      <w:szCs w:val="18"/>
                    </w:rPr>
                  </w:pPr>
                  <w:r>
                    <w:rPr>
                      <w:rFonts w:hint="eastAsia"/>
                      <w:color w:val="000000"/>
                      <w:sz w:val="18"/>
                      <w:szCs w:val="18"/>
                    </w:rPr>
                    <w:t>永盛达YSD-M43kW</w:t>
                  </w:r>
                </w:p>
              </w:tc>
              <w:tc>
                <w:tcPr>
                  <w:tcW w:w="486" w:type="pct"/>
                  <w:tcBorders>
                    <w:right w:val="single" w:color="auto" w:sz="4" w:space="0"/>
                  </w:tcBorders>
                  <w:tcMar>
                    <w:top w:w="15" w:type="dxa"/>
                    <w:left w:w="15" w:type="dxa"/>
                    <w:right w:w="15" w:type="dxa"/>
                  </w:tcMar>
                  <w:vAlign w:val="center"/>
                </w:tcPr>
                <w:p w14:paraId="39454511">
                  <w:pPr>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3FD698F9">
                  <w:pPr>
                    <w:jc w:val="center"/>
                    <w:rPr>
                      <w:rFonts w:hint="eastAsia"/>
                      <w:color w:val="000000"/>
                      <w:sz w:val="18"/>
                      <w:szCs w:val="18"/>
                    </w:rPr>
                  </w:pPr>
                  <w:r>
                    <w:rPr>
                      <w:rFonts w:hint="eastAsia"/>
                      <w:color w:val="000000"/>
                      <w:sz w:val="18"/>
                      <w:szCs w:val="18"/>
                    </w:rPr>
                    <w:t>湿式打磨</w:t>
                  </w:r>
                </w:p>
              </w:tc>
              <w:tc>
                <w:tcPr>
                  <w:tcW w:w="342" w:type="pct"/>
                  <w:vMerge w:val="continue"/>
                  <w:tcBorders>
                    <w:left w:val="single" w:color="auto" w:sz="4" w:space="0"/>
                  </w:tcBorders>
                  <w:tcMar>
                    <w:top w:w="15" w:type="dxa"/>
                    <w:left w:w="15" w:type="dxa"/>
                    <w:right w:w="15" w:type="dxa"/>
                  </w:tcMar>
                  <w:vAlign w:val="center"/>
                </w:tcPr>
                <w:p w14:paraId="61E555FB">
                  <w:pPr>
                    <w:spacing w:line="280" w:lineRule="exact"/>
                    <w:jc w:val="center"/>
                    <w:rPr>
                      <w:rFonts w:eastAsiaTheme="minorEastAsia"/>
                      <w:sz w:val="18"/>
                      <w:szCs w:val="18"/>
                    </w:rPr>
                  </w:pPr>
                </w:p>
              </w:tc>
            </w:tr>
            <w:tr w14:paraId="3BA1673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74BF237F">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4</w:t>
                  </w:r>
                </w:p>
              </w:tc>
              <w:tc>
                <w:tcPr>
                  <w:tcW w:w="1309" w:type="pct"/>
                  <w:tcMar>
                    <w:top w:w="15" w:type="dxa"/>
                    <w:left w:w="15" w:type="dxa"/>
                    <w:right w:w="15" w:type="dxa"/>
                  </w:tcMar>
                  <w:vAlign w:val="center"/>
                </w:tcPr>
                <w:p w14:paraId="3F5252F2">
                  <w:pPr>
                    <w:jc w:val="center"/>
                    <w:rPr>
                      <w:rFonts w:hint="eastAsia"/>
                      <w:color w:val="000000"/>
                      <w:sz w:val="18"/>
                      <w:szCs w:val="18"/>
                    </w:rPr>
                  </w:pPr>
                  <w:r>
                    <w:rPr>
                      <w:rFonts w:hint="eastAsia"/>
                      <w:color w:val="000000"/>
                      <w:sz w:val="18"/>
                      <w:szCs w:val="18"/>
                    </w:rPr>
                    <w:t>隧道窑（燃气）</w:t>
                  </w:r>
                </w:p>
              </w:tc>
              <w:tc>
                <w:tcPr>
                  <w:tcW w:w="1324" w:type="pct"/>
                  <w:tcMar>
                    <w:top w:w="15" w:type="dxa"/>
                    <w:left w:w="15" w:type="dxa"/>
                    <w:right w:w="15" w:type="dxa"/>
                  </w:tcMar>
                  <w:vAlign w:val="center"/>
                </w:tcPr>
                <w:p w14:paraId="4CBE8376">
                  <w:pPr>
                    <w:jc w:val="center"/>
                    <w:rPr>
                      <w:rFonts w:hint="eastAsia"/>
                      <w:color w:val="000000"/>
                      <w:sz w:val="18"/>
                      <w:szCs w:val="18"/>
                    </w:rPr>
                  </w:pPr>
                  <w:r>
                    <w:rPr>
                      <w:rFonts w:hint="eastAsia"/>
                      <w:color w:val="000000"/>
                      <w:sz w:val="18"/>
                      <w:szCs w:val="18"/>
                    </w:rPr>
                    <w:t>JY-TD-50（燃气）</w:t>
                  </w:r>
                </w:p>
              </w:tc>
              <w:tc>
                <w:tcPr>
                  <w:tcW w:w="486" w:type="pct"/>
                  <w:tcBorders>
                    <w:right w:val="single" w:color="auto" w:sz="4" w:space="0"/>
                  </w:tcBorders>
                  <w:tcMar>
                    <w:top w:w="15" w:type="dxa"/>
                    <w:left w:w="15" w:type="dxa"/>
                    <w:right w:w="15" w:type="dxa"/>
                  </w:tcMar>
                  <w:vAlign w:val="center"/>
                </w:tcPr>
                <w:p w14:paraId="549B19F4">
                  <w:pPr>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6BA8509A">
                  <w:pPr>
                    <w:jc w:val="center"/>
                    <w:rPr>
                      <w:rFonts w:hint="eastAsia"/>
                      <w:color w:val="000000"/>
                      <w:sz w:val="18"/>
                      <w:szCs w:val="18"/>
                    </w:rPr>
                  </w:pPr>
                  <w:r>
                    <w:rPr>
                      <w:rFonts w:hint="eastAsia"/>
                      <w:color w:val="000000"/>
                      <w:sz w:val="18"/>
                      <w:szCs w:val="18"/>
                    </w:rPr>
                    <w:t>天然气加热，温度可调</w:t>
                  </w:r>
                </w:p>
              </w:tc>
              <w:tc>
                <w:tcPr>
                  <w:tcW w:w="342" w:type="pct"/>
                  <w:vMerge w:val="continue"/>
                  <w:tcBorders>
                    <w:left w:val="single" w:color="auto" w:sz="4" w:space="0"/>
                  </w:tcBorders>
                  <w:tcMar>
                    <w:top w:w="15" w:type="dxa"/>
                    <w:left w:w="15" w:type="dxa"/>
                    <w:right w:w="15" w:type="dxa"/>
                  </w:tcMar>
                  <w:vAlign w:val="center"/>
                </w:tcPr>
                <w:p w14:paraId="2AA060A7">
                  <w:pPr>
                    <w:spacing w:line="280" w:lineRule="exact"/>
                    <w:jc w:val="center"/>
                    <w:rPr>
                      <w:rFonts w:eastAsiaTheme="minorEastAsia"/>
                      <w:sz w:val="18"/>
                      <w:szCs w:val="18"/>
                    </w:rPr>
                  </w:pPr>
                </w:p>
              </w:tc>
            </w:tr>
            <w:tr w14:paraId="67C5A1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02F52E20">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5</w:t>
                  </w:r>
                </w:p>
              </w:tc>
              <w:tc>
                <w:tcPr>
                  <w:tcW w:w="1309" w:type="pct"/>
                  <w:tcMar>
                    <w:top w:w="15" w:type="dxa"/>
                    <w:left w:w="15" w:type="dxa"/>
                    <w:right w:w="15" w:type="dxa"/>
                  </w:tcMar>
                  <w:vAlign w:val="center"/>
                </w:tcPr>
                <w:p w14:paraId="5BF20BC2">
                  <w:pPr>
                    <w:jc w:val="center"/>
                    <w:rPr>
                      <w:rFonts w:hint="eastAsia"/>
                      <w:color w:val="000000"/>
                      <w:sz w:val="18"/>
                      <w:szCs w:val="18"/>
                    </w:rPr>
                  </w:pPr>
                  <w:r>
                    <w:rPr>
                      <w:rFonts w:hint="eastAsia"/>
                      <w:color w:val="000000"/>
                      <w:sz w:val="18"/>
                      <w:szCs w:val="18"/>
                    </w:rPr>
                    <w:t>砖坯成型机</w:t>
                  </w:r>
                </w:p>
              </w:tc>
              <w:tc>
                <w:tcPr>
                  <w:tcW w:w="1324" w:type="pct"/>
                  <w:tcMar>
                    <w:top w:w="15" w:type="dxa"/>
                    <w:left w:w="15" w:type="dxa"/>
                    <w:right w:w="15" w:type="dxa"/>
                  </w:tcMar>
                  <w:vAlign w:val="center"/>
                </w:tcPr>
                <w:p w14:paraId="2CC82905">
                  <w:pPr>
                    <w:jc w:val="center"/>
                    <w:rPr>
                      <w:rFonts w:hint="eastAsia"/>
                      <w:color w:val="000000"/>
                      <w:sz w:val="18"/>
                      <w:szCs w:val="18"/>
                    </w:rPr>
                  </w:pPr>
                  <w:r>
                    <w:rPr>
                      <w:rFonts w:hint="eastAsia"/>
                      <w:color w:val="000000"/>
                      <w:sz w:val="18"/>
                      <w:szCs w:val="18"/>
                    </w:rPr>
                    <w:t>ZQ-12010kW</w:t>
                  </w:r>
                </w:p>
              </w:tc>
              <w:tc>
                <w:tcPr>
                  <w:tcW w:w="486" w:type="pct"/>
                  <w:tcBorders>
                    <w:right w:val="single" w:color="auto" w:sz="4" w:space="0"/>
                  </w:tcBorders>
                  <w:tcMar>
                    <w:top w:w="15" w:type="dxa"/>
                    <w:left w:w="15" w:type="dxa"/>
                    <w:right w:w="15" w:type="dxa"/>
                  </w:tcMar>
                  <w:vAlign w:val="center"/>
                </w:tcPr>
                <w:p w14:paraId="6EA0D75D">
                  <w:pPr>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38602BF1">
                  <w:pPr>
                    <w:jc w:val="center"/>
                    <w:rPr>
                      <w:rFonts w:hint="eastAsia"/>
                      <w:color w:val="000000"/>
                      <w:sz w:val="18"/>
                      <w:szCs w:val="18"/>
                    </w:rPr>
                  </w:pPr>
                  <w:r>
                    <w:rPr>
                      <w:rFonts w:hint="eastAsia"/>
                      <w:color w:val="000000"/>
                      <w:sz w:val="18"/>
                      <w:szCs w:val="18"/>
                    </w:rPr>
                    <w:t>液压成型</w:t>
                  </w:r>
                </w:p>
              </w:tc>
              <w:tc>
                <w:tcPr>
                  <w:tcW w:w="342" w:type="pct"/>
                  <w:vMerge w:val="continue"/>
                  <w:tcBorders>
                    <w:left w:val="single" w:color="auto" w:sz="4" w:space="0"/>
                  </w:tcBorders>
                  <w:tcMar>
                    <w:top w:w="15" w:type="dxa"/>
                    <w:left w:w="15" w:type="dxa"/>
                    <w:right w:w="15" w:type="dxa"/>
                  </w:tcMar>
                  <w:vAlign w:val="center"/>
                </w:tcPr>
                <w:p w14:paraId="0E3FE5A2">
                  <w:pPr>
                    <w:spacing w:line="280" w:lineRule="exact"/>
                    <w:jc w:val="center"/>
                    <w:rPr>
                      <w:rFonts w:eastAsiaTheme="minorEastAsia"/>
                      <w:sz w:val="18"/>
                      <w:szCs w:val="18"/>
                    </w:rPr>
                  </w:pPr>
                </w:p>
              </w:tc>
            </w:tr>
            <w:tr w14:paraId="626B25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tcMar>
                    <w:top w:w="15" w:type="dxa"/>
                    <w:left w:w="15" w:type="dxa"/>
                    <w:right w:w="15" w:type="dxa"/>
                  </w:tcMar>
                  <w:vAlign w:val="center"/>
                </w:tcPr>
                <w:p w14:paraId="2D62E5B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6</w:t>
                  </w:r>
                </w:p>
              </w:tc>
              <w:tc>
                <w:tcPr>
                  <w:tcW w:w="1309" w:type="pct"/>
                  <w:tcMar>
                    <w:top w:w="15" w:type="dxa"/>
                    <w:left w:w="15" w:type="dxa"/>
                    <w:right w:w="15" w:type="dxa"/>
                  </w:tcMar>
                  <w:vAlign w:val="center"/>
                </w:tcPr>
                <w:p w14:paraId="7DBA3CBA">
                  <w:pPr>
                    <w:jc w:val="center"/>
                    <w:rPr>
                      <w:rFonts w:hint="eastAsia"/>
                      <w:color w:val="000000"/>
                      <w:sz w:val="18"/>
                      <w:szCs w:val="18"/>
                    </w:rPr>
                  </w:pPr>
                  <w:r>
                    <w:rPr>
                      <w:rFonts w:hint="eastAsia"/>
                      <w:color w:val="000000"/>
                      <w:sz w:val="18"/>
                      <w:szCs w:val="18"/>
                    </w:rPr>
                    <w:t>花砖成型机</w:t>
                  </w:r>
                </w:p>
              </w:tc>
              <w:tc>
                <w:tcPr>
                  <w:tcW w:w="1324" w:type="pct"/>
                  <w:tcMar>
                    <w:top w:w="15" w:type="dxa"/>
                    <w:left w:w="15" w:type="dxa"/>
                    <w:right w:w="15" w:type="dxa"/>
                  </w:tcMar>
                  <w:vAlign w:val="center"/>
                </w:tcPr>
                <w:p w14:paraId="6E808628">
                  <w:pPr>
                    <w:jc w:val="center"/>
                    <w:rPr>
                      <w:rFonts w:hint="eastAsia"/>
                      <w:color w:val="000000"/>
                      <w:sz w:val="18"/>
                      <w:szCs w:val="18"/>
                    </w:rPr>
                  </w:pPr>
                  <w:r>
                    <w:rPr>
                      <w:rFonts w:hint="eastAsia"/>
                      <w:color w:val="000000"/>
                      <w:sz w:val="18"/>
                      <w:szCs w:val="18"/>
                    </w:rPr>
                    <w:t>ZQ-2007.5kW</w:t>
                  </w:r>
                </w:p>
              </w:tc>
              <w:tc>
                <w:tcPr>
                  <w:tcW w:w="486" w:type="pct"/>
                  <w:tcBorders>
                    <w:right w:val="single" w:color="auto" w:sz="4" w:space="0"/>
                  </w:tcBorders>
                  <w:tcMar>
                    <w:top w:w="15" w:type="dxa"/>
                    <w:left w:w="15" w:type="dxa"/>
                    <w:right w:w="15" w:type="dxa"/>
                  </w:tcMar>
                  <w:vAlign w:val="center"/>
                </w:tcPr>
                <w:p w14:paraId="2B8A0D43">
                  <w:pPr>
                    <w:spacing w:line="280" w:lineRule="exact"/>
                    <w:jc w:val="center"/>
                    <w:rPr>
                      <w:rFonts w:hAnsiTheme="minorEastAsia" w:eastAsiaTheme="minorEastAsia"/>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2658E8F1">
                  <w:pPr>
                    <w:jc w:val="center"/>
                    <w:rPr>
                      <w:rFonts w:hint="eastAsia"/>
                      <w:color w:val="000000"/>
                      <w:sz w:val="18"/>
                      <w:szCs w:val="18"/>
                    </w:rPr>
                  </w:pPr>
                  <w:r>
                    <w:rPr>
                      <w:rFonts w:hint="eastAsia"/>
                      <w:color w:val="000000"/>
                      <w:sz w:val="18"/>
                      <w:szCs w:val="18"/>
                    </w:rPr>
                    <w:t>异形花砖/饰件</w:t>
                  </w:r>
                </w:p>
              </w:tc>
              <w:tc>
                <w:tcPr>
                  <w:tcW w:w="342" w:type="pct"/>
                  <w:vMerge w:val="continue"/>
                  <w:tcBorders>
                    <w:left w:val="single" w:color="auto" w:sz="4" w:space="0"/>
                  </w:tcBorders>
                  <w:tcMar>
                    <w:top w:w="15" w:type="dxa"/>
                    <w:left w:w="15" w:type="dxa"/>
                    <w:right w:w="15" w:type="dxa"/>
                  </w:tcMar>
                  <w:vAlign w:val="center"/>
                </w:tcPr>
                <w:p w14:paraId="7C10CC83">
                  <w:pPr>
                    <w:spacing w:line="280" w:lineRule="exact"/>
                    <w:jc w:val="center"/>
                    <w:rPr>
                      <w:rFonts w:eastAsiaTheme="minorEastAsia"/>
                      <w:sz w:val="18"/>
                      <w:szCs w:val="18"/>
                    </w:rPr>
                  </w:pPr>
                </w:p>
              </w:tc>
            </w:tr>
            <w:tr w14:paraId="49DF27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09B9B05">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7</w:t>
                  </w:r>
                </w:p>
              </w:tc>
              <w:tc>
                <w:tcPr>
                  <w:tcW w:w="1309" w:type="pct"/>
                  <w:tcMar>
                    <w:top w:w="15" w:type="dxa"/>
                    <w:left w:w="15" w:type="dxa"/>
                    <w:right w:w="15" w:type="dxa"/>
                  </w:tcMar>
                  <w:vAlign w:val="center"/>
                </w:tcPr>
                <w:p w14:paraId="01760DFC">
                  <w:pPr>
                    <w:jc w:val="center"/>
                    <w:rPr>
                      <w:rFonts w:hint="eastAsia"/>
                      <w:color w:val="000000"/>
                      <w:sz w:val="18"/>
                      <w:szCs w:val="18"/>
                    </w:rPr>
                  </w:pPr>
                  <w:r>
                    <w:rPr>
                      <w:rFonts w:hint="eastAsia"/>
                      <w:color w:val="000000"/>
                      <w:sz w:val="18"/>
                      <w:szCs w:val="18"/>
                    </w:rPr>
                    <w:t>红外线石材切割机</w:t>
                  </w:r>
                </w:p>
              </w:tc>
              <w:tc>
                <w:tcPr>
                  <w:tcW w:w="1324" w:type="pct"/>
                  <w:tcMar>
                    <w:top w:w="15" w:type="dxa"/>
                    <w:left w:w="15" w:type="dxa"/>
                    <w:right w:w="15" w:type="dxa"/>
                  </w:tcMar>
                  <w:vAlign w:val="center"/>
                </w:tcPr>
                <w:p w14:paraId="5C9218A1">
                  <w:pPr>
                    <w:jc w:val="center"/>
                    <w:rPr>
                      <w:rFonts w:hint="eastAsia"/>
                      <w:color w:val="000000"/>
                      <w:sz w:val="18"/>
                      <w:szCs w:val="18"/>
                    </w:rPr>
                  </w:pPr>
                  <w:r>
                    <w:rPr>
                      <w:rFonts w:hint="eastAsia"/>
                      <w:color w:val="000000"/>
                      <w:sz w:val="18"/>
                      <w:szCs w:val="18"/>
                    </w:rPr>
                    <w:t>华泰XG-120011kW</w:t>
                  </w:r>
                </w:p>
              </w:tc>
              <w:tc>
                <w:tcPr>
                  <w:tcW w:w="486" w:type="pct"/>
                  <w:tcBorders>
                    <w:right w:val="single" w:color="auto" w:sz="4" w:space="0"/>
                  </w:tcBorders>
                  <w:tcMar>
                    <w:top w:w="15" w:type="dxa"/>
                    <w:left w:w="15" w:type="dxa"/>
                    <w:right w:w="15" w:type="dxa"/>
                  </w:tcMar>
                  <w:vAlign w:val="center"/>
                </w:tcPr>
                <w:p w14:paraId="15B073E4">
                  <w:pPr>
                    <w:jc w:val="center"/>
                    <w:rPr>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06D7FA82">
                  <w:pPr>
                    <w:jc w:val="center"/>
                    <w:rPr>
                      <w:rFonts w:hint="eastAsia"/>
                      <w:color w:val="000000"/>
                      <w:sz w:val="18"/>
                      <w:szCs w:val="18"/>
                    </w:rPr>
                  </w:pPr>
                  <w:r>
                    <w:rPr>
                      <w:rFonts w:hint="eastAsia"/>
                      <w:color w:val="000000"/>
                      <w:sz w:val="18"/>
                      <w:szCs w:val="18"/>
                    </w:rPr>
                    <w:t>荒料分割</w:t>
                  </w:r>
                </w:p>
              </w:tc>
              <w:tc>
                <w:tcPr>
                  <w:tcW w:w="342" w:type="pct"/>
                  <w:vMerge w:val="restart"/>
                  <w:tcBorders>
                    <w:left w:val="single" w:color="auto" w:sz="4" w:space="0"/>
                  </w:tcBorders>
                  <w:tcMar>
                    <w:top w:w="15" w:type="dxa"/>
                    <w:left w:w="15" w:type="dxa"/>
                    <w:right w:w="15" w:type="dxa"/>
                  </w:tcMar>
                  <w:vAlign w:val="center"/>
                </w:tcPr>
                <w:p w14:paraId="1304EFB5">
                  <w:pPr>
                    <w:spacing w:line="280" w:lineRule="exact"/>
                    <w:jc w:val="center"/>
                    <w:rPr>
                      <w:rFonts w:eastAsiaTheme="minorEastAsia"/>
                      <w:sz w:val="18"/>
                      <w:szCs w:val="18"/>
                    </w:rPr>
                  </w:pPr>
                  <w:r>
                    <w:rPr>
                      <w:rFonts w:eastAsiaTheme="minorEastAsia"/>
                      <w:sz w:val="18"/>
                      <w:szCs w:val="18"/>
                    </w:rPr>
                    <w:t>二车间</w:t>
                  </w:r>
                </w:p>
              </w:tc>
            </w:tr>
            <w:tr w14:paraId="5E57CD6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456AA205">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8</w:t>
                  </w:r>
                </w:p>
              </w:tc>
              <w:tc>
                <w:tcPr>
                  <w:tcW w:w="1309" w:type="pct"/>
                  <w:tcMar>
                    <w:top w:w="15" w:type="dxa"/>
                    <w:left w:w="15" w:type="dxa"/>
                    <w:right w:w="15" w:type="dxa"/>
                  </w:tcMar>
                  <w:vAlign w:val="center"/>
                </w:tcPr>
                <w:p w14:paraId="4DAF028F">
                  <w:pPr>
                    <w:jc w:val="center"/>
                    <w:rPr>
                      <w:rFonts w:hint="eastAsia"/>
                      <w:color w:val="000000"/>
                      <w:sz w:val="18"/>
                      <w:szCs w:val="18"/>
                    </w:rPr>
                  </w:pPr>
                  <w:r>
                    <w:rPr>
                      <w:rFonts w:hint="eastAsia"/>
                      <w:color w:val="000000"/>
                      <w:sz w:val="18"/>
                      <w:szCs w:val="18"/>
                    </w:rPr>
                    <w:t>数控石材雕刻机</w:t>
                  </w:r>
                </w:p>
              </w:tc>
              <w:tc>
                <w:tcPr>
                  <w:tcW w:w="1324" w:type="pct"/>
                  <w:tcMar>
                    <w:top w:w="15" w:type="dxa"/>
                    <w:left w:w="15" w:type="dxa"/>
                    <w:right w:w="15" w:type="dxa"/>
                  </w:tcMar>
                  <w:vAlign w:val="center"/>
                </w:tcPr>
                <w:p w14:paraId="304F2DEC">
                  <w:pPr>
                    <w:jc w:val="center"/>
                    <w:rPr>
                      <w:rFonts w:hint="eastAsia"/>
                      <w:color w:val="000000"/>
                      <w:sz w:val="18"/>
                      <w:szCs w:val="18"/>
                    </w:rPr>
                  </w:pPr>
                  <w:r>
                    <w:rPr>
                      <w:rFonts w:hint="eastAsia"/>
                      <w:color w:val="000000"/>
                      <w:sz w:val="18"/>
                      <w:szCs w:val="18"/>
                    </w:rPr>
                    <w:t>天辰TC-1325S7.5kW</w:t>
                  </w:r>
                </w:p>
              </w:tc>
              <w:tc>
                <w:tcPr>
                  <w:tcW w:w="486" w:type="pct"/>
                  <w:tcBorders>
                    <w:right w:val="single" w:color="auto" w:sz="4" w:space="0"/>
                  </w:tcBorders>
                  <w:tcMar>
                    <w:top w:w="15" w:type="dxa"/>
                    <w:left w:w="15" w:type="dxa"/>
                    <w:right w:w="15" w:type="dxa"/>
                  </w:tcMar>
                  <w:vAlign w:val="center"/>
                </w:tcPr>
                <w:p w14:paraId="0D1911BE">
                  <w:pPr>
                    <w:jc w:val="center"/>
                    <w:rPr>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74D23EA1">
                  <w:pPr>
                    <w:jc w:val="center"/>
                    <w:rPr>
                      <w:rFonts w:hint="eastAsia"/>
                      <w:color w:val="000000"/>
                      <w:sz w:val="18"/>
                      <w:szCs w:val="18"/>
                    </w:rPr>
                  </w:pPr>
                  <w:r>
                    <w:rPr>
                      <w:rFonts w:hint="eastAsia"/>
                      <w:color w:val="000000"/>
                      <w:sz w:val="18"/>
                      <w:szCs w:val="18"/>
                    </w:rPr>
                    <w:t>三维精雕</w:t>
                  </w:r>
                </w:p>
              </w:tc>
              <w:tc>
                <w:tcPr>
                  <w:tcW w:w="342" w:type="pct"/>
                  <w:vMerge w:val="continue"/>
                  <w:tcBorders>
                    <w:left w:val="single" w:color="auto" w:sz="4" w:space="0"/>
                  </w:tcBorders>
                  <w:tcMar>
                    <w:top w:w="15" w:type="dxa"/>
                    <w:left w:w="15" w:type="dxa"/>
                    <w:right w:w="15" w:type="dxa"/>
                  </w:tcMar>
                  <w:vAlign w:val="center"/>
                </w:tcPr>
                <w:p w14:paraId="6A48F29E">
                  <w:pPr>
                    <w:spacing w:line="280" w:lineRule="exact"/>
                    <w:jc w:val="center"/>
                    <w:rPr>
                      <w:rFonts w:eastAsiaTheme="minorEastAsia"/>
                      <w:sz w:val="18"/>
                      <w:szCs w:val="18"/>
                    </w:rPr>
                  </w:pPr>
                </w:p>
              </w:tc>
            </w:tr>
            <w:tr w14:paraId="1575F6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48509D9D">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9</w:t>
                  </w:r>
                </w:p>
              </w:tc>
              <w:tc>
                <w:tcPr>
                  <w:tcW w:w="1309" w:type="pct"/>
                  <w:tcMar>
                    <w:top w:w="15" w:type="dxa"/>
                    <w:left w:w="15" w:type="dxa"/>
                    <w:right w:w="15" w:type="dxa"/>
                  </w:tcMar>
                  <w:vAlign w:val="center"/>
                </w:tcPr>
                <w:p w14:paraId="05E6308C">
                  <w:pPr>
                    <w:jc w:val="center"/>
                    <w:rPr>
                      <w:rFonts w:hint="eastAsia"/>
                      <w:color w:val="000000"/>
                      <w:sz w:val="18"/>
                      <w:szCs w:val="18"/>
                    </w:rPr>
                  </w:pPr>
                  <w:r>
                    <w:rPr>
                      <w:rFonts w:hint="eastAsia"/>
                      <w:color w:val="000000"/>
                      <w:sz w:val="18"/>
                      <w:szCs w:val="18"/>
                    </w:rPr>
                    <w:t>仿形雕刻机</w:t>
                  </w:r>
                </w:p>
              </w:tc>
              <w:tc>
                <w:tcPr>
                  <w:tcW w:w="1324" w:type="pct"/>
                  <w:tcMar>
                    <w:top w:w="15" w:type="dxa"/>
                    <w:left w:w="15" w:type="dxa"/>
                    <w:right w:w="15" w:type="dxa"/>
                  </w:tcMar>
                  <w:vAlign w:val="center"/>
                </w:tcPr>
                <w:p w14:paraId="175D1C3D">
                  <w:pPr>
                    <w:jc w:val="center"/>
                    <w:rPr>
                      <w:rFonts w:hint="eastAsia"/>
                      <w:color w:val="000000"/>
                      <w:sz w:val="18"/>
                      <w:szCs w:val="18"/>
                    </w:rPr>
                  </w:pPr>
                  <w:r>
                    <w:rPr>
                      <w:rFonts w:hint="eastAsia"/>
                      <w:color w:val="000000"/>
                      <w:sz w:val="18"/>
                      <w:szCs w:val="18"/>
                    </w:rPr>
                    <w:t>FX-12005.5kW</w:t>
                  </w:r>
                </w:p>
              </w:tc>
              <w:tc>
                <w:tcPr>
                  <w:tcW w:w="486" w:type="pct"/>
                  <w:tcBorders>
                    <w:right w:val="single" w:color="auto" w:sz="4" w:space="0"/>
                  </w:tcBorders>
                  <w:tcMar>
                    <w:top w:w="15" w:type="dxa"/>
                    <w:left w:w="15" w:type="dxa"/>
                    <w:right w:w="15" w:type="dxa"/>
                  </w:tcMar>
                  <w:vAlign w:val="center"/>
                </w:tcPr>
                <w:p w14:paraId="60D8BE09">
                  <w:pPr>
                    <w:jc w:val="center"/>
                    <w:rPr>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0C3EA640">
                  <w:pPr>
                    <w:jc w:val="center"/>
                    <w:rPr>
                      <w:rFonts w:hint="eastAsia"/>
                      <w:color w:val="000000"/>
                      <w:sz w:val="18"/>
                      <w:szCs w:val="18"/>
                    </w:rPr>
                  </w:pPr>
                  <w:r>
                    <w:rPr>
                      <w:rFonts w:hint="eastAsia"/>
                      <w:color w:val="000000"/>
                      <w:sz w:val="18"/>
                      <w:szCs w:val="18"/>
                    </w:rPr>
                    <w:t>标准件批量复制</w:t>
                  </w:r>
                </w:p>
              </w:tc>
              <w:tc>
                <w:tcPr>
                  <w:tcW w:w="342" w:type="pct"/>
                  <w:vMerge w:val="continue"/>
                  <w:tcBorders>
                    <w:left w:val="single" w:color="auto" w:sz="4" w:space="0"/>
                  </w:tcBorders>
                  <w:tcMar>
                    <w:top w:w="15" w:type="dxa"/>
                    <w:left w:w="15" w:type="dxa"/>
                    <w:right w:w="15" w:type="dxa"/>
                  </w:tcMar>
                  <w:vAlign w:val="center"/>
                </w:tcPr>
                <w:p w14:paraId="18138FAF">
                  <w:pPr>
                    <w:spacing w:line="280" w:lineRule="exact"/>
                    <w:jc w:val="center"/>
                    <w:rPr>
                      <w:rFonts w:eastAsiaTheme="minorEastAsia"/>
                      <w:sz w:val="18"/>
                      <w:szCs w:val="18"/>
                    </w:rPr>
                  </w:pPr>
                </w:p>
              </w:tc>
            </w:tr>
            <w:tr w14:paraId="3770F4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79C5A060">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10</w:t>
                  </w:r>
                </w:p>
              </w:tc>
              <w:tc>
                <w:tcPr>
                  <w:tcW w:w="1309" w:type="pct"/>
                  <w:tcMar>
                    <w:top w:w="15" w:type="dxa"/>
                    <w:left w:w="15" w:type="dxa"/>
                    <w:right w:w="15" w:type="dxa"/>
                  </w:tcMar>
                  <w:vAlign w:val="center"/>
                </w:tcPr>
                <w:p w14:paraId="5B47C35E">
                  <w:pPr>
                    <w:jc w:val="center"/>
                    <w:rPr>
                      <w:rFonts w:hint="eastAsia"/>
                      <w:color w:val="000000"/>
                      <w:sz w:val="18"/>
                      <w:szCs w:val="18"/>
                    </w:rPr>
                  </w:pPr>
                  <w:r>
                    <w:rPr>
                      <w:rFonts w:hint="eastAsia"/>
                      <w:color w:val="000000"/>
                      <w:sz w:val="18"/>
                      <w:szCs w:val="18"/>
                    </w:rPr>
                    <w:t>石材抛光机</w:t>
                  </w:r>
                </w:p>
              </w:tc>
              <w:tc>
                <w:tcPr>
                  <w:tcW w:w="1324" w:type="pct"/>
                  <w:tcMar>
                    <w:top w:w="15" w:type="dxa"/>
                    <w:left w:w="15" w:type="dxa"/>
                    <w:right w:w="15" w:type="dxa"/>
                  </w:tcMar>
                  <w:vAlign w:val="center"/>
                </w:tcPr>
                <w:p w14:paraId="03302AE2">
                  <w:pPr>
                    <w:jc w:val="center"/>
                    <w:rPr>
                      <w:rFonts w:hint="eastAsia"/>
                      <w:color w:val="000000"/>
                      <w:sz w:val="18"/>
                      <w:szCs w:val="18"/>
                    </w:rPr>
                  </w:pPr>
                  <w:r>
                    <w:rPr>
                      <w:rFonts w:hint="eastAsia"/>
                      <w:color w:val="000000"/>
                      <w:sz w:val="18"/>
                      <w:szCs w:val="18"/>
                    </w:rPr>
                    <w:t>永盛达YSD-P43kW</w:t>
                  </w:r>
                </w:p>
              </w:tc>
              <w:tc>
                <w:tcPr>
                  <w:tcW w:w="486" w:type="pct"/>
                  <w:tcBorders>
                    <w:right w:val="single" w:color="auto" w:sz="4" w:space="0"/>
                  </w:tcBorders>
                  <w:tcMar>
                    <w:top w:w="15" w:type="dxa"/>
                    <w:left w:w="15" w:type="dxa"/>
                    <w:right w:w="15" w:type="dxa"/>
                  </w:tcMar>
                  <w:vAlign w:val="center"/>
                </w:tcPr>
                <w:p w14:paraId="179E13FC">
                  <w:pPr>
                    <w:jc w:val="center"/>
                    <w:rPr>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7D6A2D1B">
                  <w:pPr>
                    <w:jc w:val="center"/>
                    <w:rPr>
                      <w:rFonts w:hint="eastAsia"/>
                      <w:color w:val="000000"/>
                      <w:sz w:val="18"/>
                      <w:szCs w:val="18"/>
                    </w:rPr>
                  </w:pPr>
                  <w:r>
                    <w:rPr>
                      <w:rFonts w:hint="eastAsia"/>
                      <w:color w:val="000000"/>
                      <w:sz w:val="18"/>
                      <w:szCs w:val="18"/>
                    </w:rPr>
                    <w:t>水磨抛光</w:t>
                  </w:r>
                </w:p>
              </w:tc>
              <w:tc>
                <w:tcPr>
                  <w:tcW w:w="342" w:type="pct"/>
                  <w:vMerge w:val="continue"/>
                  <w:tcBorders>
                    <w:left w:val="single" w:color="auto" w:sz="4" w:space="0"/>
                  </w:tcBorders>
                  <w:tcMar>
                    <w:top w:w="15" w:type="dxa"/>
                    <w:left w:w="15" w:type="dxa"/>
                    <w:right w:w="15" w:type="dxa"/>
                  </w:tcMar>
                  <w:vAlign w:val="center"/>
                </w:tcPr>
                <w:p w14:paraId="70D52A02">
                  <w:pPr>
                    <w:spacing w:line="280" w:lineRule="exact"/>
                    <w:jc w:val="center"/>
                    <w:rPr>
                      <w:rFonts w:eastAsiaTheme="minorEastAsia"/>
                      <w:sz w:val="18"/>
                      <w:szCs w:val="18"/>
                    </w:rPr>
                  </w:pPr>
                </w:p>
              </w:tc>
            </w:tr>
            <w:tr w14:paraId="280A014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00FFD288">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11</w:t>
                  </w:r>
                </w:p>
              </w:tc>
              <w:tc>
                <w:tcPr>
                  <w:tcW w:w="1309" w:type="pct"/>
                  <w:tcMar>
                    <w:top w:w="15" w:type="dxa"/>
                    <w:left w:w="15" w:type="dxa"/>
                    <w:right w:w="15" w:type="dxa"/>
                  </w:tcMar>
                  <w:vAlign w:val="center"/>
                </w:tcPr>
                <w:p w14:paraId="17EA9360">
                  <w:pPr>
                    <w:jc w:val="center"/>
                    <w:rPr>
                      <w:rFonts w:hint="eastAsia"/>
                      <w:color w:val="000000"/>
                      <w:sz w:val="18"/>
                      <w:szCs w:val="18"/>
                    </w:rPr>
                  </w:pPr>
                  <w:r>
                    <w:rPr>
                      <w:rFonts w:hint="eastAsia"/>
                      <w:color w:val="000000"/>
                      <w:sz w:val="18"/>
                      <w:szCs w:val="18"/>
                    </w:rPr>
                    <w:t>手提角磨机</w:t>
                  </w:r>
                </w:p>
              </w:tc>
              <w:tc>
                <w:tcPr>
                  <w:tcW w:w="1324" w:type="pct"/>
                  <w:tcMar>
                    <w:top w:w="15" w:type="dxa"/>
                    <w:left w:w="15" w:type="dxa"/>
                    <w:right w:w="15" w:type="dxa"/>
                  </w:tcMar>
                  <w:vAlign w:val="center"/>
                </w:tcPr>
                <w:p w14:paraId="4256E9F7">
                  <w:pPr>
                    <w:jc w:val="center"/>
                    <w:rPr>
                      <w:rFonts w:hint="eastAsia"/>
                      <w:color w:val="000000"/>
                      <w:sz w:val="18"/>
                      <w:szCs w:val="18"/>
                    </w:rPr>
                  </w:pPr>
                  <w:r>
                    <w:rPr>
                      <w:rFonts w:hint="eastAsia"/>
                      <w:color w:val="000000"/>
                      <w:sz w:val="18"/>
                      <w:szCs w:val="18"/>
                    </w:rPr>
                    <w:t>博世GWS7-1250.72kW</w:t>
                  </w:r>
                </w:p>
              </w:tc>
              <w:tc>
                <w:tcPr>
                  <w:tcW w:w="486" w:type="pct"/>
                  <w:tcBorders>
                    <w:right w:val="single" w:color="auto" w:sz="4" w:space="0"/>
                  </w:tcBorders>
                  <w:tcMar>
                    <w:top w:w="15" w:type="dxa"/>
                    <w:left w:w="15" w:type="dxa"/>
                    <w:right w:w="15" w:type="dxa"/>
                  </w:tcMar>
                  <w:vAlign w:val="center"/>
                </w:tcPr>
                <w:p w14:paraId="3E0D39D4">
                  <w:pPr>
                    <w:jc w:val="center"/>
                    <w:rPr>
                      <w:color w:val="000000"/>
                      <w:sz w:val="18"/>
                      <w:szCs w:val="18"/>
                    </w:rPr>
                  </w:pPr>
                  <w:r>
                    <w:rPr>
                      <w:rFonts w:hint="eastAsia" w:hAnsiTheme="minorEastAsia" w:eastAsiaTheme="minorEastAsia"/>
                      <w:sz w:val="18"/>
                      <w:szCs w:val="18"/>
                      <w:lang w:val="en-US" w:eastAsia="zh-CN"/>
                    </w:rPr>
                    <w:t>5</w:t>
                  </w:r>
                </w:p>
              </w:tc>
              <w:tc>
                <w:tcPr>
                  <w:tcW w:w="1299" w:type="pct"/>
                  <w:tcBorders>
                    <w:right w:val="single" w:color="auto" w:sz="4" w:space="0"/>
                  </w:tcBorders>
                  <w:tcMar>
                    <w:top w:w="15" w:type="dxa"/>
                    <w:left w:w="15" w:type="dxa"/>
                    <w:right w:w="15" w:type="dxa"/>
                  </w:tcMar>
                  <w:vAlign w:val="center"/>
                </w:tcPr>
                <w:p w14:paraId="77245E5D">
                  <w:pPr>
                    <w:jc w:val="center"/>
                    <w:rPr>
                      <w:rFonts w:hint="eastAsia"/>
                      <w:color w:val="000000"/>
                      <w:sz w:val="18"/>
                      <w:szCs w:val="18"/>
                    </w:rPr>
                  </w:pPr>
                  <w:r>
                    <w:rPr>
                      <w:rFonts w:hint="eastAsia"/>
                      <w:color w:val="000000"/>
                      <w:sz w:val="18"/>
                      <w:szCs w:val="18"/>
                    </w:rPr>
                    <w:t>手工打磨/修整</w:t>
                  </w:r>
                </w:p>
              </w:tc>
              <w:tc>
                <w:tcPr>
                  <w:tcW w:w="342" w:type="pct"/>
                  <w:vMerge w:val="continue"/>
                  <w:tcBorders>
                    <w:left w:val="single" w:color="auto" w:sz="4" w:space="0"/>
                  </w:tcBorders>
                  <w:tcMar>
                    <w:top w:w="15" w:type="dxa"/>
                    <w:left w:w="15" w:type="dxa"/>
                    <w:right w:w="15" w:type="dxa"/>
                  </w:tcMar>
                  <w:vAlign w:val="center"/>
                </w:tcPr>
                <w:p w14:paraId="6959D6F0">
                  <w:pPr>
                    <w:spacing w:line="280" w:lineRule="exact"/>
                    <w:jc w:val="center"/>
                    <w:rPr>
                      <w:rFonts w:eastAsiaTheme="minorEastAsia"/>
                      <w:sz w:val="18"/>
                      <w:szCs w:val="18"/>
                    </w:rPr>
                  </w:pPr>
                </w:p>
              </w:tc>
            </w:tr>
            <w:tr w14:paraId="21DD1B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60BBFF83">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12</w:t>
                  </w:r>
                </w:p>
              </w:tc>
              <w:tc>
                <w:tcPr>
                  <w:tcW w:w="1309" w:type="pct"/>
                  <w:tcMar>
                    <w:top w:w="15" w:type="dxa"/>
                    <w:left w:w="15" w:type="dxa"/>
                    <w:right w:w="15" w:type="dxa"/>
                  </w:tcMar>
                  <w:vAlign w:val="center"/>
                </w:tcPr>
                <w:p w14:paraId="2E5B46DB">
                  <w:pPr>
                    <w:jc w:val="center"/>
                    <w:rPr>
                      <w:rFonts w:hint="eastAsia"/>
                      <w:color w:val="000000"/>
                      <w:sz w:val="18"/>
                      <w:szCs w:val="18"/>
                    </w:rPr>
                  </w:pPr>
                  <w:r>
                    <w:rPr>
                      <w:rFonts w:hint="eastAsia"/>
                      <w:color w:val="000000"/>
                      <w:sz w:val="18"/>
                      <w:szCs w:val="18"/>
                    </w:rPr>
                    <w:t>废水沉淀循环泵</w:t>
                  </w:r>
                </w:p>
              </w:tc>
              <w:tc>
                <w:tcPr>
                  <w:tcW w:w="1324" w:type="pct"/>
                  <w:tcMar>
                    <w:top w:w="15" w:type="dxa"/>
                    <w:left w:w="15" w:type="dxa"/>
                    <w:right w:w="15" w:type="dxa"/>
                  </w:tcMar>
                  <w:vAlign w:val="center"/>
                </w:tcPr>
                <w:p w14:paraId="49D5485F">
                  <w:pPr>
                    <w:jc w:val="center"/>
                    <w:rPr>
                      <w:rFonts w:hint="eastAsia"/>
                      <w:color w:val="000000"/>
                      <w:sz w:val="18"/>
                      <w:szCs w:val="18"/>
                    </w:rPr>
                  </w:pPr>
                  <w:r>
                    <w:rPr>
                      <w:rFonts w:hint="eastAsia"/>
                      <w:color w:val="000000"/>
                      <w:sz w:val="18"/>
                      <w:szCs w:val="18"/>
                    </w:rPr>
                    <w:t>定制2.2kW</w:t>
                  </w:r>
                </w:p>
              </w:tc>
              <w:tc>
                <w:tcPr>
                  <w:tcW w:w="486" w:type="pct"/>
                  <w:tcBorders>
                    <w:right w:val="single" w:color="auto" w:sz="4" w:space="0"/>
                  </w:tcBorders>
                  <w:tcMar>
                    <w:top w:w="15" w:type="dxa"/>
                    <w:left w:w="15" w:type="dxa"/>
                    <w:right w:w="15" w:type="dxa"/>
                  </w:tcMar>
                  <w:vAlign w:val="center"/>
                </w:tcPr>
                <w:p w14:paraId="47A74390">
                  <w:pPr>
                    <w:jc w:val="center"/>
                    <w:rPr>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3C5309EC">
                  <w:pPr>
                    <w:jc w:val="center"/>
                    <w:rPr>
                      <w:rFonts w:hint="eastAsia"/>
                      <w:color w:val="000000"/>
                      <w:sz w:val="18"/>
                      <w:szCs w:val="18"/>
                    </w:rPr>
                  </w:pPr>
                  <w:r>
                    <w:rPr>
                      <w:rFonts w:hint="eastAsia"/>
                      <w:color w:val="000000"/>
                      <w:sz w:val="18"/>
                      <w:szCs w:val="18"/>
                    </w:rPr>
                    <w:t>三级沉淀循环</w:t>
                  </w:r>
                </w:p>
              </w:tc>
              <w:tc>
                <w:tcPr>
                  <w:tcW w:w="342" w:type="pct"/>
                  <w:vMerge w:val="continue"/>
                  <w:tcBorders>
                    <w:left w:val="single" w:color="auto" w:sz="4" w:space="0"/>
                  </w:tcBorders>
                  <w:tcMar>
                    <w:top w:w="15" w:type="dxa"/>
                    <w:left w:w="15" w:type="dxa"/>
                    <w:right w:w="15" w:type="dxa"/>
                  </w:tcMar>
                  <w:vAlign w:val="center"/>
                </w:tcPr>
                <w:p w14:paraId="369C7EAF">
                  <w:pPr>
                    <w:spacing w:line="280" w:lineRule="exact"/>
                    <w:jc w:val="center"/>
                    <w:rPr>
                      <w:rFonts w:eastAsiaTheme="minorEastAsia"/>
                      <w:sz w:val="18"/>
                      <w:szCs w:val="18"/>
                    </w:rPr>
                  </w:pPr>
                </w:p>
              </w:tc>
            </w:tr>
            <w:tr w14:paraId="6F3009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59CBA366">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13</w:t>
                  </w:r>
                </w:p>
              </w:tc>
              <w:tc>
                <w:tcPr>
                  <w:tcW w:w="1309" w:type="pct"/>
                  <w:tcMar>
                    <w:top w:w="15" w:type="dxa"/>
                    <w:left w:w="15" w:type="dxa"/>
                    <w:right w:w="15" w:type="dxa"/>
                  </w:tcMar>
                  <w:vAlign w:val="center"/>
                </w:tcPr>
                <w:p w14:paraId="56655C55">
                  <w:pPr>
                    <w:jc w:val="center"/>
                    <w:rPr>
                      <w:rFonts w:hint="eastAsia"/>
                      <w:color w:val="000000"/>
                      <w:sz w:val="18"/>
                      <w:szCs w:val="18"/>
                    </w:rPr>
                  </w:pPr>
                  <w:r>
                    <w:rPr>
                      <w:rFonts w:hint="eastAsia"/>
                      <w:color w:val="000000"/>
                      <w:sz w:val="18"/>
                      <w:szCs w:val="18"/>
                    </w:rPr>
                    <w:t>CNC木工雕刻机</w:t>
                  </w:r>
                </w:p>
              </w:tc>
              <w:tc>
                <w:tcPr>
                  <w:tcW w:w="1324" w:type="pct"/>
                  <w:tcMar>
                    <w:top w:w="15" w:type="dxa"/>
                    <w:left w:w="15" w:type="dxa"/>
                    <w:right w:w="15" w:type="dxa"/>
                  </w:tcMar>
                  <w:vAlign w:val="center"/>
                </w:tcPr>
                <w:p w14:paraId="213EAAC1">
                  <w:pPr>
                    <w:jc w:val="center"/>
                    <w:rPr>
                      <w:rFonts w:hint="eastAsia"/>
                      <w:color w:val="000000"/>
                      <w:sz w:val="18"/>
                      <w:szCs w:val="18"/>
                    </w:rPr>
                  </w:pPr>
                  <w:r>
                    <w:rPr>
                      <w:rFonts w:hint="eastAsia"/>
                      <w:color w:val="000000"/>
                      <w:sz w:val="18"/>
                      <w:szCs w:val="18"/>
                    </w:rPr>
                    <w:t>北京精雕JD-6090G5.5kW</w:t>
                  </w:r>
                </w:p>
              </w:tc>
              <w:tc>
                <w:tcPr>
                  <w:tcW w:w="486" w:type="pct"/>
                  <w:tcBorders>
                    <w:right w:val="single" w:color="auto" w:sz="4" w:space="0"/>
                  </w:tcBorders>
                  <w:tcMar>
                    <w:top w:w="15" w:type="dxa"/>
                    <w:left w:w="15" w:type="dxa"/>
                    <w:right w:w="15" w:type="dxa"/>
                  </w:tcMar>
                  <w:vAlign w:val="center"/>
                </w:tcPr>
                <w:p w14:paraId="736D0ABC">
                  <w:pPr>
                    <w:jc w:val="center"/>
                    <w:rPr>
                      <w:rFonts w:hint="eastAsia"/>
                      <w:color w:val="000000"/>
                      <w:sz w:val="18"/>
                      <w:szCs w:val="18"/>
                    </w:rPr>
                  </w:pPr>
                  <w:r>
                    <w:rPr>
                      <w:rFonts w:hint="eastAsia" w:hAnsiTheme="minorEastAsia" w:eastAsiaTheme="minorEastAsia"/>
                      <w:sz w:val="18"/>
                      <w:szCs w:val="18"/>
                      <w:lang w:val="en-US" w:eastAsia="zh-CN"/>
                    </w:rPr>
                    <w:t>2</w:t>
                  </w:r>
                </w:p>
              </w:tc>
              <w:tc>
                <w:tcPr>
                  <w:tcW w:w="1299" w:type="pct"/>
                  <w:tcBorders>
                    <w:right w:val="single" w:color="auto" w:sz="4" w:space="0"/>
                  </w:tcBorders>
                  <w:tcMar>
                    <w:top w:w="15" w:type="dxa"/>
                    <w:left w:w="15" w:type="dxa"/>
                    <w:right w:w="15" w:type="dxa"/>
                  </w:tcMar>
                  <w:vAlign w:val="center"/>
                </w:tcPr>
                <w:p w14:paraId="2906BEF7">
                  <w:pPr>
                    <w:jc w:val="center"/>
                    <w:rPr>
                      <w:rFonts w:hint="eastAsia"/>
                      <w:color w:val="000000"/>
                      <w:sz w:val="18"/>
                      <w:szCs w:val="18"/>
                    </w:rPr>
                  </w:pPr>
                  <w:r>
                    <w:rPr>
                      <w:rFonts w:hint="eastAsia"/>
                      <w:color w:val="000000"/>
                      <w:sz w:val="18"/>
                      <w:szCs w:val="18"/>
                    </w:rPr>
                    <w:t>斗拱/雀替/花板精雕</w:t>
                  </w:r>
                </w:p>
              </w:tc>
              <w:tc>
                <w:tcPr>
                  <w:tcW w:w="342" w:type="pct"/>
                  <w:vMerge w:val="restart"/>
                  <w:tcBorders>
                    <w:left w:val="single" w:color="auto" w:sz="4" w:space="0"/>
                  </w:tcBorders>
                  <w:tcMar>
                    <w:top w:w="15" w:type="dxa"/>
                    <w:left w:w="15" w:type="dxa"/>
                    <w:right w:w="15" w:type="dxa"/>
                  </w:tcMar>
                  <w:vAlign w:val="center"/>
                </w:tcPr>
                <w:p w14:paraId="36643E2B">
                  <w:pPr>
                    <w:spacing w:line="280" w:lineRule="exact"/>
                    <w:jc w:val="center"/>
                    <w:rPr>
                      <w:rFonts w:eastAsiaTheme="minorEastAsia"/>
                      <w:sz w:val="18"/>
                      <w:szCs w:val="18"/>
                    </w:rPr>
                  </w:pPr>
                  <w:r>
                    <w:rPr>
                      <w:rFonts w:eastAsiaTheme="minorEastAsia"/>
                      <w:sz w:val="18"/>
                      <w:szCs w:val="18"/>
                    </w:rPr>
                    <w:t>三车间</w:t>
                  </w:r>
                </w:p>
              </w:tc>
            </w:tr>
            <w:tr w14:paraId="39A775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41EA4192">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14</w:t>
                  </w:r>
                </w:p>
              </w:tc>
              <w:tc>
                <w:tcPr>
                  <w:tcW w:w="1309" w:type="pct"/>
                  <w:tcMar>
                    <w:top w:w="15" w:type="dxa"/>
                    <w:left w:w="15" w:type="dxa"/>
                    <w:right w:w="15" w:type="dxa"/>
                  </w:tcMar>
                  <w:vAlign w:val="center"/>
                </w:tcPr>
                <w:p w14:paraId="260946F2">
                  <w:pPr>
                    <w:jc w:val="center"/>
                    <w:rPr>
                      <w:rFonts w:hint="eastAsia"/>
                      <w:color w:val="000000"/>
                      <w:sz w:val="18"/>
                      <w:szCs w:val="18"/>
                    </w:rPr>
                  </w:pPr>
                  <w:r>
                    <w:rPr>
                      <w:rFonts w:hint="eastAsia"/>
                      <w:color w:val="000000"/>
                      <w:sz w:val="18"/>
                      <w:szCs w:val="18"/>
                    </w:rPr>
                    <w:t>花格数控加工中心</w:t>
                  </w:r>
                </w:p>
              </w:tc>
              <w:tc>
                <w:tcPr>
                  <w:tcW w:w="1324" w:type="pct"/>
                  <w:tcMar>
                    <w:top w:w="15" w:type="dxa"/>
                    <w:left w:w="15" w:type="dxa"/>
                    <w:right w:w="15" w:type="dxa"/>
                  </w:tcMar>
                  <w:vAlign w:val="center"/>
                </w:tcPr>
                <w:p w14:paraId="2545BCEC">
                  <w:pPr>
                    <w:jc w:val="center"/>
                    <w:rPr>
                      <w:rFonts w:hint="eastAsia"/>
                      <w:color w:val="000000"/>
                      <w:sz w:val="18"/>
                      <w:szCs w:val="18"/>
                    </w:rPr>
                  </w:pPr>
                  <w:r>
                    <w:rPr>
                      <w:rFonts w:hint="eastAsia"/>
                      <w:color w:val="000000"/>
                      <w:sz w:val="18"/>
                      <w:szCs w:val="18"/>
                    </w:rPr>
                    <w:t>北京精雕JD-1212M11kW</w:t>
                  </w:r>
                </w:p>
              </w:tc>
              <w:tc>
                <w:tcPr>
                  <w:tcW w:w="486" w:type="pct"/>
                  <w:tcBorders>
                    <w:right w:val="single" w:color="auto" w:sz="4" w:space="0"/>
                  </w:tcBorders>
                  <w:tcMar>
                    <w:top w:w="15" w:type="dxa"/>
                    <w:left w:w="15" w:type="dxa"/>
                    <w:right w:w="15" w:type="dxa"/>
                  </w:tcMar>
                  <w:vAlign w:val="center"/>
                </w:tcPr>
                <w:p w14:paraId="1A8F70A8">
                  <w:pPr>
                    <w:jc w:val="center"/>
                    <w:rPr>
                      <w:rFonts w:hint="eastAsia"/>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4E295CB1">
                  <w:pPr>
                    <w:jc w:val="center"/>
                    <w:rPr>
                      <w:rFonts w:hint="eastAsia"/>
                      <w:color w:val="000000"/>
                      <w:sz w:val="18"/>
                      <w:szCs w:val="18"/>
                    </w:rPr>
                  </w:pPr>
                  <w:r>
                    <w:rPr>
                      <w:rFonts w:hint="eastAsia"/>
                      <w:color w:val="000000"/>
                      <w:sz w:val="18"/>
                      <w:szCs w:val="18"/>
                    </w:rPr>
                    <w:t>花格棂条加工</w:t>
                  </w:r>
                </w:p>
              </w:tc>
              <w:tc>
                <w:tcPr>
                  <w:tcW w:w="342" w:type="pct"/>
                  <w:vMerge w:val="continue"/>
                  <w:tcBorders>
                    <w:left w:val="single" w:color="auto" w:sz="4" w:space="0"/>
                  </w:tcBorders>
                  <w:tcMar>
                    <w:top w:w="15" w:type="dxa"/>
                    <w:left w:w="15" w:type="dxa"/>
                    <w:right w:w="15" w:type="dxa"/>
                  </w:tcMar>
                  <w:vAlign w:val="center"/>
                </w:tcPr>
                <w:p w14:paraId="3F45FADC">
                  <w:pPr>
                    <w:spacing w:line="280" w:lineRule="exact"/>
                    <w:jc w:val="center"/>
                    <w:rPr>
                      <w:rFonts w:eastAsiaTheme="minorEastAsia"/>
                      <w:sz w:val="18"/>
                      <w:szCs w:val="18"/>
                    </w:rPr>
                  </w:pPr>
                </w:p>
              </w:tc>
            </w:tr>
            <w:tr w14:paraId="37A194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E563344">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15</w:t>
                  </w:r>
                </w:p>
              </w:tc>
              <w:tc>
                <w:tcPr>
                  <w:tcW w:w="1309" w:type="pct"/>
                  <w:tcMar>
                    <w:top w:w="15" w:type="dxa"/>
                    <w:left w:w="15" w:type="dxa"/>
                    <w:right w:w="15" w:type="dxa"/>
                  </w:tcMar>
                  <w:vAlign w:val="center"/>
                </w:tcPr>
                <w:p w14:paraId="2CF7DAFC">
                  <w:pPr>
                    <w:jc w:val="center"/>
                    <w:rPr>
                      <w:rFonts w:hint="eastAsia"/>
                      <w:color w:val="000000"/>
                      <w:sz w:val="18"/>
                      <w:szCs w:val="18"/>
                    </w:rPr>
                  </w:pPr>
                  <w:r>
                    <w:rPr>
                      <w:rFonts w:hint="eastAsia"/>
                      <w:color w:val="000000"/>
                      <w:sz w:val="18"/>
                      <w:szCs w:val="18"/>
                    </w:rPr>
                    <w:t>宽带砂光机</w:t>
                  </w:r>
                </w:p>
              </w:tc>
              <w:tc>
                <w:tcPr>
                  <w:tcW w:w="1324" w:type="pct"/>
                  <w:tcMar>
                    <w:top w:w="15" w:type="dxa"/>
                    <w:left w:w="15" w:type="dxa"/>
                    <w:right w:w="15" w:type="dxa"/>
                  </w:tcMar>
                  <w:vAlign w:val="center"/>
                </w:tcPr>
                <w:p w14:paraId="5886459B">
                  <w:pPr>
                    <w:jc w:val="center"/>
                    <w:rPr>
                      <w:rFonts w:hint="eastAsia"/>
                      <w:color w:val="000000"/>
                      <w:sz w:val="18"/>
                      <w:szCs w:val="18"/>
                    </w:rPr>
                  </w:pPr>
                  <w:r>
                    <w:rPr>
                      <w:rFonts w:hint="eastAsia"/>
                      <w:color w:val="000000"/>
                      <w:sz w:val="18"/>
                      <w:szCs w:val="18"/>
                    </w:rPr>
                    <w:t>青岛千川MM2613B15kW</w:t>
                  </w:r>
                </w:p>
              </w:tc>
              <w:tc>
                <w:tcPr>
                  <w:tcW w:w="486" w:type="pct"/>
                  <w:tcBorders>
                    <w:right w:val="single" w:color="auto" w:sz="4" w:space="0"/>
                  </w:tcBorders>
                  <w:tcMar>
                    <w:top w:w="15" w:type="dxa"/>
                    <w:left w:w="15" w:type="dxa"/>
                    <w:right w:w="15" w:type="dxa"/>
                  </w:tcMar>
                  <w:vAlign w:val="center"/>
                </w:tcPr>
                <w:p w14:paraId="4BB3AF11">
                  <w:pPr>
                    <w:jc w:val="center"/>
                    <w:rPr>
                      <w:rFonts w:hint="eastAsia"/>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1D9D72CC">
                  <w:pPr>
                    <w:jc w:val="center"/>
                    <w:rPr>
                      <w:rFonts w:hint="eastAsia"/>
                      <w:color w:val="000000"/>
                      <w:sz w:val="18"/>
                      <w:szCs w:val="18"/>
                    </w:rPr>
                  </w:pPr>
                  <w:r>
                    <w:rPr>
                      <w:rFonts w:hint="eastAsia"/>
                      <w:color w:val="000000"/>
                      <w:sz w:val="18"/>
                      <w:szCs w:val="18"/>
                    </w:rPr>
                    <w:t>表面定厚砂光</w:t>
                  </w:r>
                </w:p>
              </w:tc>
              <w:tc>
                <w:tcPr>
                  <w:tcW w:w="342" w:type="pct"/>
                  <w:vMerge w:val="continue"/>
                  <w:tcBorders>
                    <w:left w:val="single" w:color="auto" w:sz="4" w:space="0"/>
                  </w:tcBorders>
                  <w:tcMar>
                    <w:top w:w="15" w:type="dxa"/>
                    <w:left w:w="15" w:type="dxa"/>
                    <w:right w:w="15" w:type="dxa"/>
                  </w:tcMar>
                  <w:vAlign w:val="center"/>
                </w:tcPr>
                <w:p w14:paraId="5575669F">
                  <w:pPr>
                    <w:spacing w:line="280" w:lineRule="exact"/>
                    <w:jc w:val="center"/>
                    <w:rPr>
                      <w:rFonts w:eastAsiaTheme="minorEastAsia"/>
                      <w:sz w:val="18"/>
                      <w:szCs w:val="18"/>
                    </w:rPr>
                  </w:pPr>
                </w:p>
              </w:tc>
            </w:tr>
            <w:tr w14:paraId="27B5BF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5549DBB2">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16</w:t>
                  </w:r>
                </w:p>
              </w:tc>
              <w:tc>
                <w:tcPr>
                  <w:tcW w:w="1309" w:type="pct"/>
                  <w:tcMar>
                    <w:top w:w="15" w:type="dxa"/>
                    <w:left w:w="15" w:type="dxa"/>
                    <w:right w:w="15" w:type="dxa"/>
                  </w:tcMar>
                  <w:vAlign w:val="center"/>
                </w:tcPr>
                <w:p w14:paraId="3C4B8248">
                  <w:pPr>
                    <w:jc w:val="center"/>
                    <w:rPr>
                      <w:rFonts w:hint="eastAsia"/>
                      <w:color w:val="000000"/>
                      <w:sz w:val="18"/>
                      <w:szCs w:val="18"/>
                    </w:rPr>
                  </w:pPr>
                  <w:r>
                    <w:rPr>
                      <w:rFonts w:hint="eastAsia"/>
                      <w:color w:val="000000"/>
                      <w:sz w:val="18"/>
                      <w:szCs w:val="18"/>
                    </w:rPr>
                    <w:t>水帘式喷漆柜</w:t>
                  </w:r>
                </w:p>
              </w:tc>
              <w:tc>
                <w:tcPr>
                  <w:tcW w:w="1324" w:type="pct"/>
                  <w:tcMar>
                    <w:top w:w="15" w:type="dxa"/>
                    <w:left w:w="15" w:type="dxa"/>
                    <w:right w:w="15" w:type="dxa"/>
                  </w:tcMar>
                  <w:vAlign w:val="center"/>
                </w:tcPr>
                <w:p w14:paraId="00AB4C00">
                  <w:pPr>
                    <w:jc w:val="center"/>
                    <w:rPr>
                      <w:rFonts w:hint="eastAsia"/>
                      <w:color w:val="000000"/>
                      <w:sz w:val="18"/>
                      <w:szCs w:val="18"/>
                    </w:rPr>
                  </w:pPr>
                  <w:r>
                    <w:rPr>
                      <w:rFonts w:hint="eastAsia"/>
                      <w:color w:val="000000"/>
                      <w:sz w:val="18"/>
                      <w:szCs w:val="18"/>
                    </w:rPr>
                    <w:t>山东汇博HB-25003kW</w:t>
                  </w:r>
                </w:p>
              </w:tc>
              <w:tc>
                <w:tcPr>
                  <w:tcW w:w="486" w:type="pct"/>
                  <w:tcBorders>
                    <w:right w:val="single" w:color="auto" w:sz="4" w:space="0"/>
                  </w:tcBorders>
                  <w:tcMar>
                    <w:top w:w="15" w:type="dxa"/>
                    <w:left w:w="15" w:type="dxa"/>
                    <w:right w:w="15" w:type="dxa"/>
                  </w:tcMar>
                  <w:vAlign w:val="center"/>
                </w:tcPr>
                <w:p w14:paraId="53A261D9">
                  <w:pPr>
                    <w:jc w:val="center"/>
                    <w:rPr>
                      <w:rFonts w:hint="eastAsia"/>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59E06DB6">
                  <w:pPr>
                    <w:jc w:val="center"/>
                    <w:rPr>
                      <w:rFonts w:hint="eastAsia"/>
                      <w:color w:val="000000"/>
                      <w:sz w:val="18"/>
                      <w:szCs w:val="18"/>
                    </w:rPr>
                  </w:pPr>
                  <w:r>
                    <w:rPr>
                      <w:rFonts w:hint="eastAsia"/>
                      <w:color w:val="000000"/>
                      <w:sz w:val="18"/>
                      <w:szCs w:val="18"/>
                    </w:rPr>
                    <w:t>底漆/面漆喷涂</w:t>
                  </w:r>
                </w:p>
              </w:tc>
              <w:tc>
                <w:tcPr>
                  <w:tcW w:w="342" w:type="pct"/>
                  <w:vMerge w:val="continue"/>
                  <w:tcBorders>
                    <w:left w:val="single" w:color="auto" w:sz="4" w:space="0"/>
                  </w:tcBorders>
                  <w:tcMar>
                    <w:top w:w="15" w:type="dxa"/>
                    <w:left w:w="15" w:type="dxa"/>
                    <w:right w:w="15" w:type="dxa"/>
                  </w:tcMar>
                  <w:vAlign w:val="center"/>
                </w:tcPr>
                <w:p w14:paraId="74F00212">
                  <w:pPr>
                    <w:spacing w:line="280" w:lineRule="exact"/>
                    <w:jc w:val="center"/>
                    <w:rPr>
                      <w:rFonts w:eastAsiaTheme="minorEastAsia"/>
                      <w:sz w:val="18"/>
                      <w:szCs w:val="18"/>
                    </w:rPr>
                  </w:pPr>
                </w:p>
              </w:tc>
            </w:tr>
            <w:tr w14:paraId="0F6528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7E8BB87">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17</w:t>
                  </w:r>
                </w:p>
              </w:tc>
              <w:tc>
                <w:tcPr>
                  <w:tcW w:w="1309" w:type="pct"/>
                  <w:tcMar>
                    <w:top w:w="15" w:type="dxa"/>
                    <w:left w:w="15" w:type="dxa"/>
                    <w:right w:w="15" w:type="dxa"/>
                  </w:tcMar>
                  <w:vAlign w:val="center"/>
                </w:tcPr>
                <w:p w14:paraId="228536CC">
                  <w:pPr>
                    <w:jc w:val="center"/>
                    <w:rPr>
                      <w:rFonts w:hint="eastAsia"/>
                      <w:color w:val="000000"/>
                      <w:sz w:val="18"/>
                      <w:szCs w:val="18"/>
                    </w:rPr>
                  </w:pPr>
                  <w:r>
                    <w:rPr>
                      <w:rFonts w:hint="eastAsia"/>
                      <w:color w:val="000000"/>
                      <w:sz w:val="18"/>
                      <w:szCs w:val="18"/>
                    </w:rPr>
                    <w:t>油漆晾干室</w:t>
                  </w:r>
                </w:p>
                <w:p w14:paraId="04975789">
                  <w:pPr>
                    <w:jc w:val="center"/>
                    <w:rPr>
                      <w:rFonts w:hint="eastAsia"/>
                      <w:color w:val="000000"/>
                      <w:sz w:val="18"/>
                      <w:szCs w:val="18"/>
                    </w:rPr>
                  </w:pPr>
                  <w:r>
                    <w:rPr>
                      <w:rFonts w:hint="eastAsia"/>
                      <w:color w:val="000000"/>
                      <w:sz w:val="18"/>
                      <w:szCs w:val="18"/>
                    </w:rPr>
                    <w:t>（VOCs收集型）</w:t>
                  </w:r>
                </w:p>
              </w:tc>
              <w:tc>
                <w:tcPr>
                  <w:tcW w:w="1324" w:type="pct"/>
                  <w:tcMar>
                    <w:top w:w="15" w:type="dxa"/>
                    <w:left w:w="15" w:type="dxa"/>
                    <w:right w:w="15" w:type="dxa"/>
                  </w:tcMar>
                  <w:vAlign w:val="center"/>
                </w:tcPr>
                <w:p w14:paraId="65AFB820">
                  <w:pPr>
                    <w:jc w:val="center"/>
                    <w:rPr>
                      <w:rFonts w:hint="eastAsia"/>
                      <w:color w:val="000000"/>
                      <w:sz w:val="18"/>
                      <w:szCs w:val="18"/>
                    </w:rPr>
                  </w:pPr>
                  <w:r>
                    <w:rPr>
                      <w:rFonts w:hint="eastAsia"/>
                      <w:color w:val="000000"/>
                      <w:sz w:val="18"/>
                      <w:szCs w:val="18"/>
                    </w:rPr>
                    <w:t>定制3kW</w:t>
                  </w:r>
                </w:p>
              </w:tc>
              <w:tc>
                <w:tcPr>
                  <w:tcW w:w="486" w:type="pct"/>
                  <w:tcBorders>
                    <w:right w:val="single" w:color="auto" w:sz="4" w:space="0"/>
                  </w:tcBorders>
                  <w:tcMar>
                    <w:top w:w="15" w:type="dxa"/>
                    <w:left w:w="15" w:type="dxa"/>
                    <w:right w:w="15" w:type="dxa"/>
                  </w:tcMar>
                  <w:vAlign w:val="center"/>
                </w:tcPr>
                <w:p w14:paraId="1E57D686">
                  <w:pPr>
                    <w:jc w:val="center"/>
                    <w:rPr>
                      <w:rFonts w:hint="eastAsia"/>
                      <w:color w:val="000000"/>
                      <w:sz w:val="18"/>
                      <w:szCs w:val="18"/>
                    </w:rPr>
                  </w:pPr>
                  <w:r>
                    <w:rPr>
                      <w:rFonts w:hint="eastAsia" w:hAnsiTheme="minorEastAsia" w:eastAsiaTheme="minorEastAsia"/>
                      <w:sz w:val="18"/>
                      <w:szCs w:val="18"/>
                      <w:lang w:val="en-US" w:eastAsia="zh-CN"/>
                    </w:rPr>
                    <w:t>1</w:t>
                  </w:r>
                </w:p>
              </w:tc>
              <w:tc>
                <w:tcPr>
                  <w:tcW w:w="1299" w:type="pct"/>
                  <w:tcBorders>
                    <w:right w:val="single" w:color="auto" w:sz="4" w:space="0"/>
                  </w:tcBorders>
                  <w:tcMar>
                    <w:top w:w="15" w:type="dxa"/>
                    <w:left w:w="15" w:type="dxa"/>
                    <w:right w:w="15" w:type="dxa"/>
                  </w:tcMar>
                  <w:vAlign w:val="center"/>
                </w:tcPr>
                <w:p w14:paraId="6C8DECE1">
                  <w:pPr>
                    <w:jc w:val="center"/>
                    <w:rPr>
                      <w:rFonts w:hint="eastAsia"/>
                      <w:color w:val="000000"/>
                      <w:sz w:val="18"/>
                      <w:szCs w:val="18"/>
                    </w:rPr>
                  </w:pPr>
                  <w:r>
                    <w:rPr>
                      <w:rFonts w:hint="eastAsia"/>
                      <w:color w:val="000000"/>
                      <w:sz w:val="18"/>
                      <w:szCs w:val="18"/>
                    </w:rPr>
                    <w:t>VOCs收集+强制排风</w:t>
                  </w:r>
                </w:p>
              </w:tc>
              <w:tc>
                <w:tcPr>
                  <w:tcW w:w="342" w:type="pct"/>
                  <w:vMerge w:val="continue"/>
                  <w:tcBorders>
                    <w:left w:val="single" w:color="auto" w:sz="4" w:space="0"/>
                  </w:tcBorders>
                  <w:tcMar>
                    <w:top w:w="15" w:type="dxa"/>
                    <w:left w:w="15" w:type="dxa"/>
                    <w:right w:w="15" w:type="dxa"/>
                  </w:tcMar>
                  <w:vAlign w:val="center"/>
                </w:tcPr>
                <w:p w14:paraId="1AD9D908">
                  <w:pPr>
                    <w:spacing w:line="280" w:lineRule="exact"/>
                    <w:jc w:val="center"/>
                    <w:rPr>
                      <w:rFonts w:eastAsiaTheme="minorEastAsia"/>
                      <w:sz w:val="18"/>
                      <w:szCs w:val="18"/>
                    </w:rPr>
                  </w:pPr>
                </w:p>
              </w:tc>
            </w:tr>
            <w:tr w14:paraId="3DC1591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6F7B0030">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18</w:t>
                  </w:r>
                </w:p>
              </w:tc>
              <w:tc>
                <w:tcPr>
                  <w:tcW w:w="1309" w:type="pct"/>
                  <w:tcMar>
                    <w:top w:w="15" w:type="dxa"/>
                    <w:left w:w="15" w:type="dxa"/>
                    <w:right w:w="15" w:type="dxa"/>
                  </w:tcMar>
                  <w:vAlign w:val="center"/>
                </w:tcPr>
                <w:p w14:paraId="1C5C640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自动指接拼板机</w:t>
                  </w:r>
                </w:p>
              </w:tc>
              <w:tc>
                <w:tcPr>
                  <w:tcW w:w="1324" w:type="pct"/>
                  <w:tcMar>
                    <w:top w:w="15" w:type="dxa"/>
                    <w:left w:w="15" w:type="dxa"/>
                    <w:right w:w="15" w:type="dxa"/>
                  </w:tcMar>
                  <w:vAlign w:val="center"/>
                </w:tcPr>
                <w:p w14:paraId="3F0CD226">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MH3248×5011kW</w:t>
                  </w:r>
                </w:p>
              </w:tc>
              <w:tc>
                <w:tcPr>
                  <w:tcW w:w="486" w:type="pct"/>
                  <w:tcBorders>
                    <w:right w:val="single" w:color="auto" w:sz="4" w:space="0"/>
                  </w:tcBorders>
                  <w:tcMar>
                    <w:top w:w="15" w:type="dxa"/>
                    <w:left w:w="15" w:type="dxa"/>
                    <w:right w:w="15" w:type="dxa"/>
                  </w:tcMar>
                  <w:vAlign w:val="center"/>
                </w:tcPr>
                <w:p w14:paraId="2DAF20D9">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273D09AE">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小板拼接</w:t>
                  </w:r>
                </w:p>
              </w:tc>
              <w:tc>
                <w:tcPr>
                  <w:tcW w:w="342" w:type="pct"/>
                  <w:vMerge w:val="restart"/>
                  <w:tcBorders>
                    <w:left w:val="single" w:color="auto" w:sz="4" w:space="0"/>
                  </w:tcBorders>
                  <w:tcMar>
                    <w:top w:w="15" w:type="dxa"/>
                    <w:left w:w="15" w:type="dxa"/>
                    <w:right w:w="15" w:type="dxa"/>
                  </w:tcMar>
                  <w:vAlign w:val="center"/>
                </w:tcPr>
                <w:p w14:paraId="063EC592">
                  <w:pPr>
                    <w:spacing w:line="280" w:lineRule="exact"/>
                    <w:jc w:val="center"/>
                    <w:rPr>
                      <w:rFonts w:eastAsiaTheme="minorEastAsia"/>
                      <w:sz w:val="18"/>
                      <w:szCs w:val="18"/>
                    </w:rPr>
                  </w:pPr>
                  <w:r>
                    <w:rPr>
                      <w:rFonts w:eastAsiaTheme="minorEastAsia"/>
                      <w:sz w:val="18"/>
                      <w:szCs w:val="18"/>
                    </w:rPr>
                    <w:t>四车间</w:t>
                  </w:r>
                </w:p>
              </w:tc>
            </w:tr>
            <w:tr w14:paraId="24FB25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4334A0CD">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19</w:t>
                  </w:r>
                </w:p>
              </w:tc>
              <w:tc>
                <w:tcPr>
                  <w:tcW w:w="1309" w:type="pct"/>
                  <w:shd w:val="clear" w:color="auto" w:fill="FFFFFF"/>
                  <w:tcMar>
                    <w:top w:w="15" w:type="dxa"/>
                    <w:left w:w="15" w:type="dxa"/>
                    <w:right w:w="15" w:type="dxa"/>
                  </w:tcMar>
                  <w:vAlign w:val="center"/>
                </w:tcPr>
                <w:p w14:paraId="7257214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数控开榫机</w:t>
                  </w:r>
                </w:p>
              </w:tc>
              <w:tc>
                <w:tcPr>
                  <w:tcW w:w="1324" w:type="pct"/>
                  <w:shd w:val="clear" w:color="auto" w:fill="FFFFFF"/>
                  <w:tcMar>
                    <w:top w:w="15" w:type="dxa"/>
                    <w:left w:w="15" w:type="dxa"/>
                    <w:right w:w="15" w:type="dxa"/>
                  </w:tcMar>
                  <w:vAlign w:val="center"/>
                </w:tcPr>
                <w:p w14:paraId="5F095013">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MX3816A11kW</w:t>
                  </w:r>
                </w:p>
              </w:tc>
              <w:tc>
                <w:tcPr>
                  <w:tcW w:w="486" w:type="pct"/>
                  <w:tcBorders>
                    <w:right w:val="single" w:color="auto" w:sz="4" w:space="0"/>
                  </w:tcBorders>
                  <w:shd w:val="clear" w:color="auto" w:fill="FFFFFF"/>
                  <w:tcMar>
                    <w:top w:w="15" w:type="dxa"/>
                    <w:left w:w="15" w:type="dxa"/>
                    <w:right w:w="15" w:type="dxa"/>
                  </w:tcMar>
                  <w:vAlign w:val="center"/>
                </w:tcPr>
                <w:p w14:paraId="2E84A97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177B2A0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榫头加工</w:t>
                  </w:r>
                </w:p>
              </w:tc>
              <w:tc>
                <w:tcPr>
                  <w:tcW w:w="342" w:type="pct"/>
                  <w:vMerge w:val="continue"/>
                  <w:tcBorders>
                    <w:left w:val="single" w:color="auto" w:sz="4" w:space="0"/>
                  </w:tcBorders>
                  <w:tcMar>
                    <w:top w:w="15" w:type="dxa"/>
                    <w:left w:w="15" w:type="dxa"/>
                    <w:right w:w="15" w:type="dxa"/>
                  </w:tcMar>
                  <w:vAlign w:val="center"/>
                </w:tcPr>
                <w:p w14:paraId="2A355A40">
                  <w:pPr>
                    <w:spacing w:line="280" w:lineRule="exact"/>
                    <w:jc w:val="center"/>
                    <w:rPr>
                      <w:rFonts w:eastAsiaTheme="minorEastAsia"/>
                      <w:sz w:val="18"/>
                      <w:szCs w:val="18"/>
                    </w:rPr>
                  </w:pPr>
                </w:p>
              </w:tc>
            </w:tr>
            <w:tr w14:paraId="152D21E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31853C52">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20</w:t>
                  </w:r>
                </w:p>
              </w:tc>
              <w:tc>
                <w:tcPr>
                  <w:tcW w:w="1309" w:type="pct"/>
                  <w:shd w:val="clear" w:color="auto" w:fill="FFFFFF"/>
                  <w:tcMar>
                    <w:top w:w="15" w:type="dxa"/>
                    <w:left w:w="15" w:type="dxa"/>
                    <w:right w:w="15" w:type="dxa"/>
                  </w:tcMar>
                  <w:vAlign w:val="center"/>
                </w:tcPr>
                <w:p w14:paraId="138C0E03">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榫槽机</w:t>
                  </w:r>
                </w:p>
              </w:tc>
              <w:tc>
                <w:tcPr>
                  <w:tcW w:w="1324" w:type="pct"/>
                  <w:shd w:val="clear" w:color="auto" w:fill="FFFFFF"/>
                  <w:tcMar>
                    <w:top w:w="15" w:type="dxa"/>
                    <w:left w:w="15" w:type="dxa"/>
                    <w:right w:w="15" w:type="dxa"/>
                  </w:tcMar>
                  <w:vAlign w:val="center"/>
                </w:tcPr>
                <w:p w14:paraId="347C669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MX36206B5.5kW</w:t>
                  </w:r>
                </w:p>
              </w:tc>
              <w:tc>
                <w:tcPr>
                  <w:tcW w:w="486" w:type="pct"/>
                  <w:tcBorders>
                    <w:right w:val="single" w:color="auto" w:sz="4" w:space="0"/>
                  </w:tcBorders>
                  <w:shd w:val="clear" w:color="auto" w:fill="FFFFFF"/>
                  <w:tcMar>
                    <w:top w:w="15" w:type="dxa"/>
                    <w:left w:w="15" w:type="dxa"/>
                    <w:right w:w="15" w:type="dxa"/>
                  </w:tcMar>
                  <w:vAlign w:val="center"/>
                </w:tcPr>
                <w:p w14:paraId="4A811642">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0772238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铆眼加工</w:t>
                  </w:r>
                </w:p>
              </w:tc>
              <w:tc>
                <w:tcPr>
                  <w:tcW w:w="342" w:type="pct"/>
                  <w:vMerge w:val="continue"/>
                  <w:tcBorders>
                    <w:left w:val="single" w:color="auto" w:sz="4" w:space="0"/>
                  </w:tcBorders>
                  <w:tcMar>
                    <w:top w:w="15" w:type="dxa"/>
                    <w:left w:w="15" w:type="dxa"/>
                    <w:right w:w="15" w:type="dxa"/>
                  </w:tcMar>
                  <w:vAlign w:val="center"/>
                </w:tcPr>
                <w:p w14:paraId="70C5D2BC">
                  <w:pPr>
                    <w:spacing w:line="280" w:lineRule="exact"/>
                    <w:jc w:val="center"/>
                    <w:rPr>
                      <w:rFonts w:eastAsiaTheme="minorEastAsia"/>
                      <w:sz w:val="18"/>
                      <w:szCs w:val="18"/>
                    </w:rPr>
                  </w:pPr>
                </w:p>
              </w:tc>
            </w:tr>
            <w:tr w14:paraId="2F5FA1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03E70803">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21</w:t>
                  </w:r>
                </w:p>
              </w:tc>
              <w:tc>
                <w:tcPr>
                  <w:tcW w:w="1309" w:type="pct"/>
                  <w:shd w:val="clear" w:color="auto" w:fill="FFFFFF"/>
                  <w:tcMar>
                    <w:top w:w="15" w:type="dxa"/>
                    <w:left w:w="15" w:type="dxa"/>
                    <w:right w:w="15" w:type="dxa"/>
                  </w:tcMar>
                  <w:vAlign w:val="center"/>
                </w:tcPr>
                <w:p w14:paraId="722A97C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单立轴铣床</w:t>
                  </w:r>
                </w:p>
              </w:tc>
              <w:tc>
                <w:tcPr>
                  <w:tcW w:w="1324" w:type="pct"/>
                  <w:shd w:val="clear" w:color="auto" w:fill="FFFFFF"/>
                  <w:tcMar>
                    <w:top w:w="15" w:type="dxa"/>
                    <w:left w:w="15" w:type="dxa"/>
                    <w:right w:w="15" w:type="dxa"/>
                  </w:tcMar>
                  <w:vAlign w:val="center"/>
                </w:tcPr>
                <w:p w14:paraId="36272533">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MX5117B5.5kW</w:t>
                  </w:r>
                </w:p>
              </w:tc>
              <w:tc>
                <w:tcPr>
                  <w:tcW w:w="486" w:type="pct"/>
                  <w:tcBorders>
                    <w:right w:val="single" w:color="auto" w:sz="4" w:space="0"/>
                  </w:tcBorders>
                  <w:shd w:val="clear" w:color="auto" w:fill="FFFFFF"/>
                  <w:tcMar>
                    <w:top w:w="15" w:type="dxa"/>
                    <w:left w:w="15" w:type="dxa"/>
                    <w:right w:w="15" w:type="dxa"/>
                  </w:tcMar>
                  <w:vAlign w:val="center"/>
                </w:tcPr>
                <w:p w14:paraId="48E5D6E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57A7275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线条型面加工</w:t>
                  </w:r>
                </w:p>
              </w:tc>
              <w:tc>
                <w:tcPr>
                  <w:tcW w:w="342" w:type="pct"/>
                  <w:vMerge w:val="continue"/>
                  <w:tcBorders>
                    <w:left w:val="single" w:color="auto" w:sz="4" w:space="0"/>
                  </w:tcBorders>
                  <w:tcMar>
                    <w:top w:w="15" w:type="dxa"/>
                    <w:left w:w="15" w:type="dxa"/>
                    <w:right w:w="15" w:type="dxa"/>
                  </w:tcMar>
                  <w:vAlign w:val="center"/>
                </w:tcPr>
                <w:p w14:paraId="6341E1FD">
                  <w:pPr>
                    <w:spacing w:line="280" w:lineRule="exact"/>
                    <w:jc w:val="center"/>
                    <w:rPr>
                      <w:rFonts w:eastAsiaTheme="minorEastAsia"/>
                      <w:sz w:val="18"/>
                      <w:szCs w:val="18"/>
                    </w:rPr>
                  </w:pPr>
                </w:p>
              </w:tc>
            </w:tr>
            <w:tr w14:paraId="1EAA2B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8938177">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22</w:t>
                  </w:r>
                </w:p>
              </w:tc>
              <w:tc>
                <w:tcPr>
                  <w:tcW w:w="1309" w:type="pct"/>
                  <w:shd w:val="clear" w:color="auto" w:fill="FFFFFF"/>
                  <w:tcMar>
                    <w:top w:w="15" w:type="dxa"/>
                    <w:left w:w="15" w:type="dxa"/>
                    <w:right w:w="15" w:type="dxa"/>
                  </w:tcMar>
                  <w:vAlign w:val="center"/>
                </w:tcPr>
                <w:p w14:paraId="209F162F">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液压门窗组框机</w:t>
                  </w:r>
                </w:p>
              </w:tc>
              <w:tc>
                <w:tcPr>
                  <w:tcW w:w="1324" w:type="pct"/>
                  <w:shd w:val="clear" w:color="auto" w:fill="FFFFFF"/>
                  <w:tcMar>
                    <w:top w:w="15" w:type="dxa"/>
                    <w:left w:w="15" w:type="dxa"/>
                    <w:right w:w="15" w:type="dxa"/>
                  </w:tcMar>
                  <w:vAlign w:val="center"/>
                </w:tcPr>
                <w:p w14:paraId="195593C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MHZ16607.5kW</w:t>
                  </w:r>
                </w:p>
              </w:tc>
              <w:tc>
                <w:tcPr>
                  <w:tcW w:w="486" w:type="pct"/>
                  <w:tcBorders>
                    <w:right w:val="single" w:color="auto" w:sz="4" w:space="0"/>
                  </w:tcBorders>
                  <w:shd w:val="clear" w:color="auto" w:fill="FFFFFF"/>
                  <w:tcMar>
                    <w:top w:w="15" w:type="dxa"/>
                    <w:left w:w="15" w:type="dxa"/>
                    <w:right w:w="15" w:type="dxa"/>
                  </w:tcMar>
                  <w:vAlign w:val="center"/>
                </w:tcPr>
                <w:p w14:paraId="288D11A7">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048AD06D">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门窗/墙体框架组装</w:t>
                  </w:r>
                </w:p>
              </w:tc>
              <w:tc>
                <w:tcPr>
                  <w:tcW w:w="342" w:type="pct"/>
                  <w:vMerge w:val="continue"/>
                  <w:tcBorders>
                    <w:left w:val="single" w:color="auto" w:sz="4" w:space="0"/>
                  </w:tcBorders>
                  <w:tcMar>
                    <w:top w:w="15" w:type="dxa"/>
                    <w:left w:w="15" w:type="dxa"/>
                    <w:right w:w="15" w:type="dxa"/>
                  </w:tcMar>
                  <w:vAlign w:val="center"/>
                </w:tcPr>
                <w:p w14:paraId="3CFA217B">
                  <w:pPr>
                    <w:spacing w:line="280" w:lineRule="exact"/>
                    <w:jc w:val="center"/>
                    <w:rPr>
                      <w:rFonts w:eastAsiaTheme="minorEastAsia"/>
                      <w:sz w:val="18"/>
                      <w:szCs w:val="18"/>
                    </w:rPr>
                  </w:pPr>
                </w:p>
              </w:tc>
            </w:tr>
            <w:tr w14:paraId="6FC13D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3150DDEE">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23</w:t>
                  </w:r>
                </w:p>
              </w:tc>
              <w:tc>
                <w:tcPr>
                  <w:tcW w:w="1309" w:type="pct"/>
                  <w:tcMar>
                    <w:top w:w="15" w:type="dxa"/>
                    <w:left w:w="15" w:type="dxa"/>
                    <w:right w:w="15" w:type="dxa"/>
                  </w:tcMar>
                  <w:vAlign w:val="center"/>
                </w:tcPr>
                <w:p w14:paraId="30A763F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自动防腐涂装机</w:t>
                  </w:r>
                </w:p>
              </w:tc>
              <w:tc>
                <w:tcPr>
                  <w:tcW w:w="1324" w:type="pct"/>
                  <w:tcMar>
                    <w:top w:w="15" w:type="dxa"/>
                    <w:left w:w="15" w:type="dxa"/>
                    <w:right w:w="15" w:type="dxa"/>
                  </w:tcMar>
                  <w:vAlign w:val="center"/>
                </w:tcPr>
                <w:p w14:paraId="251A8F5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ST-18005.5kW</w:t>
                  </w:r>
                </w:p>
              </w:tc>
              <w:tc>
                <w:tcPr>
                  <w:tcW w:w="486" w:type="pct"/>
                  <w:tcBorders>
                    <w:right w:val="single" w:color="auto" w:sz="4" w:space="0"/>
                  </w:tcBorders>
                  <w:tcMar>
                    <w:top w:w="15" w:type="dxa"/>
                    <w:left w:w="15" w:type="dxa"/>
                    <w:right w:w="15" w:type="dxa"/>
                  </w:tcMar>
                  <w:vAlign w:val="center"/>
                </w:tcPr>
                <w:p w14:paraId="67BDF2F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Borders>
                    <w:right w:val="single" w:color="auto" w:sz="4" w:space="0"/>
                  </w:tcBorders>
                  <w:shd w:val="clear" w:color="auto" w:fill="auto"/>
                  <w:tcMar>
                    <w:top w:w="15" w:type="dxa"/>
                    <w:left w:w="15" w:type="dxa"/>
                    <w:right w:w="15" w:type="dxa"/>
                  </w:tcMar>
                  <w:vAlign w:val="center"/>
                </w:tcPr>
                <w:p w14:paraId="4B390BB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防腐剂淋涂</w:t>
                  </w:r>
                </w:p>
              </w:tc>
              <w:tc>
                <w:tcPr>
                  <w:tcW w:w="342" w:type="pct"/>
                  <w:vMerge w:val="continue"/>
                  <w:tcBorders>
                    <w:left w:val="single" w:color="auto" w:sz="4" w:space="0"/>
                  </w:tcBorders>
                  <w:tcMar>
                    <w:top w:w="15" w:type="dxa"/>
                    <w:left w:w="15" w:type="dxa"/>
                    <w:right w:w="15" w:type="dxa"/>
                  </w:tcMar>
                  <w:vAlign w:val="center"/>
                </w:tcPr>
                <w:p w14:paraId="03B48BAC">
                  <w:pPr>
                    <w:spacing w:line="280" w:lineRule="exact"/>
                    <w:jc w:val="center"/>
                    <w:rPr>
                      <w:rFonts w:eastAsiaTheme="minorEastAsia"/>
                      <w:sz w:val="18"/>
                      <w:szCs w:val="18"/>
                    </w:rPr>
                  </w:pPr>
                </w:p>
              </w:tc>
            </w:tr>
            <w:tr w14:paraId="3E9E36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525D5BA9">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24</w:t>
                  </w:r>
                </w:p>
              </w:tc>
              <w:tc>
                <w:tcPr>
                  <w:tcW w:w="1309" w:type="pct"/>
                  <w:tcMar>
                    <w:top w:w="15" w:type="dxa"/>
                    <w:left w:w="15" w:type="dxa"/>
                    <w:right w:w="15" w:type="dxa"/>
                  </w:tcMar>
                  <w:vAlign w:val="center"/>
                </w:tcPr>
                <w:p w14:paraId="1BE05C1D">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电动单梁起重机（龙门吊）</w:t>
                  </w:r>
                </w:p>
              </w:tc>
              <w:tc>
                <w:tcPr>
                  <w:tcW w:w="1324" w:type="pct"/>
                  <w:tcMar>
                    <w:top w:w="15" w:type="dxa"/>
                    <w:left w:w="15" w:type="dxa"/>
                    <w:right w:w="15" w:type="dxa"/>
                  </w:tcMar>
                  <w:vAlign w:val="center"/>
                </w:tcPr>
                <w:p w14:paraId="3E7326BF">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LD5T-19.5m</w:t>
                  </w:r>
                </w:p>
              </w:tc>
              <w:tc>
                <w:tcPr>
                  <w:tcW w:w="486" w:type="pct"/>
                  <w:tcBorders>
                    <w:right w:val="single" w:color="auto" w:sz="4" w:space="0"/>
                  </w:tcBorders>
                  <w:tcMar>
                    <w:top w:w="15" w:type="dxa"/>
                    <w:left w:w="15" w:type="dxa"/>
                    <w:right w:w="15" w:type="dxa"/>
                  </w:tcMar>
                  <w:vAlign w:val="center"/>
                </w:tcPr>
                <w:p w14:paraId="0CC5E47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19E0309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原木卸车/转运</w:t>
                  </w:r>
                </w:p>
              </w:tc>
              <w:tc>
                <w:tcPr>
                  <w:tcW w:w="342" w:type="pct"/>
                  <w:vMerge w:val="restart"/>
                  <w:tcMar>
                    <w:top w:w="15" w:type="dxa"/>
                    <w:left w:w="15" w:type="dxa"/>
                    <w:right w:w="15" w:type="dxa"/>
                  </w:tcMar>
                  <w:vAlign w:val="center"/>
                </w:tcPr>
                <w:p w14:paraId="44530831">
                  <w:pPr>
                    <w:spacing w:line="280" w:lineRule="exact"/>
                    <w:jc w:val="center"/>
                    <w:rPr>
                      <w:rFonts w:eastAsiaTheme="minorEastAsia"/>
                      <w:sz w:val="18"/>
                      <w:szCs w:val="18"/>
                    </w:rPr>
                  </w:pPr>
                  <w:r>
                    <w:rPr>
                      <w:rFonts w:eastAsiaTheme="minorEastAsia"/>
                      <w:sz w:val="18"/>
                      <w:szCs w:val="18"/>
                    </w:rPr>
                    <w:t>五车间</w:t>
                  </w:r>
                </w:p>
              </w:tc>
            </w:tr>
            <w:tr w14:paraId="004EA9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22674362">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25</w:t>
                  </w:r>
                </w:p>
              </w:tc>
              <w:tc>
                <w:tcPr>
                  <w:tcW w:w="1309" w:type="pct"/>
                  <w:tcMar>
                    <w:top w:w="15" w:type="dxa"/>
                    <w:left w:w="15" w:type="dxa"/>
                    <w:right w:w="15" w:type="dxa"/>
                  </w:tcMar>
                  <w:vAlign w:val="center"/>
                </w:tcPr>
                <w:p w14:paraId="330252C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数控带锯机</w:t>
                  </w:r>
                </w:p>
              </w:tc>
              <w:tc>
                <w:tcPr>
                  <w:tcW w:w="1324" w:type="pct"/>
                  <w:tcMar>
                    <w:top w:w="15" w:type="dxa"/>
                    <w:left w:w="15" w:type="dxa"/>
                    <w:right w:w="15" w:type="dxa"/>
                  </w:tcMar>
                  <w:vAlign w:val="center"/>
                </w:tcPr>
                <w:p w14:paraId="002D0EF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MJ3210A15kW</w:t>
                  </w:r>
                </w:p>
              </w:tc>
              <w:tc>
                <w:tcPr>
                  <w:tcW w:w="486" w:type="pct"/>
                  <w:tcBorders>
                    <w:right w:val="single" w:color="auto" w:sz="4" w:space="0"/>
                  </w:tcBorders>
                  <w:tcMar>
                    <w:top w:w="15" w:type="dxa"/>
                    <w:left w:w="15" w:type="dxa"/>
                    <w:right w:w="15" w:type="dxa"/>
                  </w:tcMar>
                  <w:vAlign w:val="center"/>
                </w:tcPr>
                <w:p w14:paraId="77A94FA7">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12133F8A">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原木纵向解料</w:t>
                  </w:r>
                </w:p>
              </w:tc>
              <w:tc>
                <w:tcPr>
                  <w:tcW w:w="342" w:type="pct"/>
                  <w:vMerge w:val="continue"/>
                  <w:tcMar>
                    <w:top w:w="15" w:type="dxa"/>
                    <w:left w:w="15" w:type="dxa"/>
                    <w:right w:w="15" w:type="dxa"/>
                  </w:tcMar>
                  <w:vAlign w:val="center"/>
                </w:tcPr>
                <w:p w14:paraId="4AEDC838">
                  <w:pPr>
                    <w:spacing w:line="280" w:lineRule="exact"/>
                    <w:jc w:val="center"/>
                    <w:rPr>
                      <w:rFonts w:eastAsiaTheme="minorEastAsia"/>
                      <w:sz w:val="18"/>
                      <w:szCs w:val="18"/>
                    </w:rPr>
                  </w:pPr>
                </w:p>
              </w:tc>
            </w:tr>
            <w:tr w14:paraId="49FA8C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9C9901D">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26</w:t>
                  </w:r>
                </w:p>
              </w:tc>
              <w:tc>
                <w:tcPr>
                  <w:tcW w:w="1309" w:type="pct"/>
                  <w:tcMar>
                    <w:top w:w="15" w:type="dxa"/>
                    <w:left w:w="15" w:type="dxa"/>
                    <w:right w:w="15" w:type="dxa"/>
                  </w:tcMar>
                  <w:vAlign w:val="center"/>
                </w:tcPr>
                <w:p w14:paraId="382D011E">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木工周期式干燥窑</w:t>
                  </w:r>
                </w:p>
              </w:tc>
              <w:tc>
                <w:tcPr>
                  <w:tcW w:w="1324" w:type="pct"/>
                  <w:tcMar>
                    <w:top w:w="15" w:type="dxa"/>
                    <w:left w:w="15" w:type="dxa"/>
                    <w:right w:w="15" w:type="dxa"/>
                  </w:tcMar>
                  <w:vAlign w:val="center"/>
                </w:tcPr>
                <w:p w14:paraId="784B4615">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FX-60m³</w:t>
                  </w:r>
                </w:p>
              </w:tc>
              <w:tc>
                <w:tcPr>
                  <w:tcW w:w="486" w:type="pct"/>
                  <w:tcBorders>
                    <w:right w:val="single" w:color="auto" w:sz="4" w:space="0"/>
                  </w:tcBorders>
                  <w:tcMar>
                    <w:top w:w="15" w:type="dxa"/>
                    <w:left w:w="15" w:type="dxa"/>
                    <w:right w:w="15" w:type="dxa"/>
                  </w:tcMar>
                  <w:vAlign w:val="center"/>
                </w:tcPr>
                <w:p w14:paraId="41EBE3CA">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3EDA6C4E">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蒸汽加热，控温≤80℃</w:t>
                  </w:r>
                </w:p>
              </w:tc>
              <w:tc>
                <w:tcPr>
                  <w:tcW w:w="342" w:type="pct"/>
                  <w:vMerge w:val="continue"/>
                  <w:tcMar>
                    <w:top w:w="15" w:type="dxa"/>
                    <w:left w:w="15" w:type="dxa"/>
                    <w:right w:w="15" w:type="dxa"/>
                  </w:tcMar>
                  <w:vAlign w:val="center"/>
                </w:tcPr>
                <w:p w14:paraId="2D4DFB6C">
                  <w:pPr>
                    <w:spacing w:line="280" w:lineRule="exact"/>
                    <w:jc w:val="center"/>
                    <w:rPr>
                      <w:rFonts w:eastAsiaTheme="minorEastAsia"/>
                      <w:sz w:val="18"/>
                      <w:szCs w:val="18"/>
                    </w:rPr>
                  </w:pPr>
                </w:p>
              </w:tc>
            </w:tr>
            <w:tr w14:paraId="2D4FF3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50CA0BD4">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27</w:t>
                  </w:r>
                </w:p>
              </w:tc>
              <w:tc>
                <w:tcPr>
                  <w:tcW w:w="1309" w:type="pct"/>
                  <w:tcMar>
                    <w:top w:w="15" w:type="dxa"/>
                    <w:left w:w="15" w:type="dxa"/>
                    <w:right w:w="15" w:type="dxa"/>
                  </w:tcMar>
                  <w:vAlign w:val="center"/>
                </w:tcPr>
                <w:p w14:paraId="35557F5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精密推台锯</w:t>
                  </w:r>
                </w:p>
              </w:tc>
              <w:tc>
                <w:tcPr>
                  <w:tcW w:w="1324" w:type="pct"/>
                  <w:tcMar>
                    <w:top w:w="15" w:type="dxa"/>
                    <w:left w:w="15" w:type="dxa"/>
                    <w:right w:w="15" w:type="dxa"/>
                  </w:tcMar>
                  <w:vAlign w:val="center"/>
                </w:tcPr>
                <w:p w14:paraId="03FA5136">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MX2505.5kW</w:t>
                  </w:r>
                </w:p>
              </w:tc>
              <w:tc>
                <w:tcPr>
                  <w:tcW w:w="486" w:type="pct"/>
                  <w:tcBorders>
                    <w:right w:val="single" w:color="auto" w:sz="4" w:space="0"/>
                  </w:tcBorders>
                  <w:tcMar>
                    <w:top w:w="15" w:type="dxa"/>
                    <w:left w:w="15" w:type="dxa"/>
                    <w:right w:w="15" w:type="dxa"/>
                  </w:tcMar>
                  <w:vAlign w:val="center"/>
                </w:tcPr>
                <w:p w14:paraId="549D56BA">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415484F0">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板材精截下料</w:t>
                  </w:r>
                </w:p>
              </w:tc>
              <w:tc>
                <w:tcPr>
                  <w:tcW w:w="342" w:type="pct"/>
                  <w:vMerge w:val="continue"/>
                  <w:tcMar>
                    <w:top w:w="15" w:type="dxa"/>
                    <w:left w:w="15" w:type="dxa"/>
                    <w:right w:w="15" w:type="dxa"/>
                  </w:tcMar>
                  <w:vAlign w:val="center"/>
                </w:tcPr>
                <w:p w14:paraId="307BDDC7">
                  <w:pPr>
                    <w:spacing w:line="280" w:lineRule="exact"/>
                    <w:jc w:val="center"/>
                    <w:rPr>
                      <w:rFonts w:eastAsiaTheme="minorEastAsia"/>
                      <w:sz w:val="18"/>
                      <w:szCs w:val="18"/>
                    </w:rPr>
                  </w:pPr>
                </w:p>
              </w:tc>
            </w:tr>
            <w:tr w14:paraId="023865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271F9466">
                  <w:pPr>
                    <w:spacing w:line="280" w:lineRule="exact"/>
                    <w:jc w:val="center"/>
                    <w:rPr>
                      <w:rFonts w:ascii="Times New Roman" w:hAnsi="Times New Roman" w:cs="Times New Roman" w:eastAsiaTheme="minorEastAsia"/>
                      <w:kern w:val="2"/>
                      <w:sz w:val="18"/>
                      <w:szCs w:val="18"/>
                      <w:lang w:val="en-US" w:eastAsia="zh-CN" w:bidi="ar-SA"/>
                    </w:rPr>
                  </w:pPr>
                  <w:r>
                    <w:rPr>
                      <w:rFonts w:eastAsiaTheme="minorEastAsia"/>
                      <w:sz w:val="18"/>
                      <w:szCs w:val="18"/>
                    </w:rPr>
                    <w:t>28</w:t>
                  </w:r>
                </w:p>
              </w:tc>
              <w:tc>
                <w:tcPr>
                  <w:tcW w:w="1309" w:type="pct"/>
                  <w:tcMar>
                    <w:top w:w="15" w:type="dxa"/>
                    <w:left w:w="15" w:type="dxa"/>
                    <w:right w:w="15" w:type="dxa"/>
                  </w:tcMar>
                  <w:vAlign w:val="center"/>
                </w:tcPr>
                <w:p w14:paraId="71C09000">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重型四面刨</w:t>
                  </w:r>
                </w:p>
              </w:tc>
              <w:tc>
                <w:tcPr>
                  <w:tcW w:w="1324" w:type="pct"/>
                  <w:tcMar>
                    <w:top w:w="15" w:type="dxa"/>
                    <w:left w:w="15" w:type="dxa"/>
                    <w:right w:w="15" w:type="dxa"/>
                  </w:tcMar>
                  <w:vAlign w:val="center"/>
                </w:tcPr>
                <w:p w14:paraId="7F253AF6">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台湾胜源S-42322kW</w:t>
                  </w:r>
                </w:p>
              </w:tc>
              <w:tc>
                <w:tcPr>
                  <w:tcW w:w="486" w:type="pct"/>
                  <w:tcBorders>
                    <w:right w:val="single" w:color="auto" w:sz="4" w:space="0"/>
                  </w:tcBorders>
                  <w:tcMar>
                    <w:top w:w="15" w:type="dxa"/>
                    <w:left w:w="15" w:type="dxa"/>
                    <w:right w:w="15" w:type="dxa"/>
                  </w:tcMar>
                  <w:vAlign w:val="center"/>
                </w:tcPr>
                <w:p w14:paraId="747212B7">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4E684FF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板材基准面刨光</w:t>
                  </w:r>
                </w:p>
              </w:tc>
              <w:tc>
                <w:tcPr>
                  <w:tcW w:w="342" w:type="pct"/>
                  <w:vMerge w:val="continue"/>
                  <w:tcMar>
                    <w:top w:w="15" w:type="dxa"/>
                    <w:left w:w="15" w:type="dxa"/>
                    <w:right w:w="15" w:type="dxa"/>
                  </w:tcMar>
                  <w:vAlign w:val="center"/>
                </w:tcPr>
                <w:p w14:paraId="2970A5E6">
                  <w:pPr>
                    <w:spacing w:line="280" w:lineRule="exact"/>
                    <w:jc w:val="center"/>
                    <w:rPr>
                      <w:rFonts w:eastAsiaTheme="minorEastAsia"/>
                      <w:sz w:val="18"/>
                      <w:szCs w:val="18"/>
                    </w:rPr>
                  </w:pPr>
                </w:p>
              </w:tc>
            </w:tr>
            <w:tr w14:paraId="6360800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631D7A20">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29</w:t>
                  </w:r>
                </w:p>
              </w:tc>
              <w:tc>
                <w:tcPr>
                  <w:tcW w:w="1309" w:type="pct"/>
                  <w:tcMar>
                    <w:top w:w="15" w:type="dxa"/>
                    <w:left w:w="15" w:type="dxa"/>
                    <w:right w:w="15" w:type="dxa"/>
                  </w:tcMar>
                  <w:vAlign w:val="center"/>
                </w:tcPr>
                <w:p w14:paraId="5DD7584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干式变压器</w:t>
                  </w:r>
                </w:p>
              </w:tc>
              <w:tc>
                <w:tcPr>
                  <w:tcW w:w="1324" w:type="pct"/>
                  <w:tcMar>
                    <w:top w:w="15" w:type="dxa"/>
                    <w:left w:w="15" w:type="dxa"/>
                    <w:right w:w="15" w:type="dxa"/>
                  </w:tcMar>
                  <w:vAlign w:val="center"/>
                </w:tcPr>
                <w:p w14:paraId="1DFCE46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SCB13-400/10</w:t>
                  </w:r>
                </w:p>
              </w:tc>
              <w:tc>
                <w:tcPr>
                  <w:tcW w:w="486" w:type="pct"/>
                  <w:tcBorders>
                    <w:right w:val="single" w:color="auto" w:sz="4" w:space="0"/>
                  </w:tcBorders>
                  <w:tcMar>
                    <w:top w:w="15" w:type="dxa"/>
                    <w:left w:w="15" w:type="dxa"/>
                    <w:right w:w="15" w:type="dxa"/>
                  </w:tcMar>
                  <w:vAlign w:val="center"/>
                </w:tcPr>
                <w:p w14:paraId="16329C0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29E981F3">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400kVA，全厂供电</w:t>
                  </w:r>
                </w:p>
              </w:tc>
              <w:tc>
                <w:tcPr>
                  <w:tcW w:w="342" w:type="pct"/>
                  <w:vMerge w:val="restart"/>
                  <w:tcMar>
                    <w:top w:w="15" w:type="dxa"/>
                    <w:left w:w="15" w:type="dxa"/>
                    <w:right w:w="15" w:type="dxa"/>
                  </w:tcMar>
                  <w:vAlign w:val="center"/>
                </w:tcPr>
                <w:p w14:paraId="65EB3FDA">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公用</w:t>
                  </w:r>
                </w:p>
              </w:tc>
            </w:tr>
            <w:tr w14:paraId="3905421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7B7530D0">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30</w:t>
                  </w:r>
                </w:p>
              </w:tc>
              <w:tc>
                <w:tcPr>
                  <w:tcW w:w="1309" w:type="pct"/>
                  <w:tcMar>
                    <w:top w:w="15" w:type="dxa"/>
                    <w:left w:w="15" w:type="dxa"/>
                    <w:right w:w="15" w:type="dxa"/>
                  </w:tcMar>
                  <w:vAlign w:val="center"/>
                </w:tcPr>
                <w:p w14:paraId="024A1D6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燃气蒸汽锅炉</w:t>
                  </w:r>
                </w:p>
              </w:tc>
              <w:tc>
                <w:tcPr>
                  <w:tcW w:w="1324" w:type="pct"/>
                  <w:tcMar>
                    <w:top w:w="15" w:type="dxa"/>
                    <w:left w:w="15" w:type="dxa"/>
                    <w:right w:w="15" w:type="dxa"/>
                  </w:tcMar>
                  <w:vAlign w:val="center"/>
                </w:tcPr>
                <w:p w14:paraId="1F2DD59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SZL2-1.25-T7.5kW</w:t>
                  </w:r>
                </w:p>
              </w:tc>
              <w:tc>
                <w:tcPr>
                  <w:tcW w:w="486" w:type="pct"/>
                  <w:tcBorders>
                    <w:right w:val="single" w:color="auto" w:sz="4" w:space="0"/>
                  </w:tcBorders>
                  <w:tcMar>
                    <w:top w:w="15" w:type="dxa"/>
                    <w:left w:w="15" w:type="dxa"/>
                    <w:right w:w="15" w:type="dxa"/>
                  </w:tcMar>
                  <w:vAlign w:val="center"/>
                </w:tcPr>
                <w:p w14:paraId="757CE2D9">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32A92FA0">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干燥窑热源</w:t>
                  </w:r>
                </w:p>
              </w:tc>
              <w:tc>
                <w:tcPr>
                  <w:tcW w:w="342" w:type="pct"/>
                  <w:vMerge w:val="continue"/>
                  <w:tcMar>
                    <w:top w:w="15" w:type="dxa"/>
                    <w:left w:w="15" w:type="dxa"/>
                    <w:right w:w="15" w:type="dxa"/>
                  </w:tcMar>
                  <w:vAlign w:val="center"/>
                </w:tcPr>
                <w:p w14:paraId="5D228343">
                  <w:pPr>
                    <w:spacing w:line="280" w:lineRule="exact"/>
                    <w:jc w:val="center"/>
                    <w:rPr>
                      <w:rFonts w:eastAsiaTheme="minorEastAsia"/>
                      <w:sz w:val="18"/>
                      <w:szCs w:val="18"/>
                    </w:rPr>
                  </w:pPr>
                </w:p>
              </w:tc>
            </w:tr>
            <w:tr w14:paraId="29974F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09A484FB">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31</w:t>
                  </w:r>
                </w:p>
              </w:tc>
              <w:tc>
                <w:tcPr>
                  <w:tcW w:w="1309" w:type="pct"/>
                  <w:tcMar>
                    <w:top w:w="15" w:type="dxa"/>
                    <w:left w:w="15" w:type="dxa"/>
                    <w:right w:w="15" w:type="dxa"/>
                  </w:tcMar>
                  <w:vAlign w:val="center"/>
                </w:tcPr>
                <w:p w14:paraId="0B90C32C">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螺杆空压机</w:t>
                  </w:r>
                </w:p>
              </w:tc>
              <w:tc>
                <w:tcPr>
                  <w:tcW w:w="1324" w:type="pct"/>
                  <w:tcMar>
                    <w:top w:w="15" w:type="dxa"/>
                    <w:left w:w="15" w:type="dxa"/>
                    <w:right w:w="15" w:type="dxa"/>
                  </w:tcMar>
                  <w:vAlign w:val="center"/>
                </w:tcPr>
                <w:p w14:paraId="1B739717">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开山BK7.5-8G7.5kW</w:t>
                  </w:r>
                </w:p>
              </w:tc>
              <w:tc>
                <w:tcPr>
                  <w:tcW w:w="486" w:type="pct"/>
                  <w:tcBorders>
                    <w:right w:val="single" w:color="auto" w:sz="4" w:space="0"/>
                  </w:tcBorders>
                  <w:tcMar>
                    <w:top w:w="15" w:type="dxa"/>
                    <w:left w:w="15" w:type="dxa"/>
                    <w:right w:w="15" w:type="dxa"/>
                  </w:tcMar>
                  <w:vAlign w:val="center"/>
                </w:tcPr>
                <w:p w14:paraId="1A0229B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20721519">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全厂气源供应</w:t>
                  </w:r>
                </w:p>
              </w:tc>
              <w:tc>
                <w:tcPr>
                  <w:tcW w:w="342" w:type="pct"/>
                  <w:vMerge w:val="continue"/>
                  <w:tcMar>
                    <w:top w:w="15" w:type="dxa"/>
                    <w:left w:w="15" w:type="dxa"/>
                    <w:right w:w="15" w:type="dxa"/>
                  </w:tcMar>
                  <w:vAlign w:val="center"/>
                </w:tcPr>
                <w:p w14:paraId="54C8FC9F">
                  <w:pPr>
                    <w:spacing w:line="280" w:lineRule="exact"/>
                    <w:jc w:val="center"/>
                    <w:rPr>
                      <w:rFonts w:eastAsiaTheme="minorEastAsia"/>
                      <w:sz w:val="18"/>
                      <w:szCs w:val="18"/>
                    </w:rPr>
                  </w:pPr>
                </w:p>
              </w:tc>
            </w:tr>
            <w:tr w14:paraId="6665DC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7493AE38">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32</w:t>
                  </w:r>
                </w:p>
              </w:tc>
              <w:tc>
                <w:tcPr>
                  <w:tcW w:w="1309" w:type="pct"/>
                  <w:tcMar>
                    <w:top w:w="15" w:type="dxa"/>
                    <w:left w:w="15" w:type="dxa"/>
                    <w:right w:w="15" w:type="dxa"/>
                  </w:tcMar>
                  <w:vAlign w:val="center"/>
                </w:tcPr>
                <w:p w14:paraId="667EFA05">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脉冲布袋除尘器</w:t>
                  </w:r>
                </w:p>
              </w:tc>
              <w:tc>
                <w:tcPr>
                  <w:tcW w:w="1324" w:type="pct"/>
                  <w:tcMar>
                    <w:top w:w="15" w:type="dxa"/>
                    <w:left w:w="15" w:type="dxa"/>
                    <w:right w:w="15" w:type="dxa"/>
                  </w:tcMar>
                  <w:vAlign w:val="center"/>
                </w:tcPr>
                <w:p w14:paraId="0F4F1664">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博迪DMC-9622kW</w:t>
                  </w:r>
                </w:p>
              </w:tc>
              <w:tc>
                <w:tcPr>
                  <w:tcW w:w="486" w:type="pct"/>
                  <w:tcBorders>
                    <w:right w:val="single" w:color="auto" w:sz="4" w:space="0"/>
                  </w:tcBorders>
                  <w:tcMar>
                    <w:top w:w="15" w:type="dxa"/>
                    <w:left w:w="15" w:type="dxa"/>
                    <w:right w:w="15" w:type="dxa"/>
                  </w:tcMar>
                  <w:vAlign w:val="center"/>
                </w:tcPr>
                <w:p w14:paraId="7194F9E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05DC18E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木加工粉尘集中治理</w:t>
                  </w:r>
                </w:p>
              </w:tc>
              <w:tc>
                <w:tcPr>
                  <w:tcW w:w="342" w:type="pct"/>
                  <w:vMerge w:val="continue"/>
                  <w:tcMar>
                    <w:top w:w="15" w:type="dxa"/>
                    <w:left w:w="15" w:type="dxa"/>
                    <w:right w:w="15" w:type="dxa"/>
                  </w:tcMar>
                  <w:vAlign w:val="center"/>
                </w:tcPr>
                <w:p w14:paraId="6FB9FF42">
                  <w:pPr>
                    <w:spacing w:line="280" w:lineRule="exact"/>
                    <w:jc w:val="center"/>
                    <w:rPr>
                      <w:rFonts w:eastAsiaTheme="minorEastAsia"/>
                      <w:sz w:val="18"/>
                      <w:szCs w:val="18"/>
                    </w:rPr>
                  </w:pPr>
                </w:p>
              </w:tc>
            </w:tr>
            <w:tr w14:paraId="30F53D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1E3E6AE3">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33</w:t>
                  </w:r>
                </w:p>
              </w:tc>
              <w:tc>
                <w:tcPr>
                  <w:tcW w:w="1309" w:type="pct"/>
                  <w:tcMar>
                    <w:top w:w="15" w:type="dxa"/>
                    <w:left w:w="15" w:type="dxa"/>
                    <w:right w:w="15" w:type="dxa"/>
                  </w:tcMar>
                  <w:vAlign w:val="center"/>
                </w:tcPr>
                <w:p w14:paraId="37B5BCB0">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VOCs治理系统</w:t>
                  </w:r>
                </w:p>
              </w:tc>
              <w:tc>
                <w:tcPr>
                  <w:tcW w:w="1324" w:type="pct"/>
                  <w:tcMar>
                    <w:top w:w="15" w:type="dxa"/>
                    <w:left w:w="15" w:type="dxa"/>
                    <w:right w:w="15" w:type="dxa"/>
                  </w:tcMar>
                  <w:vAlign w:val="center"/>
                </w:tcPr>
                <w:p w14:paraId="407ACA4F">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干式过滤+活性炭+CO催化</w:t>
                  </w:r>
                </w:p>
              </w:tc>
              <w:tc>
                <w:tcPr>
                  <w:tcW w:w="486" w:type="pct"/>
                  <w:tcBorders>
                    <w:right w:val="single" w:color="auto" w:sz="4" w:space="0"/>
                  </w:tcBorders>
                  <w:tcMar>
                    <w:top w:w="15" w:type="dxa"/>
                    <w:left w:w="15" w:type="dxa"/>
                    <w:right w:w="15" w:type="dxa"/>
                  </w:tcMar>
                  <w:vAlign w:val="center"/>
                </w:tcPr>
                <w:p w14:paraId="2AEA4495">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0132B0EE">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油漆废气处理，效率≥90%</w:t>
                  </w:r>
                </w:p>
              </w:tc>
              <w:tc>
                <w:tcPr>
                  <w:tcW w:w="342" w:type="pct"/>
                  <w:vMerge w:val="continue"/>
                  <w:tcMar>
                    <w:top w:w="15" w:type="dxa"/>
                    <w:left w:w="15" w:type="dxa"/>
                    <w:right w:w="15" w:type="dxa"/>
                  </w:tcMar>
                  <w:vAlign w:val="center"/>
                </w:tcPr>
                <w:p w14:paraId="6C42E7F5">
                  <w:pPr>
                    <w:spacing w:line="280" w:lineRule="exact"/>
                    <w:jc w:val="center"/>
                    <w:rPr>
                      <w:rFonts w:eastAsiaTheme="minorEastAsia"/>
                      <w:sz w:val="18"/>
                      <w:szCs w:val="18"/>
                    </w:rPr>
                  </w:pPr>
                </w:p>
              </w:tc>
            </w:tr>
            <w:tr w14:paraId="17AC786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7A8D253A">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34</w:t>
                  </w:r>
                </w:p>
              </w:tc>
              <w:tc>
                <w:tcPr>
                  <w:tcW w:w="1309" w:type="pct"/>
                  <w:tcMar>
                    <w:top w:w="15" w:type="dxa"/>
                    <w:left w:w="15" w:type="dxa"/>
                    <w:right w:w="15" w:type="dxa"/>
                  </w:tcMar>
                  <w:vAlign w:val="center"/>
                </w:tcPr>
                <w:p w14:paraId="789782C6">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消防泵组</w:t>
                  </w:r>
                </w:p>
              </w:tc>
              <w:tc>
                <w:tcPr>
                  <w:tcW w:w="1324" w:type="pct"/>
                  <w:tcMar>
                    <w:top w:w="15" w:type="dxa"/>
                    <w:left w:w="15" w:type="dxa"/>
                    <w:right w:w="15" w:type="dxa"/>
                  </w:tcMar>
                  <w:vAlign w:val="center"/>
                </w:tcPr>
                <w:p w14:paraId="672A3A18">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XBD6/20-10030kW</w:t>
                  </w:r>
                </w:p>
              </w:tc>
              <w:tc>
                <w:tcPr>
                  <w:tcW w:w="486" w:type="pct"/>
                  <w:tcBorders>
                    <w:right w:val="single" w:color="auto" w:sz="4" w:space="0"/>
                  </w:tcBorders>
                  <w:tcMar>
                    <w:top w:w="15" w:type="dxa"/>
                    <w:left w:w="15" w:type="dxa"/>
                    <w:right w:w="15" w:type="dxa"/>
                  </w:tcMar>
                  <w:vAlign w:val="center"/>
                </w:tcPr>
                <w:p w14:paraId="14A7E8B2">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759E5F31">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火灾时启用（日常停用）</w:t>
                  </w:r>
                </w:p>
              </w:tc>
              <w:tc>
                <w:tcPr>
                  <w:tcW w:w="342" w:type="pct"/>
                  <w:vMerge w:val="continue"/>
                  <w:tcMar>
                    <w:top w:w="15" w:type="dxa"/>
                    <w:left w:w="15" w:type="dxa"/>
                    <w:right w:w="15" w:type="dxa"/>
                  </w:tcMar>
                  <w:vAlign w:val="center"/>
                </w:tcPr>
                <w:p w14:paraId="684CF6AF">
                  <w:pPr>
                    <w:spacing w:line="280" w:lineRule="exact"/>
                    <w:jc w:val="center"/>
                    <w:rPr>
                      <w:rFonts w:eastAsiaTheme="minorEastAsia"/>
                      <w:sz w:val="18"/>
                      <w:szCs w:val="18"/>
                    </w:rPr>
                  </w:pPr>
                </w:p>
              </w:tc>
            </w:tr>
            <w:tr w14:paraId="1E9616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37" w:type="pct"/>
                  <w:shd w:val="clear" w:color="auto" w:fill="auto"/>
                  <w:tcMar>
                    <w:top w:w="15" w:type="dxa"/>
                    <w:left w:w="15" w:type="dxa"/>
                    <w:right w:w="15" w:type="dxa"/>
                  </w:tcMar>
                  <w:vAlign w:val="center"/>
                </w:tcPr>
                <w:p w14:paraId="59BC5A1A">
                  <w:pPr>
                    <w:spacing w:line="280" w:lineRule="exact"/>
                    <w:jc w:val="center"/>
                    <w:rPr>
                      <w:rFonts w:hint="default" w:ascii="Times New Roman" w:hAnsi="Times New Roman" w:cs="Times New Roman" w:eastAsiaTheme="minorEastAsia"/>
                      <w:kern w:val="2"/>
                      <w:sz w:val="18"/>
                      <w:szCs w:val="18"/>
                      <w:lang w:val="en-US" w:eastAsia="zh-CN" w:bidi="ar-SA"/>
                    </w:rPr>
                  </w:pPr>
                  <w:r>
                    <w:rPr>
                      <w:rFonts w:hint="eastAsia" w:cs="Times New Roman" w:eastAsiaTheme="minorEastAsia"/>
                      <w:kern w:val="2"/>
                      <w:sz w:val="18"/>
                      <w:szCs w:val="18"/>
                      <w:lang w:val="en-US" w:eastAsia="zh-CN" w:bidi="ar-SA"/>
                    </w:rPr>
                    <w:t>35</w:t>
                  </w:r>
                </w:p>
              </w:tc>
              <w:tc>
                <w:tcPr>
                  <w:tcW w:w="1309" w:type="pct"/>
                  <w:tcMar>
                    <w:top w:w="15" w:type="dxa"/>
                    <w:left w:w="15" w:type="dxa"/>
                    <w:right w:w="15" w:type="dxa"/>
                  </w:tcMar>
                  <w:vAlign w:val="center"/>
                </w:tcPr>
                <w:p w14:paraId="56CB9A65">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废水沉淀循环池</w:t>
                  </w:r>
                </w:p>
              </w:tc>
              <w:tc>
                <w:tcPr>
                  <w:tcW w:w="1324" w:type="pct"/>
                  <w:tcMar>
                    <w:top w:w="15" w:type="dxa"/>
                    <w:left w:w="15" w:type="dxa"/>
                    <w:right w:w="15" w:type="dxa"/>
                  </w:tcMar>
                  <w:vAlign w:val="center"/>
                </w:tcPr>
                <w:p w14:paraId="17D9420F">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三级沉淀30m³</w:t>
                  </w:r>
                </w:p>
              </w:tc>
              <w:tc>
                <w:tcPr>
                  <w:tcW w:w="486" w:type="pct"/>
                  <w:tcBorders>
                    <w:right w:val="single" w:color="auto" w:sz="4" w:space="0"/>
                  </w:tcBorders>
                  <w:tcMar>
                    <w:top w:w="15" w:type="dxa"/>
                    <w:left w:w="15" w:type="dxa"/>
                    <w:right w:w="15" w:type="dxa"/>
                  </w:tcMar>
                  <w:vAlign w:val="center"/>
                </w:tcPr>
                <w:p w14:paraId="0562514D">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1</w:t>
                  </w:r>
                </w:p>
              </w:tc>
              <w:tc>
                <w:tcPr>
                  <w:tcW w:w="1299" w:type="pct"/>
                  <w:tcMar>
                    <w:top w:w="15" w:type="dxa"/>
                    <w:left w:w="15" w:type="dxa"/>
                    <w:right w:w="15" w:type="dxa"/>
                  </w:tcMar>
                  <w:vAlign w:val="center"/>
                </w:tcPr>
                <w:p w14:paraId="08D4DD4B">
                  <w:pPr>
                    <w:jc w:val="center"/>
                    <w:rPr>
                      <w:rFonts w:hint="eastAsia" w:hAnsiTheme="minorEastAsia" w:eastAsiaTheme="minorEastAsia"/>
                      <w:sz w:val="18"/>
                      <w:szCs w:val="18"/>
                      <w:lang w:val="en-US" w:eastAsia="zh-CN"/>
                    </w:rPr>
                  </w:pPr>
                  <w:r>
                    <w:rPr>
                      <w:rFonts w:hint="eastAsia" w:hAnsiTheme="minorEastAsia" w:eastAsiaTheme="minorEastAsia"/>
                      <w:sz w:val="18"/>
                      <w:szCs w:val="18"/>
                      <w:lang w:val="en-US" w:eastAsia="zh-CN"/>
                    </w:rPr>
                    <w:t>石雕废水沉淀回用</w:t>
                  </w:r>
                </w:p>
              </w:tc>
              <w:tc>
                <w:tcPr>
                  <w:tcW w:w="342" w:type="pct"/>
                  <w:vMerge w:val="continue"/>
                  <w:tcMar>
                    <w:top w:w="15" w:type="dxa"/>
                    <w:left w:w="15" w:type="dxa"/>
                    <w:right w:w="15" w:type="dxa"/>
                  </w:tcMar>
                  <w:vAlign w:val="center"/>
                </w:tcPr>
                <w:p w14:paraId="2B4C3001">
                  <w:pPr>
                    <w:spacing w:line="280" w:lineRule="exact"/>
                    <w:jc w:val="center"/>
                    <w:rPr>
                      <w:rFonts w:eastAsiaTheme="minorEastAsia"/>
                      <w:sz w:val="18"/>
                      <w:szCs w:val="18"/>
                    </w:rPr>
                  </w:pPr>
                </w:p>
              </w:tc>
            </w:tr>
          </w:tbl>
          <w:p w14:paraId="544D5017">
            <w:pPr>
              <w:adjustRightInd w:val="0"/>
              <w:snapToGrid w:val="0"/>
              <w:spacing w:line="360" w:lineRule="auto"/>
              <w:ind w:firstLine="422" w:firstLineChars="200"/>
              <w:rPr>
                <w:rFonts w:hint="default" w:eastAsia="宋体"/>
                <w:b/>
                <w:bCs/>
                <w:color w:val="auto"/>
                <w:szCs w:val="21"/>
                <w:lang w:val="en-US" w:eastAsia="zh-CN"/>
              </w:rPr>
            </w:pPr>
            <w:r>
              <w:rPr>
                <w:rFonts w:hint="eastAsia"/>
                <w:b/>
                <w:bCs/>
                <w:color w:val="auto"/>
                <w:szCs w:val="21"/>
                <w:lang w:val="en-US" w:eastAsia="zh-CN"/>
              </w:rPr>
              <w:t>2.5公用工程</w:t>
            </w:r>
          </w:p>
          <w:p w14:paraId="45F99D62">
            <w:pPr>
              <w:spacing w:line="360" w:lineRule="auto"/>
              <w:ind w:firstLine="420" w:firstLineChars="200"/>
              <w:jc w:val="left"/>
              <w:rPr>
                <w:szCs w:val="21"/>
              </w:rPr>
            </w:pPr>
            <w:r>
              <w:rPr>
                <w:szCs w:val="21"/>
              </w:rPr>
              <w:t>（1）供电：由</w:t>
            </w:r>
            <w:r>
              <w:rPr>
                <w:rFonts w:hint="eastAsia"/>
                <w:szCs w:val="21"/>
              </w:rPr>
              <w:t>园区10kV变电站接入，厂区内设置4套</w:t>
            </w:r>
            <w:r>
              <w:rPr>
                <w:szCs w:val="21"/>
              </w:rPr>
              <w:t>500kVA</w:t>
            </w:r>
            <w:r>
              <w:rPr>
                <w:rFonts w:hint="eastAsia"/>
                <w:szCs w:val="21"/>
              </w:rPr>
              <w:t>变压器</w:t>
            </w:r>
            <w:r>
              <w:rPr>
                <w:szCs w:val="21"/>
              </w:rPr>
              <w:t>。</w:t>
            </w:r>
          </w:p>
          <w:p w14:paraId="7F10FCA2">
            <w:pPr>
              <w:spacing w:line="360" w:lineRule="auto"/>
              <w:ind w:firstLine="420" w:firstLineChars="200"/>
              <w:rPr>
                <w:rFonts w:ascii="宋体"/>
                <w:bCs/>
                <w:szCs w:val="21"/>
              </w:rPr>
            </w:pPr>
            <w:r>
              <w:rPr>
                <w:rFonts w:ascii="宋体"/>
                <w:bCs/>
                <w:szCs w:val="21"/>
              </w:rPr>
              <w:t>（2）供排水：</w:t>
            </w:r>
            <w:r>
              <w:rPr>
                <w:rFonts w:hint="eastAsia" w:ascii="宋体"/>
                <w:bCs/>
                <w:szCs w:val="21"/>
              </w:rPr>
              <w:t>由园区自来水管网提供。</w:t>
            </w:r>
          </w:p>
          <w:p w14:paraId="3283DD3E">
            <w:pPr>
              <w:spacing w:line="360" w:lineRule="auto"/>
              <w:ind w:firstLine="420" w:firstLineChars="200"/>
              <w:rPr>
                <w:rFonts w:ascii="宋体"/>
                <w:bCs/>
                <w:szCs w:val="21"/>
              </w:rPr>
            </w:pPr>
            <w:r>
              <w:rPr>
                <w:rFonts w:ascii="宋体"/>
                <w:bCs/>
                <w:szCs w:val="21"/>
              </w:rPr>
              <w:t>雨污分流制</w:t>
            </w:r>
            <w:r>
              <w:rPr>
                <w:rFonts w:hint="eastAsia" w:ascii="宋体"/>
                <w:bCs/>
                <w:szCs w:val="21"/>
              </w:rPr>
              <w:t>；</w:t>
            </w:r>
            <w:r>
              <w:rPr>
                <w:rFonts w:ascii="宋体"/>
                <w:bCs/>
                <w:szCs w:val="21"/>
              </w:rPr>
              <w:t>职工生活污水</w:t>
            </w:r>
            <w:r>
              <w:rPr>
                <w:rFonts w:hint="eastAsia" w:ascii="宋体"/>
                <w:bCs/>
                <w:szCs w:val="21"/>
              </w:rPr>
              <w:t>进入厂</w:t>
            </w:r>
            <w:r>
              <w:rPr>
                <w:rFonts w:ascii="宋体"/>
                <w:bCs/>
                <w:szCs w:val="21"/>
              </w:rPr>
              <w:t>区化粪池</w:t>
            </w:r>
            <w:r>
              <w:rPr>
                <w:rFonts w:hint="eastAsia" w:ascii="宋体"/>
                <w:bCs/>
                <w:szCs w:val="21"/>
              </w:rPr>
              <w:t>，</w:t>
            </w:r>
            <w:r>
              <w:rPr>
                <w:rFonts w:ascii="宋体"/>
                <w:bCs/>
                <w:szCs w:val="21"/>
              </w:rPr>
              <w:t>之后通入污水管网</w:t>
            </w:r>
            <w:r>
              <w:rPr>
                <w:rFonts w:hint="eastAsia" w:ascii="宋体"/>
                <w:bCs/>
                <w:szCs w:val="21"/>
              </w:rPr>
              <w:t>，</w:t>
            </w:r>
            <w:r>
              <w:rPr>
                <w:rFonts w:ascii="宋体"/>
                <w:bCs/>
                <w:szCs w:val="21"/>
              </w:rPr>
              <w:t>最终进入大同市御东污水处理厂</w:t>
            </w:r>
            <w:r>
              <w:rPr>
                <w:rFonts w:hint="eastAsia" w:ascii="宋体"/>
                <w:bCs/>
                <w:szCs w:val="21"/>
              </w:rPr>
              <w:t>；雨水经厂区雨水管道进入园区雨水管道。</w:t>
            </w:r>
          </w:p>
          <w:p w14:paraId="479A0854">
            <w:pPr>
              <w:spacing w:line="360" w:lineRule="auto"/>
              <w:ind w:firstLine="420" w:firstLineChars="200"/>
              <w:rPr>
                <w:spacing w:val="-4"/>
                <w:szCs w:val="21"/>
              </w:rPr>
            </w:pPr>
            <w:r>
              <w:rPr>
                <w:rFonts w:ascii="宋体"/>
                <w:bCs/>
                <w:szCs w:val="21"/>
              </w:rPr>
              <w:t>①</w:t>
            </w:r>
            <w:r>
              <w:rPr>
                <w:rFonts w:hint="eastAsia"/>
                <w:bCs/>
                <w:szCs w:val="21"/>
              </w:rPr>
              <w:t>办公生活</w:t>
            </w:r>
            <w:r>
              <w:rPr>
                <w:bCs/>
                <w:szCs w:val="21"/>
              </w:rPr>
              <w:t>：</w:t>
            </w:r>
            <w:r>
              <w:rPr>
                <w:rFonts w:hint="eastAsia"/>
                <w:bCs/>
                <w:szCs w:val="21"/>
              </w:rPr>
              <w:t>本项目劳动定员共50人，用水定额按100L/p·d计，办公生活用水量约为5.0m</w:t>
            </w:r>
            <w:r>
              <w:rPr>
                <w:rFonts w:hint="eastAsia"/>
                <w:bCs/>
                <w:szCs w:val="21"/>
                <w:vertAlign w:val="superscript"/>
              </w:rPr>
              <w:t>3</w:t>
            </w:r>
            <w:r>
              <w:rPr>
                <w:rFonts w:hint="eastAsia"/>
                <w:bCs/>
                <w:szCs w:val="21"/>
              </w:rPr>
              <w:t>/d；排水系数按0.8计，</w:t>
            </w:r>
            <w:r>
              <w:rPr>
                <w:bCs/>
                <w:szCs w:val="21"/>
              </w:rPr>
              <w:t>生活污水产生量约为</w:t>
            </w:r>
            <w:r>
              <w:rPr>
                <w:rFonts w:hint="eastAsia"/>
                <w:bCs/>
                <w:szCs w:val="21"/>
              </w:rPr>
              <w:t>4.0m</w:t>
            </w:r>
            <w:r>
              <w:rPr>
                <w:rFonts w:hint="eastAsia"/>
                <w:bCs/>
                <w:szCs w:val="21"/>
                <w:vertAlign w:val="superscript"/>
              </w:rPr>
              <w:t>3</w:t>
            </w:r>
            <w:r>
              <w:rPr>
                <w:rFonts w:hint="eastAsia"/>
                <w:bCs/>
                <w:szCs w:val="21"/>
              </w:rPr>
              <w:t>/d</w:t>
            </w:r>
            <w:r>
              <w:rPr>
                <w:bCs/>
                <w:szCs w:val="21"/>
              </w:rPr>
              <w:t>；</w:t>
            </w:r>
          </w:p>
          <w:p w14:paraId="1B843E65">
            <w:pPr>
              <w:spacing w:line="360" w:lineRule="auto"/>
              <w:ind w:firstLine="420" w:firstLineChars="200"/>
              <w:rPr>
                <w:bCs/>
                <w:szCs w:val="21"/>
              </w:rPr>
            </w:pPr>
            <w:r>
              <w:rPr>
                <w:rFonts w:ascii="宋体"/>
                <w:bCs/>
                <w:szCs w:val="21"/>
              </w:rPr>
              <w:t>②</w:t>
            </w:r>
            <w:r>
              <w:rPr>
                <w:rFonts w:hint="eastAsia"/>
                <w:spacing w:val="-4"/>
                <w:szCs w:val="21"/>
              </w:rPr>
              <w:t>车间地面冲洗</w:t>
            </w:r>
            <w:r>
              <w:rPr>
                <w:spacing w:val="-4"/>
                <w:szCs w:val="21"/>
              </w:rPr>
              <w:t>：</w:t>
            </w:r>
            <w:r>
              <w:rPr>
                <w:rFonts w:hint="eastAsia"/>
                <w:spacing w:val="-4"/>
                <w:szCs w:val="21"/>
              </w:rPr>
              <w:t>本项目设置有多个生产加工车间，定期进行冲洗，用水量按0.2L/m</w:t>
            </w:r>
            <w:r>
              <w:rPr>
                <w:rFonts w:hint="eastAsia"/>
                <w:spacing w:val="-4"/>
                <w:szCs w:val="21"/>
                <w:vertAlign w:val="superscript"/>
              </w:rPr>
              <w:t>2</w:t>
            </w:r>
            <w:r>
              <w:rPr>
                <w:rFonts w:hint="eastAsia"/>
                <w:spacing w:val="-4"/>
                <w:szCs w:val="21"/>
              </w:rPr>
              <w:t>·次计，每天冲洗1次，车间地面总面积约27260m</w:t>
            </w:r>
            <w:r>
              <w:rPr>
                <w:rFonts w:hint="eastAsia"/>
                <w:spacing w:val="-4"/>
                <w:szCs w:val="21"/>
                <w:vertAlign w:val="superscript"/>
              </w:rPr>
              <w:t>2</w:t>
            </w:r>
            <w:r>
              <w:rPr>
                <w:rFonts w:hint="eastAsia"/>
                <w:spacing w:val="-4"/>
                <w:szCs w:val="21"/>
              </w:rPr>
              <w:t>，则此部分</w:t>
            </w:r>
            <w:r>
              <w:rPr>
                <w:spacing w:val="-4"/>
                <w:szCs w:val="21"/>
              </w:rPr>
              <w:t>水量约为</w:t>
            </w:r>
            <w:r>
              <w:rPr>
                <w:rFonts w:hint="eastAsia"/>
                <w:spacing w:val="-4"/>
                <w:szCs w:val="21"/>
              </w:rPr>
              <w:t>5.45</w:t>
            </w:r>
            <w:r>
              <w:rPr>
                <w:spacing w:val="-4"/>
                <w:szCs w:val="21"/>
              </w:rPr>
              <w:t>m</w:t>
            </w:r>
            <w:r>
              <w:rPr>
                <w:spacing w:val="-4"/>
                <w:szCs w:val="21"/>
                <w:vertAlign w:val="superscript"/>
              </w:rPr>
              <w:t>3</w:t>
            </w:r>
            <w:r>
              <w:rPr>
                <w:spacing w:val="-4"/>
                <w:szCs w:val="21"/>
              </w:rPr>
              <w:t>/d</w:t>
            </w:r>
            <w:r>
              <w:rPr>
                <w:rFonts w:hint="eastAsia"/>
                <w:spacing w:val="-4"/>
                <w:szCs w:val="21"/>
              </w:rPr>
              <w:t>；</w:t>
            </w:r>
            <w:r>
              <w:rPr>
                <w:rFonts w:hint="eastAsia"/>
                <w:bCs/>
                <w:szCs w:val="21"/>
              </w:rPr>
              <w:t>排水系数按0.8计，废</w:t>
            </w:r>
            <w:r>
              <w:rPr>
                <w:bCs/>
                <w:szCs w:val="21"/>
              </w:rPr>
              <w:t>水产生量约为</w:t>
            </w:r>
            <w:r>
              <w:rPr>
                <w:rFonts w:hint="eastAsia"/>
                <w:bCs/>
                <w:szCs w:val="21"/>
              </w:rPr>
              <w:t>4.36m</w:t>
            </w:r>
            <w:r>
              <w:rPr>
                <w:rFonts w:hint="eastAsia"/>
                <w:bCs/>
                <w:szCs w:val="21"/>
                <w:vertAlign w:val="superscript"/>
              </w:rPr>
              <w:t>3</w:t>
            </w:r>
            <w:r>
              <w:rPr>
                <w:rFonts w:hint="eastAsia"/>
                <w:bCs/>
                <w:szCs w:val="21"/>
              </w:rPr>
              <w:t>/d</w:t>
            </w:r>
            <w:r>
              <w:rPr>
                <w:bCs/>
                <w:szCs w:val="21"/>
              </w:rPr>
              <w:t>；</w:t>
            </w:r>
          </w:p>
          <w:p w14:paraId="25DDB4AA">
            <w:pPr>
              <w:spacing w:line="360" w:lineRule="auto"/>
              <w:ind w:firstLine="420" w:firstLineChars="200"/>
              <w:rPr>
                <w:rFonts w:hint="eastAsia"/>
                <w:bCs/>
                <w:szCs w:val="21"/>
              </w:rPr>
            </w:pPr>
            <w:r>
              <w:rPr>
                <w:rFonts w:hint="eastAsia"/>
                <w:bCs/>
                <w:szCs w:val="21"/>
              </w:rPr>
              <w:t>③水性漆稀释：本项目木门窗、木屋产品装饰工序中包含喷漆作业，使用水性漆，稀释剂为水，根据水性漆使用情况及表2-5的计算结果可知，本项目水性底漆/水</w:t>
            </w:r>
            <w:r>
              <w:rPr>
                <w:bCs/>
                <w:szCs w:val="21"/>
              </w:rPr>
              <w:t>=10</w:t>
            </w:r>
            <w:r>
              <w:rPr>
                <w:rFonts w:hint="eastAsia"/>
                <w:bCs/>
                <w:szCs w:val="21"/>
              </w:rPr>
              <w:t>/</w:t>
            </w:r>
            <w:r>
              <w:rPr>
                <w:bCs/>
                <w:szCs w:val="21"/>
              </w:rPr>
              <w:t>1</w:t>
            </w:r>
            <w:r>
              <w:rPr>
                <w:rFonts w:hint="eastAsia"/>
                <w:bCs/>
                <w:szCs w:val="21"/>
              </w:rPr>
              <w:t>，</w:t>
            </w:r>
            <w:r>
              <w:rPr>
                <w:bCs/>
                <w:szCs w:val="21"/>
              </w:rPr>
              <w:t>水性面漆</w:t>
            </w:r>
            <w:r>
              <w:rPr>
                <w:rFonts w:hint="eastAsia"/>
                <w:bCs/>
                <w:szCs w:val="21"/>
              </w:rPr>
              <w:t>/水</w:t>
            </w:r>
            <w:r>
              <w:rPr>
                <w:bCs/>
                <w:szCs w:val="21"/>
              </w:rPr>
              <w:t>=10</w:t>
            </w:r>
            <w:r>
              <w:rPr>
                <w:rFonts w:hint="eastAsia"/>
                <w:bCs/>
                <w:szCs w:val="21"/>
              </w:rPr>
              <w:t>/</w:t>
            </w:r>
            <w:r>
              <w:rPr>
                <w:bCs/>
                <w:szCs w:val="21"/>
              </w:rPr>
              <w:t>1.</w:t>
            </w:r>
            <w:r>
              <w:rPr>
                <w:rFonts w:hint="eastAsia"/>
                <w:bCs/>
                <w:szCs w:val="21"/>
              </w:rPr>
              <w:t>2，则此部分工序使用水量约为</w:t>
            </w:r>
            <w:r>
              <w:rPr>
                <w:rFonts w:hint="eastAsia"/>
                <w:bCs/>
                <w:szCs w:val="21"/>
                <w:lang w:val="en-US" w:eastAsia="zh-CN"/>
              </w:rPr>
              <w:t>0.7</w:t>
            </w:r>
            <w:r>
              <w:rPr>
                <w:rFonts w:hint="eastAsia"/>
                <w:bCs/>
                <w:szCs w:val="21"/>
              </w:rPr>
              <w:t>8m</w:t>
            </w:r>
            <w:r>
              <w:rPr>
                <w:rFonts w:hint="eastAsia"/>
                <w:bCs/>
                <w:szCs w:val="21"/>
                <w:vertAlign w:val="superscript"/>
              </w:rPr>
              <w:t>3</w:t>
            </w:r>
            <w:r>
              <w:rPr>
                <w:rFonts w:hint="eastAsia"/>
                <w:bCs/>
                <w:szCs w:val="21"/>
              </w:rPr>
              <w:t>/a（0.00</w:t>
            </w:r>
            <w:r>
              <w:rPr>
                <w:rFonts w:hint="eastAsia"/>
                <w:bCs/>
                <w:szCs w:val="21"/>
                <w:lang w:val="en-US" w:eastAsia="zh-CN"/>
              </w:rPr>
              <w:t>2</w:t>
            </w:r>
            <w:r>
              <w:rPr>
                <w:rFonts w:hint="eastAsia"/>
                <w:bCs/>
                <w:szCs w:val="21"/>
              </w:rPr>
              <w:t>6m</w:t>
            </w:r>
            <w:r>
              <w:rPr>
                <w:rFonts w:hint="eastAsia"/>
                <w:bCs/>
                <w:szCs w:val="21"/>
                <w:vertAlign w:val="superscript"/>
              </w:rPr>
              <w:t>3</w:t>
            </w:r>
            <w:r>
              <w:rPr>
                <w:rFonts w:hint="eastAsia"/>
                <w:bCs/>
                <w:szCs w:val="21"/>
              </w:rPr>
              <w:t>/d）。此工序无废水产生。</w:t>
            </w:r>
          </w:p>
          <w:p w14:paraId="5215311D">
            <w:pPr>
              <w:spacing w:line="360" w:lineRule="auto"/>
              <w:ind w:firstLine="420" w:firstLineChars="200"/>
              <w:rPr>
                <w:rFonts w:hint="default" w:ascii="宋体" w:hAnsi="宋体" w:eastAsia="宋体" w:cs="宋体"/>
                <w:bCs/>
                <w:szCs w:val="21"/>
                <w:lang w:val="en-US" w:eastAsia="zh-CN"/>
              </w:rPr>
            </w:pPr>
            <w:r>
              <w:rPr>
                <w:rFonts w:hint="eastAsia" w:ascii="宋体" w:hAnsi="宋体" w:eastAsia="宋体" w:cs="宋体"/>
                <w:bCs/>
                <w:szCs w:val="21"/>
                <w:lang w:val="en-US" w:eastAsia="zh-CN"/>
              </w:rPr>
              <w:t>④湿式作业用水：</w:t>
            </w:r>
            <w:r>
              <w:rPr>
                <w:rFonts w:hint="eastAsia"/>
                <w:bCs/>
                <w:szCs w:val="21"/>
                <w:lang w:val="en-US" w:eastAsia="zh-CN"/>
              </w:rPr>
              <w:t>根据《山西用水定额 第2部分：工业企业用水定额》（DB14/1048.2-2020），结合企业提供的资料，砖/石加工过程中采用湿式作业方式除尘，用水量约为2.3m</w:t>
            </w:r>
            <w:r>
              <w:rPr>
                <w:rFonts w:hint="eastAsia"/>
                <w:bCs/>
                <w:szCs w:val="21"/>
                <w:vertAlign w:val="superscript"/>
                <w:lang w:val="en-US" w:eastAsia="zh-CN"/>
              </w:rPr>
              <w:t>3</w:t>
            </w:r>
            <w:r>
              <w:rPr>
                <w:rFonts w:hint="eastAsia"/>
                <w:bCs/>
                <w:szCs w:val="21"/>
                <w:lang w:val="en-US" w:eastAsia="zh-CN"/>
              </w:rPr>
              <w:t>/m</w:t>
            </w:r>
            <w:r>
              <w:rPr>
                <w:rFonts w:hint="eastAsia"/>
                <w:bCs/>
                <w:szCs w:val="21"/>
                <w:vertAlign w:val="superscript"/>
                <w:lang w:val="en-US" w:eastAsia="zh-CN"/>
              </w:rPr>
              <w:t>2</w:t>
            </w:r>
            <w:r>
              <w:rPr>
                <w:rFonts w:hint="eastAsia"/>
                <w:bCs/>
                <w:szCs w:val="21"/>
                <w:lang w:val="en-US" w:eastAsia="zh-CN"/>
              </w:rPr>
              <w:t>，本项目砖/石雕刻面积约10000m</w:t>
            </w:r>
            <w:r>
              <w:rPr>
                <w:rFonts w:hint="eastAsia"/>
                <w:bCs/>
                <w:szCs w:val="21"/>
                <w:vertAlign w:val="superscript"/>
                <w:lang w:val="en-US" w:eastAsia="zh-CN"/>
              </w:rPr>
              <w:t>2</w:t>
            </w:r>
            <w:r>
              <w:rPr>
                <w:rFonts w:hint="eastAsia"/>
                <w:bCs/>
                <w:szCs w:val="21"/>
                <w:vertAlign w:val="baseline"/>
                <w:lang w:val="en-US" w:eastAsia="zh-CN"/>
              </w:rPr>
              <w:t>/a</w:t>
            </w:r>
            <w:r>
              <w:rPr>
                <w:rFonts w:hint="eastAsia"/>
                <w:bCs/>
                <w:szCs w:val="21"/>
                <w:lang w:val="en-US" w:eastAsia="zh-CN"/>
              </w:rPr>
              <w:t>，则此部分用水量约为23000m</w:t>
            </w:r>
            <w:r>
              <w:rPr>
                <w:rFonts w:hint="eastAsia"/>
                <w:bCs/>
                <w:szCs w:val="21"/>
                <w:vertAlign w:val="superscript"/>
                <w:lang w:val="en-US" w:eastAsia="zh-CN"/>
              </w:rPr>
              <w:t>3</w:t>
            </w:r>
            <w:r>
              <w:rPr>
                <w:rFonts w:hint="eastAsia"/>
                <w:bCs/>
                <w:szCs w:val="21"/>
                <w:lang w:val="en-US" w:eastAsia="zh-CN"/>
              </w:rPr>
              <w:t>/a（7</w:t>
            </w:r>
            <w:r>
              <w:rPr>
                <w:rFonts w:hint="eastAsia"/>
                <w:bCs/>
                <w:szCs w:val="21"/>
              </w:rPr>
              <w:t>6</w:t>
            </w:r>
            <w:r>
              <w:rPr>
                <w:rFonts w:hint="eastAsia"/>
                <w:bCs/>
                <w:szCs w:val="21"/>
                <w:lang w:val="en-US" w:eastAsia="zh-CN"/>
              </w:rPr>
              <w:t>.67</w:t>
            </w:r>
            <w:r>
              <w:rPr>
                <w:rFonts w:hint="eastAsia"/>
                <w:bCs/>
                <w:szCs w:val="21"/>
              </w:rPr>
              <w:t>m</w:t>
            </w:r>
            <w:r>
              <w:rPr>
                <w:rFonts w:hint="eastAsia"/>
                <w:bCs/>
                <w:szCs w:val="21"/>
                <w:vertAlign w:val="superscript"/>
              </w:rPr>
              <w:t>3</w:t>
            </w:r>
            <w:r>
              <w:rPr>
                <w:rFonts w:hint="eastAsia"/>
                <w:bCs/>
                <w:szCs w:val="21"/>
              </w:rPr>
              <w:t>/d</w:t>
            </w:r>
            <w:r>
              <w:rPr>
                <w:rFonts w:hint="eastAsia"/>
                <w:bCs/>
                <w:szCs w:val="21"/>
                <w:lang w:val="en-US" w:eastAsia="zh-CN"/>
              </w:rPr>
              <w:t>）；排水量按80%计。废水与颗粒物形成的泥浆经车间地面设置的收集管道进入沉淀池内，沉淀后循环使用。</w:t>
            </w:r>
          </w:p>
          <w:p w14:paraId="7DE352B9">
            <w:pPr>
              <w:spacing w:line="360" w:lineRule="auto"/>
              <w:ind w:firstLine="420" w:firstLineChars="200"/>
              <w:rPr>
                <w:rFonts w:hint="default"/>
                <w:lang w:val="en-US" w:eastAsia="zh-CN"/>
              </w:rPr>
            </w:pPr>
            <w:r>
              <w:rPr>
                <w:rFonts w:hint="eastAsia"/>
                <w:bCs/>
                <w:szCs w:val="21"/>
                <w:lang w:val="en-US" w:eastAsia="zh-CN"/>
              </w:rPr>
              <w:t>⑤软化用水及锅炉用水：本项目设置有1台2t/h燃天然气蒸汽锅炉，锅炉用水采用软水，软水制备装置制备效率为80%，</w:t>
            </w:r>
            <w:r>
              <w:rPr>
                <w:rFonts w:hint="eastAsia"/>
                <w:lang w:val="en-US" w:eastAsia="zh-CN"/>
              </w:rPr>
              <w:t>冷凝水闭路循环使用。为保持蒸汽质量的稳定，定期从锅炉内排除含杂质锅炉排水，根据《排放源统计调查产排污核算方法和系数手册》（2021年）可知，锅炉排水按13.56t/万m</w:t>
            </w:r>
            <w:r>
              <w:rPr>
                <w:rFonts w:hint="eastAsia"/>
                <w:vertAlign w:val="superscript"/>
                <w:lang w:val="en-US" w:eastAsia="zh-CN"/>
              </w:rPr>
              <w:t>3</w:t>
            </w:r>
            <w:r>
              <w:rPr>
                <w:rFonts w:hint="eastAsia"/>
                <w:lang w:val="en-US" w:eastAsia="zh-CN"/>
              </w:rPr>
              <w:t>-原料计算，本项目锅炉燃用天然气，消耗量为</w:t>
            </w:r>
            <w:r>
              <w:rPr>
                <w:rFonts w:hint="eastAsia"/>
                <w:color w:val="auto"/>
                <w:lang w:val="en-US" w:eastAsia="zh-CN"/>
              </w:rPr>
              <w:t>120万m</w:t>
            </w:r>
            <w:r>
              <w:rPr>
                <w:rFonts w:hint="eastAsia"/>
                <w:color w:val="auto"/>
                <w:vertAlign w:val="superscript"/>
                <w:lang w:val="en-US" w:eastAsia="zh-CN"/>
              </w:rPr>
              <w:t>3</w:t>
            </w:r>
            <w:r>
              <w:rPr>
                <w:rFonts w:hint="eastAsia"/>
                <w:color w:val="auto"/>
                <w:lang w:val="en-US" w:eastAsia="zh-CN"/>
              </w:rPr>
              <w:t>/a，则锅炉排水量为1627.2m</w:t>
            </w:r>
            <w:r>
              <w:rPr>
                <w:rFonts w:hint="eastAsia"/>
                <w:color w:val="auto"/>
                <w:vertAlign w:val="superscript"/>
                <w:lang w:val="en-US" w:eastAsia="zh-CN"/>
              </w:rPr>
              <w:t>3</w:t>
            </w:r>
            <w:r>
              <w:rPr>
                <w:rFonts w:hint="eastAsia"/>
                <w:color w:val="auto"/>
                <w:lang w:val="en-US" w:eastAsia="zh-CN"/>
              </w:rPr>
              <w:t>/a。</w:t>
            </w:r>
            <w:r>
              <w:rPr>
                <w:rFonts w:hint="eastAsia"/>
                <w:lang w:val="en-US" w:eastAsia="zh-CN"/>
              </w:rPr>
              <w:t>蒸汽使用过程中的损耗按10%计。废水经污水管网排放。</w:t>
            </w:r>
          </w:p>
          <w:p w14:paraId="04912F43">
            <w:pPr>
              <w:spacing w:line="360" w:lineRule="auto"/>
              <w:ind w:firstLine="404" w:firstLineChars="200"/>
              <w:rPr>
                <w:szCs w:val="21"/>
              </w:rPr>
            </w:pPr>
            <w:r>
              <w:rPr>
                <w:rFonts w:hint="eastAsia" w:ascii="宋体"/>
                <w:spacing w:val="-4"/>
                <w:szCs w:val="21"/>
              </w:rPr>
              <w:t>本项目</w:t>
            </w:r>
            <w:r>
              <w:rPr>
                <w:rFonts w:ascii="宋体"/>
                <w:spacing w:val="-4"/>
                <w:szCs w:val="21"/>
              </w:rPr>
              <w:t>建成后</w:t>
            </w:r>
            <w:r>
              <w:rPr>
                <w:rFonts w:hint="eastAsia" w:ascii="宋体"/>
                <w:spacing w:val="-4"/>
                <w:szCs w:val="21"/>
              </w:rPr>
              <w:t>，</w:t>
            </w:r>
            <w:r>
              <w:rPr>
                <w:rFonts w:ascii="宋体"/>
                <w:spacing w:val="-4"/>
                <w:szCs w:val="21"/>
              </w:rPr>
              <w:t>车间冲洗废水经车间内排水地漏进入厂区内污水管道</w:t>
            </w:r>
            <w:r>
              <w:rPr>
                <w:rFonts w:hint="eastAsia" w:ascii="宋体"/>
                <w:spacing w:val="-4"/>
                <w:szCs w:val="21"/>
              </w:rPr>
              <w:t>，随</w:t>
            </w:r>
            <w:r>
              <w:rPr>
                <w:rFonts w:ascii="宋体"/>
                <w:spacing w:val="-4"/>
                <w:szCs w:val="21"/>
              </w:rPr>
              <w:t>生活污水一并进入化粪池内</w:t>
            </w:r>
            <w:r>
              <w:rPr>
                <w:rFonts w:hint="eastAsia" w:ascii="宋体"/>
                <w:spacing w:val="-4"/>
                <w:szCs w:val="21"/>
              </w:rPr>
              <w:t>，</w:t>
            </w:r>
            <w:r>
              <w:rPr>
                <w:rFonts w:ascii="宋体"/>
                <w:spacing w:val="-4"/>
                <w:szCs w:val="21"/>
              </w:rPr>
              <w:t>汇入园区污水管网系统</w:t>
            </w:r>
            <w:r>
              <w:rPr>
                <w:rFonts w:hint="eastAsia" w:ascii="宋体"/>
                <w:spacing w:val="-4"/>
                <w:szCs w:val="21"/>
              </w:rPr>
              <w:t>，</w:t>
            </w:r>
            <w:r>
              <w:rPr>
                <w:rFonts w:ascii="宋体"/>
                <w:spacing w:val="-4"/>
                <w:szCs w:val="21"/>
              </w:rPr>
              <w:t>最终进入大同御市东污水处理厂处理</w:t>
            </w:r>
            <w:r>
              <w:rPr>
                <w:rFonts w:hint="eastAsia"/>
                <w:bCs/>
                <w:color w:val="000000"/>
                <w:szCs w:val="21"/>
              </w:rPr>
              <w:t>。</w:t>
            </w:r>
            <w:r>
              <w:rPr>
                <w:szCs w:val="21"/>
              </w:rPr>
              <w:t>项目用水排水情况见表2</w:t>
            </w:r>
            <w:r>
              <w:rPr>
                <w:rFonts w:hint="eastAsia"/>
                <w:szCs w:val="21"/>
                <w:lang w:val="en-US" w:eastAsia="zh-CN"/>
              </w:rPr>
              <w:t>.5-1</w:t>
            </w:r>
            <w:r>
              <w:rPr>
                <w:szCs w:val="21"/>
              </w:rPr>
              <w:t>，水平衡图见图2-1。</w:t>
            </w:r>
          </w:p>
          <w:p w14:paraId="26DEBC43">
            <w:pPr>
              <w:pStyle w:val="79"/>
              <w:snapToGrid/>
              <w:spacing w:line="240" w:lineRule="exact"/>
              <w:ind w:firstLine="361"/>
              <w:jc w:val="center"/>
              <w:rPr>
                <w:rFonts w:ascii="Times New Roman" w:hAnsi="Times New Roman"/>
                <w:sz w:val="18"/>
                <w:szCs w:val="18"/>
              </w:rPr>
            </w:pPr>
            <w:r>
              <w:rPr>
                <w:rFonts w:ascii="Times New Roman" w:hAnsi="Times New Roman"/>
                <w:sz w:val="18"/>
                <w:szCs w:val="18"/>
              </w:rPr>
              <w:t>表2</w:t>
            </w:r>
            <w:r>
              <w:rPr>
                <w:rFonts w:hint="eastAsia" w:ascii="Times New Roman" w:hAnsi="Times New Roman"/>
                <w:sz w:val="18"/>
                <w:szCs w:val="18"/>
                <w:lang w:val="en-US" w:eastAsia="zh-CN"/>
              </w:rPr>
              <w:t>.5-1</w:t>
            </w:r>
            <w:r>
              <w:rPr>
                <w:rFonts w:ascii="Times New Roman" w:hAnsi="Times New Roman"/>
                <w:sz w:val="18"/>
                <w:szCs w:val="18"/>
              </w:rPr>
              <w:t xml:space="preserve">   本项目用水量及废水产生量一览表</w:t>
            </w:r>
          </w:p>
          <w:tbl>
            <w:tblPr>
              <w:tblStyle w:val="4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1345"/>
              <w:gridCol w:w="918"/>
              <w:gridCol w:w="1107"/>
              <w:gridCol w:w="902"/>
              <w:gridCol w:w="1070"/>
              <w:gridCol w:w="1076"/>
            </w:tblGrid>
            <w:tr w14:paraId="52E90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6" w:type="pct"/>
                  <w:vMerge w:val="restart"/>
                  <w:vAlign w:val="center"/>
                </w:tcPr>
                <w:p w14:paraId="76F03B1E">
                  <w:pPr>
                    <w:jc w:val="center"/>
                    <w:rPr>
                      <w:sz w:val="18"/>
                      <w:szCs w:val="18"/>
                    </w:rPr>
                  </w:pPr>
                  <w:r>
                    <w:rPr>
                      <w:sz w:val="18"/>
                      <w:szCs w:val="18"/>
                    </w:rPr>
                    <w:t>用水类型</w:t>
                  </w:r>
                </w:p>
              </w:tc>
              <w:tc>
                <w:tcPr>
                  <w:tcW w:w="847" w:type="pct"/>
                  <w:vMerge w:val="restart"/>
                  <w:vAlign w:val="center"/>
                </w:tcPr>
                <w:p w14:paraId="535F43AD">
                  <w:pPr>
                    <w:jc w:val="center"/>
                    <w:rPr>
                      <w:sz w:val="18"/>
                      <w:szCs w:val="18"/>
                    </w:rPr>
                  </w:pPr>
                  <w:r>
                    <w:rPr>
                      <w:sz w:val="18"/>
                      <w:szCs w:val="18"/>
                    </w:rPr>
                    <w:t>用水指标</w:t>
                  </w:r>
                </w:p>
              </w:tc>
              <w:tc>
                <w:tcPr>
                  <w:tcW w:w="1275" w:type="pct"/>
                  <w:gridSpan w:val="2"/>
                  <w:vAlign w:val="center"/>
                </w:tcPr>
                <w:p w14:paraId="3151F2ED">
                  <w:pPr>
                    <w:jc w:val="center"/>
                    <w:rPr>
                      <w:sz w:val="18"/>
                      <w:szCs w:val="18"/>
                    </w:rPr>
                  </w:pPr>
                  <w:r>
                    <w:rPr>
                      <w:sz w:val="18"/>
                      <w:szCs w:val="18"/>
                    </w:rPr>
                    <w:t>用水量</w:t>
                  </w:r>
                </w:p>
                <w:p w14:paraId="3253AC23">
                  <w:pPr>
                    <w:jc w:val="center"/>
                    <w:rPr>
                      <w:sz w:val="18"/>
                      <w:szCs w:val="18"/>
                    </w:rPr>
                  </w:pPr>
                  <w:r>
                    <w:rPr>
                      <w:sz w:val="18"/>
                      <w:szCs w:val="18"/>
                    </w:rPr>
                    <w:t>（m</w:t>
                  </w:r>
                  <w:r>
                    <w:rPr>
                      <w:sz w:val="18"/>
                      <w:szCs w:val="18"/>
                      <w:vertAlign w:val="superscript"/>
                    </w:rPr>
                    <w:t>3</w:t>
                  </w:r>
                  <w:r>
                    <w:rPr>
                      <w:sz w:val="18"/>
                      <w:szCs w:val="18"/>
                    </w:rPr>
                    <w:t>）</w:t>
                  </w:r>
                </w:p>
              </w:tc>
              <w:tc>
                <w:tcPr>
                  <w:tcW w:w="1242" w:type="pct"/>
                  <w:gridSpan w:val="2"/>
                  <w:vAlign w:val="center"/>
                </w:tcPr>
                <w:p w14:paraId="0C73ACB5">
                  <w:pPr>
                    <w:jc w:val="center"/>
                    <w:rPr>
                      <w:sz w:val="18"/>
                      <w:szCs w:val="18"/>
                    </w:rPr>
                  </w:pPr>
                  <w:r>
                    <w:rPr>
                      <w:sz w:val="18"/>
                      <w:szCs w:val="18"/>
                    </w:rPr>
                    <w:t>废水排放量（m</w:t>
                  </w:r>
                  <w:r>
                    <w:rPr>
                      <w:sz w:val="18"/>
                      <w:szCs w:val="18"/>
                      <w:vertAlign w:val="superscript"/>
                    </w:rPr>
                    <w:t>3</w:t>
                  </w:r>
                  <w:r>
                    <w:rPr>
                      <w:sz w:val="18"/>
                      <w:szCs w:val="18"/>
                    </w:rPr>
                    <w:t>）</w:t>
                  </w:r>
                </w:p>
              </w:tc>
              <w:tc>
                <w:tcPr>
                  <w:tcW w:w="677" w:type="pct"/>
                  <w:vMerge w:val="restart"/>
                  <w:vAlign w:val="center"/>
                </w:tcPr>
                <w:p w14:paraId="506310B7">
                  <w:pPr>
                    <w:jc w:val="center"/>
                    <w:rPr>
                      <w:sz w:val="18"/>
                      <w:szCs w:val="18"/>
                    </w:rPr>
                  </w:pPr>
                  <w:r>
                    <w:rPr>
                      <w:rFonts w:hint="eastAsia"/>
                      <w:sz w:val="18"/>
                      <w:szCs w:val="18"/>
                    </w:rPr>
                    <w:t>备注</w:t>
                  </w:r>
                </w:p>
              </w:tc>
            </w:tr>
            <w:tr w14:paraId="351B2B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6" w:type="pct"/>
                  <w:vMerge w:val="continue"/>
                  <w:vAlign w:val="center"/>
                </w:tcPr>
                <w:p w14:paraId="0F6A0D65">
                  <w:pPr>
                    <w:jc w:val="center"/>
                    <w:rPr>
                      <w:sz w:val="18"/>
                      <w:szCs w:val="18"/>
                    </w:rPr>
                  </w:pPr>
                </w:p>
              </w:tc>
              <w:tc>
                <w:tcPr>
                  <w:tcW w:w="847" w:type="pct"/>
                  <w:vMerge w:val="continue"/>
                  <w:vAlign w:val="center"/>
                </w:tcPr>
                <w:p w14:paraId="46769205">
                  <w:pPr>
                    <w:jc w:val="center"/>
                    <w:rPr>
                      <w:sz w:val="18"/>
                      <w:szCs w:val="18"/>
                    </w:rPr>
                  </w:pPr>
                </w:p>
              </w:tc>
              <w:tc>
                <w:tcPr>
                  <w:tcW w:w="578" w:type="pct"/>
                  <w:vAlign w:val="center"/>
                </w:tcPr>
                <w:p w14:paraId="02E8E2C7">
                  <w:pPr>
                    <w:jc w:val="center"/>
                    <w:rPr>
                      <w:sz w:val="18"/>
                      <w:szCs w:val="18"/>
                    </w:rPr>
                  </w:pPr>
                  <w:r>
                    <w:rPr>
                      <w:sz w:val="18"/>
                      <w:szCs w:val="18"/>
                    </w:rPr>
                    <w:t>日用</w:t>
                  </w:r>
                </w:p>
                <w:p w14:paraId="14EFD838">
                  <w:pPr>
                    <w:jc w:val="center"/>
                    <w:rPr>
                      <w:sz w:val="18"/>
                      <w:szCs w:val="18"/>
                    </w:rPr>
                  </w:pPr>
                  <w:r>
                    <w:rPr>
                      <w:sz w:val="18"/>
                      <w:szCs w:val="18"/>
                    </w:rPr>
                    <w:t>水量</w:t>
                  </w:r>
                </w:p>
              </w:tc>
              <w:tc>
                <w:tcPr>
                  <w:tcW w:w="697" w:type="pct"/>
                  <w:vAlign w:val="center"/>
                </w:tcPr>
                <w:p w14:paraId="5ECEACC3">
                  <w:pPr>
                    <w:jc w:val="center"/>
                    <w:rPr>
                      <w:sz w:val="18"/>
                      <w:szCs w:val="18"/>
                    </w:rPr>
                  </w:pPr>
                  <w:r>
                    <w:rPr>
                      <w:sz w:val="18"/>
                      <w:szCs w:val="18"/>
                    </w:rPr>
                    <w:t>年用</w:t>
                  </w:r>
                </w:p>
                <w:p w14:paraId="15488651">
                  <w:pPr>
                    <w:jc w:val="center"/>
                    <w:rPr>
                      <w:sz w:val="18"/>
                      <w:szCs w:val="18"/>
                    </w:rPr>
                  </w:pPr>
                  <w:r>
                    <w:rPr>
                      <w:sz w:val="18"/>
                      <w:szCs w:val="18"/>
                    </w:rPr>
                    <w:t>水量</w:t>
                  </w:r>
                </w:p>
              </w:tc>
              <w:tc>
                <w:tcPr>
                  <w:tcW w:w="568" w:type="pct"/>
                  <w:vAlign w:val="center"/>
                </w:tcPr>
                <w:p w14:paraId="4D9E7B16">
                  <w:pPr>
                    <w:jc w:val="center"/>
                    <w:rPr>
                      <w:sz w:val="18"/>
                      <w:szCs w:val="18"/>
                    </w:rPr>
                  </w:pPr>
                  <w:r>
                    <w:rPr>
                      <w:sz w:val="18"/>
                      <w:szCs w:val="18"/>
                    </w:rPr>
                    <w:t>日排</w:t>
                  </w:r>
                </w:p>
                <w:p w14:paraId="6B9659C1">
                  <w:pPr>
                    <w:jc w:val="center"/>
                    <w:rPr>
                      <w:sz w:val="18"/>
                      <w:szCs w:val="18"/>
                    </w:rPr>
                  </w:pPr>
                  <w:r>
                    <w:rPr>
                      <w:sz w:val="18"/>
                      <w:szCs w:val="18"/>
                    </w:rPr>
                    <w:t>水量</w:t>
                  </w:r>
                </w:p>
              </w:tc>
              <w:tc>
                <w:tcPr>
                  <w:tcW w:w="674" w:type="pct"/>
                  <w:vAlign w:val="center"/>
                </w:tcPr>
                <w:p w14:paraId="7393D022">
                  <w:pPr>
                    <w:jc w:val="center"/>
                    <w:rPr>
                      <w:sz w:val="18"/>
                      <w:szCs w:val="18"/>
                    </w:rPr>
                  </w:pPr>
                  <w:r>
                    <w:rPr>
                      <w:sz w:val="18"/>
                      <w:szCs w:val="18"/>
                    </w:rPr>
                    <w:t>年排</w:t>
                  </w:r>
                </w:p>
                <w:p w14:paraId="63D1B70B">
                  <w:pPr>
                    <w:jc w:val="center"/>
                    <w:rPr>
                      <w:sz w:val="18"/>
                      <w:szCs w:val="18"/>
                    </w:rPr>
                  </w:pPr>
                  <w:r>
                    <w:rPr>
                      <w:sz w:val="18"/>
                      <w:szCs w:val="18"/>
                    </w:rPr>
                    <w:t>水量</w:t>
                  </w:r>
                </w:p>
              </w:tc>
              <w:tc>
                <w:tcPr>
                  <w:tcW w:w="677" w:type="pct"/>
                  <w:vMerge w:val="continue"/>
                  <w:vAlign w:val="center"/>
                </w:tcPr>
                <w:p w14:paraId="4A42DA1C">
                  <w:pPr>
                    <w:jc w:val="center"/>
                    <w:rPr>
                      <w:sz w:val="18"/>
                      <w:szCs w:val="18"/>
                    </w:rPr>
                  </w:pPr>
                </w:p>
              </w:tc>
            </w:tr>
            <w:tr w14:paraId="4E60A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956" w:type="pct"/>
                  <w:vAlign w:val="center"/>
                </w:tcPr>
                <w:p w14:paraId="2EDD45EC">
                  <w:pPr>
                    <w:jc w:val="center"/>
                    <w:rPr>
                      <w:sz w:val="18"/>
                      <w:szCs w:val="18"/>
                    </w:rPr>
                  </w:pPr>
                  <w:r>
                    <w:rPr>
                      <w:sz w:val="18"/>
                      <w:szCs w:val="18"/>
                    </w:rPr>
                    <w:t>办公生活</w:t>
                  </w:r>
                </w:p>
              </w:tc>
              <w:tc>
                <w:tcPr>
                  <w:tcW w:w="847" w:type="pct"/>
                  <w:vAlign w:val="center"/>
                </w:tcPr>
                <w:p w14:paraId="06AAE5E9">
                  <w:pPr>
                    <w:jc w:val="center"/>
                    <w:rPr>
                      <w:sz w:val="18"/>
                      <w:szCs w:val="18"/>
                    </w:rPr>
                  </w:pPr>
                  <w:r>
                    <w:rPr>
                      <w:rFonts w:hint="eastAsia"/>
                      <w:sz w:val="18"/>
                      <w:szCs w:val="18"/>
                    </w:rPr>
                    <w:t>100L/p·d</w:t>
                  </w:r>
                </w:p>
              </w:tc>
              <w:tc>
                <w:tcPr>
                  <w:tcW w:w="578" w:type="pct"/>
                  <w:tcBorders>
                    <w:bottom w:val="single" w:color="auto" w:sz="4" w:space="0"/>
                  </w:tcBorders>
                  <w:vAlign w:val="center"/>
                </w:tcPr>
                <w:p w14:paraId="545F0983">
                  <w:pPr>
                    <w:jc w:val="center"/>
                    <w:rPr>
                      <w:sz w:val="18"/>
                      <w:szCs w:val="18"/>
                    </w:rPr>
                  </w:pPr>
                  <w:r>
                    <w:rPr>
                      <w:rFonts w:hint="eastAsia"/>
                      <w:sz w:val="18"/>
                      <w:szCs w:val="18"/>
                    </w:rPr>
                    <w:t>5.0</w:t>
                  </w:r>
                </w:p>
              </w:tc>
              <w:tc>
                <w:tcPr>
                  <w:tcW w:w="697" w:type="pct"/>
                  <w:vAlign w:val="center"/>
                </w:tcPr>
                <w:p w14:paraId="7A3C67ED">
                  <w:pPr>
                    <w:jc w:val="center"/>
                    <w:rPr>
                      <w:sz w:val="18"/>
                      <w:szCs w:val="18"/>
                    </w:rPr>
                  </w:pPr>
                  <w:r>
                    <w:rPr>
                      <w:rFonts w:hint="eastAsia"/>
                      <w:sz w:val="18"/>
                      <w:szCs w:val="18"/>
                    </w:rPr>
                    <w:t>1500</w:t>
                  </w:r>
                </w:p>
              </w:tc>
              <w:tc>
                <w:tcPr>
                  <w:tcW w:w="568" w:type="pct"/>
                  <w:vAlign w:val="center"/>
                </w:tcPr>
                <w:p w14:paraId="43327896">
                  <w:pPr>
                    <w:jc w:val="center"/>
                    <w:rPr>
                      <w:sz w:val="18"/>
                      <w:szCs w:val="18"/>
                    </w:rPr>
                  </w:pPr>
                  <w:r>
                    <w:rPr>
                      <w:rFonts w:hint="eastAsia"/>
                      <w:sz w:val="18"/>
                      <w:szCs w:val="18"/>
                    </w:rPr>
                    <w:t>4.0</w:t>
                  </w:r>
                </w:p>
              </w:tc>
              <w:tc>
                <w:tcPr>
                  <w:tcW w:w="674" w:type="pct"/>
                  <w:vAlign w:val="center"/>
                </w:tcPr>
                <w:p w14:paraId="2BBBC42A">
                  <w:pPr>
                    <w:jc w:val="center"/>
                    <w:rPr>
                      <w:sz w:val="18"/>
                      <w:szCs w:val="18"/>
                    </w:rPr>
                  </w:pPr>
                  <w:r>
                    <w:rPr>
                      <w:rFonts w:hint="eastAsia"/>
                      <w:sz w:val="18"/>
                      <w:szCs w:val="18"/>
                    </w:rPr>
                    <w:t>1200</w:t>
                  </w:r>
                </w:p>
              </w:tc>
              <w:tc>
                <w:tcPr>
                  <w:tcW w:w="677" w:type="pct"/>
                  <w:vAlign w:val="center"/>
                </w:tcPr>
                <w:p w14:paraId="6287EB9B">
                  <w:pPr>
                    <w:jc w:val="center"/>
                    <w:rPr>
                      <w:sz w:val="18"/>
                      <w:szCs w:val="18"/>
                    </w:rPr>
                  </w:pPr>
                </w:p>
              </w:tc>
            </w:tr>
            <w:tr w14:paraId="361585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956" w:type="pct"/>
                  <w:vAlign w:val="center"/>
                </w:tcPr>
                <w:p w14:paraId="76B9B32A">
                  <w:pPr>
                    <w:jc w:val="center"/>
                    <w:rPr>
                      <w:sz w:val="18"/>
                      <w:szCs w:val="18"/>
                    </w:rPr>
                  </w:pPr>
                  <w:r>
                    <w:rPr>
                      <w:sz w:val="18"/>
                      <w:szCs w:val="18"/>
                    </w:rPr>
                    <w:t>车间地面冲洗</w:t>
                  </w:r>
                </w:p>
              </w:tc>
              <w:tc>
                <w:tcPr>
                  <w:tcW w:w="847" w:type="pct"/>
                  <w:vAlign w:val="center"/>
                </w:tcPr>
                <w:p w14:paraId="52D8A3FC">
                  <w:pPr>
                    <w:jc w:val="center"/>
                    <w:rPr>
                      <w:sz w:val="18"/>
                      <w:szCs w:val="18"/>
                    </w:rPr>
                  </w:pPr>
                  <w:r>
                    <w:rPr>
                      <w:rFonts w:hint="eastAsia"/>
                      <w:sz w:val="18"/>
                      <w:szCs w:val="18"/>
                    </w:rPr>
                    <w:t>0.2m</w:t>
                  </w:r>
                  <w:r>
                    <w:rPr>
                      <w:rFonts w:hint="eastAsia"/>
                      <w:sz w:val="18"/>
                      <w:szCs w:val="18"/>
                      <w:vertAlign w:val="superscript"/>
                    </w:rPr>
                    <w:t>3</w:t>
                  </w:r>
                  <w:r>
                    <w:rPr>
                      <w:rFonts w:hint="eastAsia"/>
                      <w:sz w:val="18"/>
                      <w:szCs w:val="18"/>
                    </w:rPr>
                    <w:t>/m</w:t>
                  </w:r>
                  <w:r>
                    <w:rPr>
                      <w:rFonts w:hint="eastAsia"/>
                      <w:sz w:val="18"/>
                      <w:szCs w:val="18"/>
                      <w:vertAlign w:val="superscript"/>
                    </w:rPr>
                    <w:t>2</w:t>
                  </w:r>
                  <w:r>
                    <w:rPr>
                      <w:rFonts w:hint="eastAsia"/>
                      <w:sz w:val="18"/>
                      <w:szCs w:val="18"/>
                    </w:rPr>
                    <w:t>·次</w:t>
                  </w:r>
                </w:p>
              </w:tc>
              <w:tc>
                <w:tcPr>
                  <w:tcW w:w="578" w:type="pct"/>
                  <w:tcBorders>
                    <w:top w:val="single" w:color="auto" w:sz="4" w:space="0"/>
                  </w:tcBorders>
                  <w:vAlign w:val="center"/>
                </w:tcPr>
                <w:p w14:paraId="05B696CE">
                  <w:pPr>
                    <w:jc w:val="center"/>
                    <w:rPr>
                      <w:sz w:val="18"/>
                      <w:szCs w:val="18"/>
                    </w:rPr>
                  </w:pPr>
                  <w:r>
                    <w:rPr>
                      <w:rFonts w:hint="eastAsia"/>
                      <w:sz w:val="18"/>
                      <w:szCs w:val="18"/>
                    </w:rPr>
                    <w:t>5.45</w:t>
                  </w:r>
                </w:p>
              </w:tc>
              <w:tc>
                <w:tcPr>
                  <w:tcW w:w="697" w:type="pct"/>
                  <w:vAlign w:val="center"/>
                </w:tcPr>
                <w:p w14:paraId="53DF5C57">
                  <w:pPr>
                    <w:jc w:val="center"/>
                    <w:rPr>
                      <w:sz w:val="18"/>
                      <w:szCs w:val="18"/>
                    </w:rPr>
                  </w:pPr>
                  <w:r>
                    <w:rPr>
                      <w:rFonts w:hint="eastAsia"/>
                      <w:sz w:val="18"/>
                      <w:szCs w:val="18"/>
                    </w:rPr>
                    <w:t>1635</w:t>
                  </w:r>
                </w:p>
              </w:tc>
              <w:tc>
                <w:tcPr>
                  <w:tcW w:w="568" w:type="pct"/>
                  <w:vAlign w:val="center"/>
                </w:tcPr>
                <w:p w14:paraId="50C98CE4">
                  <w:pPr>
                    <w:jc w:val="center"/>
                    <w:rPr>
                      <w:sz w:val="18"/>
                      <w:szCs w:val="18"/>
                    </w:rPr>
                  </w:pPr>
                  <w:r>
                    <w:rPr>
                      <w:rFonts w:hint="eastAsia"/>
                      <w:sz w:val="18"/>
                      <w:szCs w:val="18"/>
                    </w:rPr>
                    <w:t>4.36</w:t>
                  </w:r>
                </w:p>
              </w:tc>
              <w:tc>
                <w:tcPr>
                  <w:tcW w:w="674" w:type="pct"/>
                  <w:vAlign w:val="center"/>
                </w:tcPr>
                <w:p w14:paraId="35315AB8">
                  <w:pPr>
                    <w:jc w:val="center"/>
                    <w:rPr>
                      <w:sz w:val="18"/>
                      <w:szCs w:val="18"/>
                    </w:rPr>
                  </w:pPr>
                  <w:r>
                    <w:rPr>
                      <w:rFonts w:hint="eastAsia"/>
                      <w:sz w:val="18"/>
                      <w:szCs w:val="18"/>
                    </w:rPr>
                    <w:t>1308</w:t>
                  </w:r>
                </w:p>
              </w:tc>
              <w:tc>
                <w:tcPr>
                  <w:tcW w:w="677" w:type="pct"/>
                  <w:vAlign w:val="center"/>
                </w:tcPr>
                <w:p w14:paraId="2E3145A0">
                  <w:pPr>
                    <w:jc w:val="center"/>
                    <w:rPr>
                      <w:sz w:val="18"/>
                      <w:szCs w:val="18"/>
                    </w:rPr>
                  </w:pPr>
                </w:p>
              </w:tc>
            </w:tr>
            <w:tr w14:paraId="5A5847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956" w:type="pct"/>
                  <w:vAlign w:val="center"/>
                </w:tcPr>
                <w:p w14:paraId="131A44FB">
                  <w:pPr>
                    <w:jc w:val="center"/>
                    <w:rPr>
                      <w:sz w:val="18"/>
                      <w:szCs w:val="18"/>
                    </w:rPr>
                  </w:pPr>
                  <w:r>
                    <w:rPr>
                      <w:sz w:val="18"/>
                      <w:szCs w:val="18"/>
                    </w:rPr>
                    <w:t>水性漆稀释</w:t>
                  </w:r>
                </w:p>
              </w:tc>
              <w:tc>
                <w:tcPr>
                  <w:tcW w:w="847" w:type="pct"/>
                  <w:vAlign w:val="center"/>
                </w:tcPr>
                <w:p w14:paraId="23F5206F">
                  <w:pPr>
                    <w:jc w:val="center"/>
                    <w:rPr>
                      <w:sz w:val="18"/>
                      <w:szCs w:val="18"/>
                    </w:rPr>
                  </w:pPr>
                  <w:r>
                    <w:rPr>
                      <w:rFonts w:hint="eastAsia"/>
                      <w:sz w:val="18"/>
                      <w:szCs w:val="18"/>
                    </w:rPr>
                    <w:t>-</w:t>
                  </w:r>
                </w:p>
              </w:tc>
              <w:tc>
                <w:tcPr>
                  <w:tcW w:w="578" w:type="pct"/>
                  <w:tcBorders>
                    <w:top w:val="single" w:color="auto" w:sz="4" w:space="0"/>
                  </w:tcBorders>
                  <w:vAlign w:val="center"/>
                </w:tcPr>
                <w:p w14:paraId="79E35A42">
                  <w:pPr>
                    <w:jc w:val="center"/>
                    <w:rPr>
                      <w:sz w:val="18"/>
                      <w:szCs w:val="18"/>
                    </w:rPr>
                  </w:pPr>
                  <w:r>
                    <w:rPr>
                      <w:rFonts w:hint="eastAsia"/>
                      <w:sz w:val="18"/>
                      <w:szCs w:val="18"/>
                    </w:rPr>
                    <w:t>0.0066</w:t>
                  </w:r>
                </w:p>
              </w:tc>
              <w:tc>
                <w:tcPr>
                  <w:tcW w:w="697" w:type="pct"/>
                  <w:vAlign w:val="center"/>
                </w:tcPr>
                <w:p w14:paraId="37D47AF7">
                  <w:pPr>
                    <w:jc w:val="center"/>
                    <w:rPr>
                      <w:sz w:val="18"/>
                      <w:szCs w:val="18"/>
                    </w:rPr>
                  </w:pPr>
                  <w:r>
                    <w:rPr>
                      <w:rFonts w:hint="eastAsia"/>
                      <w:sz w:val="18"/>
                      <w:szCs w:val="18"/>
                    </w:rPr>
                    <w:t>1.98</w:t>
                  </w:r>
                </w:p>
              </w:tc>
              <w:tc>
                <w:tcPr>
                  <w:tcW w:w="568" w:type="pct"/>
                  <w:vAlign w:val="center"/>
                </w:tcPr>
                <w:p w14:paraId="079168CB">
                  <w:pPr>
                    <w:jc w:val="center"/>
                    <w:rPr>
                      <w:sz w:val="18"/>
                      <w:szCs w:val="18"/>
                    </w:rPr>
                  </w:pPr>
                  <w:r>
                    <w:rPr>
                      <w:rFonts w:hint="eastAsia"/>
                      <w:sz w:val="18"/>
                      <w:szCs w:val="18"/>
                    </w:rPr>
                    <w:t>0</w:t>
                  </w:r>
                </w:p>
              </w:tc>
              <w:tc>
                <w:tcPr>
                  <w:tcW w:w="674" w:type="pct"/>
                  <w:vAlign w:val="center"/>
                </w:tcPr>
                <w:p w14:paraId="21AEA3F9">
                  <w:pPr>
                    <w:jc w:val="center"/>
                    <w:rPr>
                      <w:sz w:val="18"/>
                      <w:szCs w:val="18"/>
                    </w:rPr>
                  </w:pPr>
                  <w:r>
                    <w:rPr>
                      <w:rFonts w:hint="eastAsia"/>
                      <w:sz w:val="18"/>
                      <w:szCs w:val="18"/>
                    </w:rPr>
                    <w:t>0</w:t>
                  </w:r>
                </w:p>
              </w:tc>
              <w:tc>
                <w:tcPr>
                  <w:tcW w:w="677" w:type="pct"/>
                  <w:vAlign w:val="center"/>
                </w:tcPr>
                <w:p w14:paraId="04AA0358">
                  <w:pPr>
                    <w:jc w:val="center"/>
                    <w:rPr>
                      <w:sz w:val="18"/>
                      <w:szCs w:val="18"/>
                    </w:rPr>
                  </w:pPr>
                </w:p>
              </w:tc>
            </w:tr>
            <w:tr w14:paraId="50CE55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956" w:type="pct"/>
                  <w:vAlign w:val="center"/>
                </w:tcPr>
                <w:p w14:paraId="54E8B81F">
                  <w:pPr>
                    <w:jc w:val="center"/>
                    <w:rPr>
                      <w:rFonts w:hint="default" w:eastAsia="宋体"/>
                      <w:sz w:val="18"/>
                      <w:szCs w:val="18"/>
                      <w:lang w:val="en-US" w:eastAsia="zh-CN"/>
                    </w:rPr>
                  </w:pPr>
                  <w:r>
                    <w:rPr>
                      <w:rFonts w:hint="eastAsia"/>
                      <w:sz w:val="18"/>
                      <w:szCs w:val="18"/>
                      <w:lang w:val="en-US" w:eastAsia="zh-CN"/>
                    </w:rPr>
                    <w:t>湿式作业用水</w:t>
                  </w:r>
                </w:p>
              </w:tc>
              <w:tc>
                <w:tcPr>
                  <w:tcW w:w="847" w:type="pct"/>
                  <w:vAlign w:val="center"/>
                </w:tcPr>
                <w:p w14:paraId="7CA7F89E">
                  <w:pPr>
                    <w:jc w:val="center"/>
                    <w:rPr>
                      <w:rFonts w:hint="eastAsia"/>
                      <w:sz w:val="18"/>
                      <w:szCs w:val="18"/>
                    </w:rPr>
                  </w:pPr>
                  <w:r>
                    <w:rPr>
                      <w:rFonts w:hint="eastAsia"/>
                      <w:bCs/>
                      <w:sz w:val="18"/>
                      <w:szCs w:val="18"/>
                      <w:lang w:val="en-US" w:eastAsia="zh-CN"/>
                    </w:rPr>
                    <w:t>2.3m</w:t>
                  </w:r>
                  <w:r>
                    <w:rPr>
                      <w:rFonts w:hint="eastAsia"/>
                      <w:bCs/>
                      <w:sz w:val="18"/>
                      <w:szCs w:val="18"/>
                      <w:vertAlign w:val="superscript"/>
                      <w:lang w:val="en-US" w:eastAsia="zh-CN"/>
                    </w:rPr>
                    <w:t>3</w:t>
                  </w:r>
                  <w:r>
                    <w:rPr>
                      <w:rFonts w:hint="eastAsia"/>
                      <w:bCs/>
                      <w:sz w:val="18"/>
                      <w:szCs w:val="18"/>
                      <w:lang w:val="en-US" w:eastAsia="zh-CN"/>
                    </w:rPr>
                    <w:t>/m</w:t>
                  </w:r>
                  <w:r>
                    <w:rPr>
                      <w:rFonts w:hint="eastAsia"/>
                      <w:bCs/>
                      <w:sz w:val="18"/>
                      <w:szCs w:val="18"/>
                      <w:vertAlign w:val="superscript"/>
                      <w:lang w:val="en-US" w:eastAsia="zh-CN"/>
                    </w:rPr>
                    <w:t>2</w:t>
                  </w:r>
                </w:p>
              </w:tc>
              <w:tc>
                <w:tcPr>
                  <w:tcW w:w="578" w:type="pct"/>
                  <w:tcBorders>
                    <w:top w:val="single" w:color="auto" w:sz="4" w:space="0"/>
                  </w:tcBorders>
                  <w:vAlign w:val="center"/>
                </w:tcPr>
                <w:p w14:paraId="7CB99AEA">
                  <w:pPr>
                    <w:jc w:val="center"/>
                    <w:rPr>
                      <w:rFonts w:hint="default" w:eastAsia="宋体"/>
                      <w:sz w:val="18"/>
                      <w:szCs w:val="18"/>
                      <w:lang w:val="en-US" w:eastAsia="zh-CN"/>
                    </w:rPr>
                  </w:pPr>
                  <w:r>
                    <w:rPr>
                      <w:rFonts w:hint="eastAsia"/>
                      <w:sz w:val="18"/>
                      <w:szCs w:val="18"/>
                      <w:lang w:val="en-US" w:eastAsia="zh-CN"/>
                    </w:rPr>
                    <w:t>76.67</w:t>
                  </w:r>
                </w:p>
              </w:tc>
              <w:tc>
                <w:tcPr>
                  <w:tcW w:w="697" w:type="pct"/>
                  <w:vAlign w:val="center"/>
                </w:tcPr>
                <w:p w14:paraId="105BD234">
                  <w:pPr>
                    <w:jc w:val="center"/>
                    <w:rPr>
                      <w:rFonts w:hint="default" w:eastAsia="宋体"/>
                      <w:sz w:val="18"/>
                      <w:szCs w:val="18"/>
                      <w:lang w:val="en-US" w:eastAsia="zh-CN"/>
                    </w:rPr>
                  </w:pPr>
                  <w:r>
                    <w:rPr>
                      <w:rFonts w:hint="eastAsia"/>
                      <w:sz w:val="18"/>
                      <w:szCs w:val="18"/>
                      <w:lang w:val="en-US" w:eastAsia="zh-CN"/>
                    </w:rPr>
                    <w:t>23000</w:t>
                  </w:r>
                </w:p>
              </w:tc>
              <w:tc>
                <w:tcPr>
                  <w:tcW w:w="568" w:type="pct"/>
                  <w:vAlign w:val="center"/>
                </w:tcPr>
                <w:p w14:paraId="75E8FFCC">
                  <w:pPr>
                    <w:jc w:val="center"/>
                    <w:rPr>
                      <w:rFonts w:hint="default" w:eastAsia="宋体"/>
                      <w:sz w:val="18"/>
                      <w:szCs w:val="18"/>
                      <w:lang w:val="en-US" w:eastAsia="zh-CN"/>
                    </w:rPr>
                  </w:pPr>
                  <w:r>
                    <w:rPr>
                      <w:rFonts w:hint="eastAsia"/>
                      <w:sz w:val="18"/>
                      <w:szCs w:val="18"/>
                      <w:lang w:val="en-US" w:eastAsia="zh-CN"/>
                    </w:rPr>
                    <w:t>61.34</w:t>
                  </w:r>
                </w:p>
              </w:tc>
              <w:tc>
                <w:tcPr>
                  <w:tcW w:w="674" w:type="pct"/>
                  <w:vAlign w:val="center"/>
                </w:tcPr>
                <w:p w14:paraId="554DAE7B">
                  <w:pPr>
                    <w:jc w:val="center"/>
                    <w:rPr>
                      <w:rFonts w:hint="default" w:eastAsia="宋体"/>
                      <w:sz w:val="18"/>
                      <w:szCs w:val="18"/>
                      <w:lang w:val="en-US" w:eastAsia="zh-CN"/>
                    </w:rPr>
                  </w:pPr>
                  <w:r>
                    <w:rPr>
                      <w:rFonts w:hint="eastAsia"/>
                      <w:sz w:val="18"/>
                      <w:szCs w:val="18"/>
                      <w:lang w:val="en-US" w:eastAsia="zh-CN"/>
                    </w:rPr>
                    <w:t>18400</w:t>
                  </w:r>
                </w:p>
              </w:tc>
              <w:tc>
                <w:tcPr>
                  <w:tcW w:w="677" w:type="pct"/>
                  <w:vAlign w:val="center"/>
                </w:tcPr>
                <w:p w14:paraId="41D1308E">
                  <w:pPr>
                    <w:jc w:val="center"/>
                    <w:rPr>
                      <w:sz w:val="18"/>
                      <w:szCs w:val="18"/>
                    </w:rPr>
                  </w:pPr>
                </w:p>
              </w:tc>
            </w:tr>
            <w:tr w14:paraId="4D8F7A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956" w:type="pct"/>
                  <w:vAlign w:val="center"/>
                </w:tcPr>
                <w:p w14:paraId="64A72E28">
                  <w:pPr>
                    <w:jc w:val="center"/>
                    <w:rPr>
                      <w:rFonts w:hint="default" w:eastAsia="宋体"/>
                      <w:sz w:val="18"/>
                      <w:szCs w:val="18"/>
                      <w:lang w:val="en-US" w:eastAsia="zh-CN"/>
                    </w:rPr>
                  </w:pPr>
                  <w:r>
                    <w:rPr>
                      <w:rFonts w:hint="eastAsia"/>
                      <w:sz w:val="18"/>
                      <w:szCs w:val="18"/>
                      <w:lang w:val="en-US" w:eastAsia="zh-CN"/>
                    </w:rPr>
                    <w:t>锅炉及软化用水</w:t>
                  </w:r>
                </w:p>
              </w:tc>
              <w:tc>
                <w:tcPr>
                  <w:tcW w:w="847" w:type="pct"/>
                  <w:vAlign w:val="center"/>
                </w:tcPr>
                <w:p w14:paraId="5F401084">
                  <w:pPr>
                    <w:jc w:val="center"/>
                    <w:rPr>
                      <w:rFonts w:hint="default" w:eastAsia="宋体"/>
                      <w:sz w:val="18"/>
                      <w:szCs w:val="18"/>
                      <w:lang w:val="en-US" w:eastAsia="zh-CN"/>
                    </w:rPr>
                  </w:pPr>
                  <w:r>
                    <w:rPr>
                      <w:rFonts w:hint="eastAsia"/>
                      <w:sz w:val="18"/>
                      <w:szCs w:val="18"/>
                      <w:lang w:val="en-US" w:eastAsia="zh-CN"/>
                    </w:rPr>
                    <w:t>软水制备效率80%</w:t>
                  </w:r>
                </w:p>
              </w:tc>
              <w:tc>
                <w:tcPr>
                  <w:tcW w:w="578" w:type="pct"/>
                  <w:tcBorders>
                    <w:top w:val="single" w:color="auto" w:sz="4" w:space="0"/>
                  </w:tcBorders>
                  <w:vAlign w:val="center"/>
                </w:tcPr>
                <w:p w14:paraId="1B5BB464">
                  <w:pPr>
                    <w:jc w:val="center"/>
                    <w:rPr>
                      <w:rFonts w:hint="default" w:eastAsia="宋体"/>
                      <w:sz w:val="18"/>
                      <w:szCs w:val="18"/>
                      <w:lang w:val="en-US" w:eastAsia="zh-CN"/>
                    </w:rPr>
                  </w:pPr>
                  <w:r>
                    <w:rPr>
                      <w:rFonts w:hint="eastAsia"/>
                      <w:sz w:val="18"/>
                      <w:szCs w:val="18"/>
                      <w:lang w:val="en-US" w:eastAsia="zh-CN"/>
                    </w:rPr>
                    <w:t>60</w:t>
                  </w:r>
                </w:p>
              </w:tc>
              <w:tc>
                <w:tcPr>
                  <w:tcW w:w="697" w:type="pct"/>
                  <w:vAlign w:val="center"/>
                </w:tcPr>
                <w:p w14:paraId="0CBF4DD5">
                  <w:pPr>
                    <w:jc w:val="center"/>
                    <w:rPr>
                      <w:rFonts w:hint="default" w:eastAsia="宋体"/>
                      <w:sz w:val="18"/>
                      <w:szCs w:val="18"/>
                      <w:lang w:val="en-US" w:eastAsia="zh-CN"/>
                    </w:rPr>
                  </w:pPr>
                  <w:r>
                    <w:rPr>
                      <w:rFonts w:hint="eastAsia"/>
                      <w:sz w:val="18"/>
                      <w:szCs w:val="18"/>
                      <w:lang w:val="en-US" w:eastAsia="zh-CN"/>
                    </w:rPr>
                    <w:t>18000</w:t>
                  </w:r>
                </w:p>
              </w:tc>
              <w:tc>
                <w:tcPr>
                  <w:tcW w:w="568" w:type="pct"/>
                  <w:vAlign w:val="center"/>
                </w:tcPr>
                <w:p w14:paraId="5E9378B7">
                  <w:pPr>
                    <w:jc w:val="center"/>
                    <w:rPr>
                      <w:rFonts w:hint="default" w:eastAsia="宋体"/>
                      <w:sz w:val="18"/>
                      <w:szCs w:val="18"/>
                      <w:lang w:val="en-US" w:eastAsia="zh-CN"/>
                    </w:rPr>
                  </w:pPr>
                  <w:r>
                    <w:rPr>
                      <w:rFonts w:hint="eastAsia"/>
                      <w:sz w:val="18"/>
                      <w:szCs w:val="18"/>
                      <w:lang w:val="en-US" w:eastAsia="zh-CN"/>
                    </w:rPr>
                    <w:t>14.4</w:t>
                  </w:r>
                </w:p>
              </w:tc>
              <w:tc>
                <w:tcPr>
                  <w:tcW w:w="674" w:type="pct"/>
                  <w:vAlign w:val="center"/>
                </w:tcPr>
                <w:p w14:paraId="6C119195">
                  <w:pPr>
                    <w:jc w:val="center"/>
                    <w:rPr>
                      <w:rFonts w:hint="default" w:eastAsia="宋体"/>
                      <w:sz w:val="18"/>
                      <w:szCs w:val="18"/>
                      <w:lang w:val="en-US" w:eastAsia="zh-CN"/>
                    </w:rPr>
                  </w:pPr>
                  <w:r>
                    <w:rPr>
                      <w:rFonts w:hint="eastAsia"/>
                      <w:sz w:val="18"/>
                      <w:szCs w:val="18"/>
                      <w:lang w:val="en-US" w:eastAsia="zh-CN"/>
                    </w:rPr>
                    <w:t>4320</w:t>
                  </w:r>
                </w:p>
              </w:tc>
              <w:tc>
                <w:tcPr>
                  <w:tcW w:w="677" w:type="pct"/>
                  <w:vAlign w:val="center"/>
                </w:tcPr>
                <w:p w14:paraId="30631D4F">
                  <w:pPr>
                    <w:jc w:val="center"/>
                    <w:rPr>
                      <w:sz w:val="18"/>
                      <w:szCs w:val="18"/>
                    </w:rPr>
                  </w:pPr>
                </w:p>
              </w:tc>
            </w:tr>
          </w:tbl>
          <w:p w14:paraId="5B9B1100">
            <w:pPr>
              <w:snapToGrid w:val="0"/>
              <w:rPr>
                <w:sz w:val="24"/>
              </w:rPr>
            </w:pPr>
            <w:r>
              <w:rPr>
                <w:sz w:val="21"/>
              </w:rPr>
              <w:pict>
                <v:group id="_x0000_s2125" o:spid="_x0000_s2125" o:spt="203" style="position:absolute;left:0pt;margin-left:19pt;margin-top:3.75pt;height:315.2pt;width:343pt;z-index:251668480;mso-width-relative:page;mso-height-relative:page;" coordorigin="3069,467422" coordsize="6860,6304">
                  <o:lock v:ext="edit" aspectratio="f"/>
                  <v:rect id="_x0000_s2068" o:spid="_x0000_s2068" o:spt="1" style="position:absolute;left:7969;top:469489;height:362;width:1288;" filled="f" stroked="f" coordsize="21600,21600">
                    <v:path/>
                    <v:fill on="f" focussize="0,0"/>
                    <v:stroke on="f"/>
                    <v:imagedata o:title=""/>
                    <o:lock v:ext="edit" aspectratio="f"/>
                    <v:textbox>
                      <w:txbxContent>
                        <w:p w14:paraId="384A0FCF">
                          <w:pPr>
                            <w:jc w:val="center"/>
                            <w:rPr>
                              <w:sz w:val="18"/>
                              <w:szCs w:val="18"/>
                            </w:rPr>
                          </w:pPr>
                          <w:r>
                            <w:rPr>
                              <w:rFonts w:hint="eastAsia"/>
                              <w:sz w:val="18"/>
                              <w:szCs w:val="18"/>
                            </w:rPr>
                            <w:t>化粪池</w:t>
                          </w:r>
                        </w:p>
                      </w:txbxContent>
                    </v:textbox>
                  </v:rect>
                  <v:shape id="_x0000_s2076" o:spid="_x0000_s2076" o:spt="32" type="#_x0000_t32" style="position:absolute;left:4054;top:467963;height:0;width:1595;" filled="f" stroked="t" coordsize="21600,21600">
                    <v:path arrowok="t"/>
                    <v:fill on="f" focussize="0,0"/>
                    <v:stroke color="#000000" endarrow="block"/>
                    <v:imagedata o:title=""/>
                    <o:lock v:ext="edit" aspectratio="f"/>
                  </v:shape>
                  <v:rect id="_x0000_s2080" o:spid="_x0000_s2080" o:spt="1" style="position:absolute;left:5647;top:467785;height:388;width:1330;" fillcolor="#FFFFFF" filled="t" stroked="t" coordsize="21600,21600">
                    <v:path/>
                    <v:fill on="t" color2="#FFFFFF" focussize="0,0"/>
                    <v:stroke color="#000000" joinstyle="miter"/>
                    <v:imagedata o:title=""/>
                    <o:lock v:ext="edit" aspectratio="f"/>
                    <v:textbox>
                      <w:txbxContent>
                        <w:p w14:paraId="2C55CFDC">
                          <w:pPr>
                            <w:jc w:val="center"/>
                            <w:rPr>
                              <w:sz w:val="18"/>
                              <w:szCs w:val="18"/>
                            </w:rPr>
                          </w:pPr>
                          <w:r>
                            <w:rPr>
                              <w:sz w:val="18"/>
                              <w:szCs w:val="18"/>
                            </w:rPr>
                            <w:t>办公生活</w:t>
                          </w:r>
                        </w:p>
                      </w:txbxContent>
                    </v:textbox>
                  </v:rect>
                  <v:rect id="_x0000_s2082" o:spid="_x0000_s2082" o:spt="1" style="position:absolute;left:6495;top:467422;height:364;width:745;" filled="f" stroked="f" coordsize="21600,21600">
                    <v:path/>
                    <v:fill on="f" focussize="0,0"/>
                    <v:stroke on="f"/>
                    <v:imagedata o:title=""/>
                    <o:lock v:ext="edit" aspectratio="f"/>
                    <v:textbox>
                      <w:txbxContent>
                        <w:p w14:paraId="5B2AA3A2">
                          <w:pPr>
                            <w:rPr>
                              <w:sz w:val="18"/>
                              <w:szCs w:val="18"/>
                            </w:rPr>
                          </w:pPr>
                          <w:r>
                            <w:rPr>
                              <w:rFonts w:hint="eastAsia"/>
                              <w:sz w:val="18"/>
                              <w:szCs w:val="18"/>
                            </w:rPr>
                            <w:t>384</w:t>
                          </w:r>
                        </w:p>
                      </w:txbxContent>
                    </v:textbox>
                  </v:rect>
                  <v:rect id="_x0000_s2084" o:spid="_x0000_s2084" o:spt="1" style="position:absolute;left:5606;top:468734;height:388;width:1418;" fillcolor="#FFFFFF" filled="t" stroked="t" coordsize="21600,21600">
                    <v:path/>
                    <v:fill on="t" color2="#FFFFFF" focussize="0,0"/>
                    <v:stroke color="#000000" joinstyle="miter"/>
                    <v:imagedata o:title=""/>
                    <o:lock v:ext="edit" aspectratio="f"/>
                    <v:textbox>
                      <w:txbxContent>
                        <w:p w14:paraId="53883888">
                          <w:pPr>
                            <w:jc w:val="center"/>
                            <w:rPr>
                              <w:sz w:val="18"/>
                              <w:szCs w:val="18"/>
                            </w:rPr>
                          </w:pPr>
                          <w:r>
                            <w:rPr>
                              <w:rFonts w:hint="eastAsia"/>
                              <w:sz w:val="18"/>
                              <w:szCs w:val="18"/>
                            </w:rPr>
                            <w:t>车间地面冲洗</w:t>
                          </w:r>
                        </w:p>
                      </w:txbxContent>
                    </v:textbox>
                  </v:rect>
                  <v:rect id="_x0000_s2085" o:spid="_x0000_s2085" o:spt="1" style="position:absolute;left:3069;top:467785;height:362;width:1318;" filled="f" stroked="f" coordsize="21600,21600">
                    <v:path/>
                    <v:fill on="f" focussize="0,0"/>
                    <v:stroke on="f"/>
                    <v:imagedata o:title=""/>
                    <o:lock v:ext="edit" aspectratio="f"/>
                    <v:textbox>
                      <w:txbxContent>
                        <w:p w14:paraId="1C37582B">
                          <w:pPr>
                            <w:jc w:val="center"/>
                            <w:rPr>
                              <w:sz w:val="18"/>
                              <w:szCs w:val="18"/>
                            </w:rPr>
                          </w:pPr>
                          <w:r>
                            <w:rPr>
                              <w:rFonts w:hint="eastAsia"/>
                              <w:sz w:val="18"/>
                              <w:szCs w:val="18"/>
                              <w:lang w:val="en-US" w:eastAsia="zh-CN"/>
                            </w:rPr>
                            <w:t>自来</w:t>
                          </w:r>
                          <w:r>
                            <w:rPr>
                              <w:rFonts w:hint="eastAsia"/>
                              <w:sz w:val="18"/>
                              <w:szCs w:val="18"/>
                            </w:rPr>
                            <w:t>水</w:t>
                          </w:r>
                        </w:p>
                      </w:txbxContent>
                    </v:textbox>
                  </v:rect>
                  <v:rect id="_x0000_s2086" o:spid="_x0000_s2086" o:spt="1" style="position:absolute;left:3884;top:467639;height:362;width:1011;" filled="f" stroked="f" coordsize="21600,21600">
                    <v:path/>
                    <v:fill on="f" focussize="0,0"/>
                    <v:stroke on="f"/>
                    <v:imagedata o:title=""/>
                    <o:lock v:ext="edit" aspectratio="f"/>
                    <v:textbox>
                      <w:txbxContent>
                        <w:p w14:paraId="2079E759">
                          <w:pPr>
                            <w:jc w:val="center"/>
                            <w:rPr>
                              <w:rFonts w:hint="default" w:eastAsia="宋体"/>
                              <w:sz w:val="18"/>
                              <w:szCs w:val="18"/>
                              <w:lang w:val="en-US" w:eastAsia="zh-CN"/>
                            </w:rPr>
                          </w:pPr>
                          <w:r>
                            <w:rPr>
                              <w:rFonts w:hint="eastAsia"/>
                              <w:sz w:val="18"/>
                              <w:szCs w:val="18"/>
                              <w:lang w:val="en-US" w:eastAsia="zh-CN"/>
                            </w:rPr>
                            <w:t>85.79</w:t>
                          </w:r>
                        </w:p>
                      </w:txbxContent>
                    </v:textbox>
                  </v:rect>
                  <v:rect id="_x0000_s2087" o:spid="_x0000_s2087" o:spt="1" style="position:absolute;left:6577;top:468372;height:362;width:739;" filled="f" stroked="f" coordsize="21600,21600">
                    <v:path/>
                    <v:fill on="f" focussize="0,0"/>
                    <v:stroke on="f"/>
                    <v:imagedata o:title=""/>
                    <o:lock v:ext="edit" aspectratio="f"/>
                    <v:textbox>
                      <w:txbxContent>
                        <w:p w14:paraId="77D19874">
                          <w:pPr>
                            <w:jc w:val="center"/>
                            <w:rPr>
                              <w:sz w:val="18"/>
                              <w:szCs w:val="18"/>
                            </w:rPr>
                          </w:pPr>
                          <w:r>
                            <w:rPr>
                              <w:rFonts w:hint="eastAsia"/>
                              <w:sz w:val="18"/>
                              <w:szCs w:val="18"/>
                            </w:rPr>
                            <w:t>0.89</w:t>
                          </w:r>
                        </w:p>
                      </w:txbxContent>
                    </v:textbox>
                  </v:rect>
                  <v:shape id="_x0000_s2088" o:spid="_x0000_s2088" o:spt="38" type="#_x0000_t38" style="position:absolute;left:6200;top:468587;flip:y;height:147;width:448;" filled="f" stroked="t" coordsize="21600,21600" adj="10800">
                    <v:path arrowok="t"/>
                    <v:fill on="f" focussize="0,0"/>
                    <v:stroke color="#000000" endarrow="block"/>
                    <v:imagedata o:title=""/>
                    <o:lock v:ext="edit" aspectratio="f"/>
                  </v:shape>
                  <v:shape id="_x0000_s2090" o:spid="_x0000_s2090" o:spt="32" type="#_x0000_t32" style="position:absolute;left:7008;top:467963;height:0;width:1595;" filled="f" stroked="t" coordsize="21600,21600">
                    <v:path arrowok="t"/>
                    <v:fill on="f" focussize="0,0"/>
                    <v:stroke color="#000000"/>
                    <v:imagedata o:title=""/>
                    <o:lock v:ext="edit" aspectratio="f"/>
                  </v:shape>
                  <v:shape id="_x0000_s2092" o:spid="_x0000_s2092" o:spt="32" type="#_x0000_t32" style="position:absolute;left:8603;top:467963;height:1557;width:0;" filled="f" stroked="t" coordsize="21600,21600">
                    <v:path arrowok="t"/>
                    <v:fill on="f" focussize="0,0"/>
                    <v:stroke color="#000000" endarrow="block"/>
                    <v:imagedata o:title=""/>
                    <o:lock v:ext="edit" aspectratio="f"/>
                  </v:shape>
                  <v:shape id="_x0000_s2094" o:spid="_x0000_s2094" o:spt="32" type="#_x0000_t32" style="position:absolute;left:8603;top:469975;height:545;width:0;" filled="f" stroked="t" coordsize="21600,21600">
                    <v:path arrowok="t"/>
                    <v:fill on="f" focussize="0,0"/>
                    <v:stroke color="#000000" endarrow="block"/>
                    <v:imagedata o:title=""/>
                    <o:lock v:ext="edit" aspectratio="f"/>
                  </v:shape>
                  <v:rect id="_x0000_s2096" o:spid="_x0000_s2096" o:spt="1" style="position:absolute;left:7745;top:470445;height:500;width:1572;" filled="f" stroked="f" coordsize="21600,21600">
                    <v:path/>
                    <v:fill on="f" focussize="0,0"/>
                    <v:stroke on="f"/>
                    <v:imagedata o:title=""/>
                    <o:lock v:ext="edit" aspectratio="f"/>
                    <v:textbox>
                      <w:txbxContent>
                        <w:p w14:paraId="48B896DE">
                          <w:pPr>
                            <w:jc w:val="center"/>
                            <w:rPr>
                              <w:sz w:val="18"/>
                              <w:szCs w:val="18"/>
                            </w:rPr>
                          </w:pPr>
                          <w:r>
                            <w:rPr>
                              <w:rFonts w:hint="eastAsia"/>
                              <w:sz w:val="18"/>
                              <w:szCs w:val="18"/>
                            </w:rPr>
                            <w:t>园区污水管网</w:t>
                          </w:r>
                        </w:p>
                      </w:txbxContent>
                    </v:textbox>
                  </v:rect>
                  <v:shape id="_x0000_s2097" o:spid="_x0000_s2097" o:spt="32" type="#_x0000_t32" style="position:absolute;left:4881;top:468932;height:1;width:703;" filled="f" stroked="t" coordsize="21600,21600">
                    <v:path arrowok="t"/>
                    <v:fill on="f" focussize="0,0"/>
                    <v:stroke color="#000000" endarrow="block"/>
                    <v:imagedata o:title=""/>
                    <o:lock v:ext="edit" aspectratio="f"/>
                  </v:shape>
                  <v:shape id="_x0000_s2098" o:spid="_x0000_s2098" o:spt="32" type="#_x0000_t32" style="position:absolute;left:4881;top:468003;height:4225;width:10;" filled="f" stroked="t" coordsize="21600,21600">
                    <v:path arrowok="t"/>
                    <v:fill on="f" focussize="0,0"/>
                    <v:stroke color="#000000"/>
                    <v:imagedata o:title=""/>
                    <o:lock v:ext="edit" aspectratio="f"/>
                  </v:shape>
                  <v:shape id="_x0000_s2099" o:spid="_x0000_s2099" o:spt="38" type="#_x0000_t38" style="position:absolute;left:6129;top:467639;flip:y;height:147;width:448;" filled="f" stroked="t" coordsize="21600,21600" adj="10800">
                    <v:path arrowok="t"/>
                    <v:fill on="f" focussize="0,0"/>
                    <v:stroke color="#000000" endarrow="block"/>
                    <v:imagedata o:title=""/>
                    <o:lock v:ext="edit" aspectratio="f"/>
                  </v:shape>
                  <v:shape id="_x0000_s2100" o:spid="_x0000_s2100" o:spt="32" type="#_x0000_t32" style="position:absolute;left:7024;top:468935;height:0;width:1595;" filled="f" stroked="t" coordsize="21600,21600">
                    <v:path arrowok="t"/>
                    <v:fill on="f" focussize="0,0"/>
                    <v:stroke color="#000000"/>
                    <v:imagedata o:title=""/>
                    <o:lock v:ext="edit" aspectratio="f"/>
                  </v:shape>
                  <v:rect id="_x0000_s2101" o:spid="_x0000_s2101" o:spt="1" style="position:absolute;left:4838;top:467639;height:364;width:745;" filled="f" stroked="f" coordsize="21600,21600">
                    <v:path/>
                    <v:fill on="f" focussize="0,0"/>
                    <v:stroke on="f"/>
                    <v:imagedata o:title=""/>
                    <o:lock v:ext="edit" aspectratio="f"/>
                    <v:textbox>
                      <w:txbxContent>
                        <w:p w14:paraId="22A54EE0">
                          <w:pPr>
                            <w:jc w:val="center"/>
                            <w:rPr>
                              <w:sz w:val="18"/>
                              <w:szCs w:val="18"/>
                            </w:rPr>
                          </w:pPr>
                          <w:r>
                            <w:rPr>
                              <w:rFonts w:hint="eastAsia"/>
                              <w:sz w:val="18"/>
                              <w:szCs w:val="18"/>
                            </w:rPr>
                            <w:t>5.0</w:t>
                          </w:r>
                        </w:p>
                      </w:txbxContent>
                    </v:textbox>
                  </v:rect>
                  <v:rect id="_x0000_s2102" o:spid="_x0000_s2102" o:spt="1" style="position:absolute;left:7874;top:467639;height:364;width:745;" filled="f" stroked="f" coordsize="21600,21600">
                    <v:path/>
                    <v:fill on="f" focussize="0,0"/>
                    <v:stroke on="f"/>
                    <v:imagedata o:title=""/>
                    <o:lock v:ext="edit" aspectratio="f"/>
                    <v:textbox>
                      <w:txbxContent>
                        <w:p w14:paraId="6B7B523F">
                          <w:pPr>
                            <w:jc w:val="center"/>
                            <w:rPr>
                              <w:sz w:val="18"/>
                              <w:szCs w:val="18"/>
                            </w:rPr>
                          </w:pPr>
                          <w:r>
                            <w:rPr>
                              <w:rFonts w:hint="eastAsia"/>
                              <w:sz w:val="18"/>
                              <w:szCs w:val="18"/>
                            </w:rPr>
                            <w:t>4.0</w:t>
                          </w:r>
                        </w:p>
                      </w:txbxContent>
                    </v:textbox>
                  </v:rect>
                  <v:rect id="_x0000_s2104" o:spid="_x0000_s2104" o:spt="1" style="position:absolute;left:7858;top:468587;height:364;width:745;" filled="f" stroked="f" coordsize="21600,21600">
                    <v:path/>
                    <v:fill on="f" focussize="0,0"/>
                    <v:stroke on="f"/>
                    <v:imagedata o:title=""/>
                    <o:lock v:ext="edit" aspectratio="f"/>
                    <v:textbox>
                      <w:txbxContent>
                        <w:p w14:paraId="5EC12871">
                          <w:pPr>
                            <w:jc w:val="center"/>
                            <w:rPr>
                              <w:sz w:val="18"/>
                              <w:szCs w:val="18"/>
                            </w:rPr>
                          </w:pPr>
                          <w:r>
                            <w:rPr>
                              <w:rFonts w:hint="eastAsia"/>
                              <w:sz w:val="18"/>
                              <w:szCs w:val="18"/>
                            </w:rPr>
                            <w:t>4.36</w:t>
                          </w:r>
                        </w:p>
                      </w:txbxContent>
                    </v:textbox>
                  </v:rect>
                  <v:rect id="_x0000_s2105" o:spid="_x0000_s2105" o:spt="1" style="position:absolute;left:4881;top:468653;height:362;width:739;" filled="f" stroked="f" coordsize="21600,21600">
                    <v:path/>
                    <v:fill on="f" focussize="0,0"/>
                    <v:stroke on="f"/>
                    <v:imagedata o:title=""/>
                    <o:lock v:ext="edit" aspectratio="f"/>
                    <v:textbox>
                      <w:txbxContent>
                        <w:p w14:paraId="50CA6C71">
                          <w:pPr>
                            <w:jc w:val="center"/>
                            <w:rPr>
                              <w:sz w:val="18"/>
                              <w:szCs w:val="18"/>
                            </w:rPr>
                          </w:pPr>
                          <w:r>
                            <w:rPr>
                              <w:rFonts w:hint="eastAsia"/>
                              <w:sz w:val="18"/>
                              <w:szCs w:val="18"/>
                            </w:rPr>
                            <w:t>5.45</w:t>
                          </w:r>
                        </w:p>
                      </w:txbxContent>
                    </v:textbox>
                  </v:rect>
                  <v:rect id="_x0000_s2107" o:spid="_x0000_s2107" o:spt="1" style="position:absolute;left:8572;top:468932;height:364;width:745;" filled="f" stroked="f" coordsize="21600,21600">
                    <v:path/>
                    <v:fill on="f" focussize="0,0"/>
                    <v:stroke on="f"/>
                    <v:imagedata o:title=""/>
                    <o:lock v:ext="edit" aspectratio="f"/>
                    <v:textbox>
                      <w:txbxContent>
                        <w:p w14:paraId="15F46266">
                          <w:pPr>
                            <w:jc w:val="center"/>
                            <w:rPr>
                              <w:sz w:val="18"/>
                              <w:szCs w:val="18"/>
                            </w:rPr>
                          </w:pPr>
                          <w:r>
                            <w:rPr>
                              <w:rFonts w:hint="eastAsia"/>
                              <w:sz w:val="18"/>
                              <w:szCs w:val="18"/>
                            </w:rPr>
                            <w:t>8.36</w:t>
                          </w:r>
                        </w:p>
                      </w:txbxContent>
                    </v:textbox>
                  </v:rect>
                  <v:rect id="_x0000_s2118" o:spid="_x0000_s2118" o:spt="1" style="position:absolute;left:5620;top:469463;height:388;width:1418;" fillcolor="#FFFFFF" filled="t" stroked="t" coordsize="21600,21600">
                    <v:path/>
                    <v:fill on="t" color2="#FFFFFF" focussize="0,0"/>
                    <v:stroke color="#000000" joinstyle="miter"/>
                    <v:imagedata o:title=""/>
                    <o:lock v:ext="edit" aspectratio="f"/>
                    <v:textbox>
                      <w:txbxContent>
                        <w:p w14:paraId="1D0C7B15">
                          <w:pPr>
                            <w:jc w:val="center"/>
                            <w:rPr>
                              <w:sz w:val="18"/>
                              <w:szCs w:val="18"/>
                            </w:rPr>
                          </w:pPr>
                          <w:r>
                            <w:rPr>
                              <w:rFonts w:hint="eastAsia"/>
                              <w:sz w:val="18"/>
                              <w:szCs w:val="18"/>
                            </w:rPr>
                            <w:t>水性漆稀释</w:t>
                          </w:r>
                        </w:p>
                      </w:txbxContent>
                    </v:textbox>
                  </v:rect>
                  <v:shape id="_x0000_s2119" o:spid="_x0000_s2119" o:spt="32" type="#_x0000_t32" style="position:absolute;left:4895;top:469661;height:1;width:703;" filled="f" stroked="t" coordsize="21600,21600">
                    <v:path arrowok="t"/>
                    <v:fill on="f" focussize="0,0"/>
                    <v:stroke color="#000000" endarrow="block"/>
                    <v:imagedata o:title=""/>
                    <o:lock v:ext="edit" aspectratio="f"/>
                  </v:shape>
                  <v:rect id="_x0000_s2131" o:spid="_x0000_s2131" o:spt="1" style="position:absolute;left:4758;top:469232;height:362;width:913;" filled="f" stroked="f" coordsize="21600,21600">
                    <v:path/>
                    <v:fill on="f" focussize="0,0"/>
                    <v:stroke on="f"/>
                    <v:imagedata o:title=""/>
                    <o:lock v:ext="edit" aspectratio="f"/>
                    <v:textbox>
                      <w:txbxContent>
                        <w:p w14:paraId="3CC8E321">
                          <w:pPr>
                            <w:jc w:val="center"/>
                            <w:rPr>
                              <w:sz w:val="18"/>
                              <w:szCs w:val="18"/>
                            </w:rPr>
                          </w:pPr>
                          <w:r>
                            <w:rPr>
                              <w:rFonts w:hint="eastAsia"/>
                              <w:sz w:val="18"/>
                              <w:szCs w:val="18"/>
                            </w:rPr>
                            <w:t>0.0066</w:t>
                          </w:r>
                        </w:p>
                      </w:txbxContent>
                    </v:textbox>
                  </v:rect>
                  <v:rect id="_x0000_s2070" o:spid="_x0000_s2070" o:spt="1" style="position:absolute;left:5633;top:470400;height:388;width:1418;" fillcolor="#FFFFFF" filled="t" stroked="t" coordsize="21600,21600">
                    <v:path/>
                    <v:fill on="t" color2="#FFFFFF" focussize="0,0"/>
                    <v:stroke color="#000000" joinstyle="miter"/>
                    <v:imagedata o:title=""/>
                    <o:lock v:ext="edit" aspectratio="f"/>
                    <v:textbox>
                      <w:txbxContent>
                        <w:p w14:paraId="49C3EF31">
                          <w:pPr>
                            <w:jc w:val="center"/>
                            <w:rPr>
                              <w:rFonts w:hint="default" w:eastAsia="宋体"/>
                              <w:sz w:val="18"/>
                              <w:szCs w:val="18"/>
                              <w:lang w:val="en-US" w:eastAsia="zh-CN"/>
                            </w:rPr>
                          </w:pPr>
                          <w:r>
                            <w:rPr>
                              <w:rFonts w:hint="eastAsia"/>
                              <w:sz w:val="18"/>
                              <w:szCs w:val="18"/>
                              <w:lang w:val="en-US" w:eastAsia="zh-CN"/>
                            </w:rPr>
                            <w:t>湿式作业</w:t>
                          </w:r>
                        </w:p>
                      </w:txbxContent>
                    </v:textbox>
                  </v:rect>
                  <v:shape id="_x0000_s2069" o:spid="_x0000_s2069" o:spt="32" type="#_x0000_t32" style="position:absolute;left:4908;top:470598;height:1;width:703;" filled="f" stroked="t" coordsize="21600,21600">
                    <v:path arrowok="t"/>
                    <v:fill on="f" focussize="0,0"/>
                    <v:stroke color="#000000" endarrow="block"/>
                    <v:imagedata o:title=""/>
                    <o:lock v:ext="edit" aspectratio="f"/>
                  </v:shape>
                  <v:rect id="_x0000_s2063" o:spid="_x0000_s2063" o:spt="1" style="position:absolute;left:4709;top:470232;height:362;width:913;" filled="f" stroked="f" coordsize="21600,21600">
                    <v:path/>
                    <v:fill on="f" focussize="0,0"/>
                    <v:stroke on="f"/>
                    <v:imagedata o:title=""/>
                    <o:lock v:ext="edit" aspectratio="f"/>
                    <v:textbox>
                      <w:txbxContent>
                        <w:p w14:paraId="5D9612E2">
                          <w:pPr>
                            <w:jc w:val="center"/>
                            <w:rPr>
                              <w:rFonts w:hint="default" w:eastAsia="宋体"/>
                              <w:sz w:val="18"/>
                              <w:szCs w:val="18"/>
                              <w:lang w:val="en-US" w:eastAsia="zh-CN"/>
                            </w:rPr>
                          </w:pPr>
                          <w:r>
                            <w:rPr>
                              <w:rFonts w:hint="eastAsia"/>
                              <w:sz w:val="18"/>
                              <w:szCs w:val="18"/>
                              <w:lang w:val="en-US" w:eastAsia="zh-CN"/>
                            </w:rPr>
                            <w:t>15.33</w:t>
                          </w:r>
                        </w:p>
                      </w:txbxContent>
                    </v:textbox>
                  </v:rect>
                  <v:shape id="_x0000_s2071" o:spid="_x0000_s2071" o:spt="32" type="#_x0000_t32" style="position:absolute;left:6403;top:470800;height:349;width:1;" filled="f" stroked="t" coordsize="21600,21600">
                    <v:path arrowok="t"/>
                    <v:fill on="f" focussize="0,0"/>
                    <v:stroke color="#000000" endarrow="block"/>
                    <v:imagedata o:title=""/>
                    <o:lock v:ext="edit" aspectratio="f"/>
                  </v:shape>
                  <v:rect id="_x0000_s2072" o:spid="_x0000_s2072" o:spt="1" style="position:absolute;left:5708;top:471137;height:388;width:1418;" fillcolor="#FFFFFF" filled="t" stroked="t" coordsize="21600,21600">
                    <v:path/>
                    <v:fill on="t" color2="#FFFFFF" focussize="0,0"/>
                    <v:stroke color="#000000" joinstyle="miter"/>
                    <v:imagedata o:title=""/>
                    <o:lock v:ext="edit" aspectratio="f"/>
                    <v:textbox>
                      <w:txbxContent>
                        <w:p w14:paraId="656E265E">
                          <w:pPr>
                            <w:jc w:val="center"/>
                            <w:rPr>
                              <w:rFonts w:hint="default" w:eastAsia="宋体"/>
                              <w:sz w:val="18"/>
                              <w:szCs w:val="18"/>
                              <w:lang w:val="en-US" w:eastAsia="zh-CN"/>
                            </w:rPr>
                          </w:pPr>
                          <w:r>
                            <w:rPr>
                              <w:rFonts w:hint="eastAsia"/>
                              <w:sz w:val="18"/>
                              <w:szCs w:val="18"/>
                              <w:lang w:val="en-US" w:eastAsia="zh-CN"/>
                            </w:rPr>
                            <w:t>沉淀池</w:t>
                          </w:r>
                        </w:p>
                      </w:txbxContent>
                    </v:textbox>
                  </v:rect>
                  <v:rect id="_x0000_s2073" o:spid="_x0000_s2073" o:spt="1" style="position:absolute;left:6209;top:470769;height:362;width:913;" filled="f" stroked="f" coordsize="21600,21600">
                    <v:path/>
                    <v:fill on="f" focussize="0,0"/>
                    <v:stroke on="f"/>
                    <v:imagedata o:title=""/>
                    <o:lock v:ext="edit" aspectratio="f"/>
                    <v:textbox>
                      <w:txbxContent>
                        <w:p w14:paraId="610248C3">
                          <w:pPr>
                            <w:jc w:val="center"/>
                            <w:rPr>
                              <w:rFonts w:hint="default" w:eastAsia="宋体"/>
                              <w:sz w:val="18"/>
                              <w:szCs w:val="18"/>
                              <w:lang w:val="en-US" w:eastAsia="zh-CN"/>
                            </w:rPr>
                          </w:pPr>
                          <w:r>
                            <w:rPr>
                              <w:rFonts w:hint="eastAsia"/>
                              <w:sz w:val="18"/>
                              <w:szCs w:val="18"/>
                              <w:lang w:val="en-US" w:eastAsia="zh-CN"/>
                            </w:rPr>
                            <w:t>61.34</w:t>
                          </w:r>
                        </w:p>
                      </w:txbxContent>
                    </v:textbox>
                  </v:rect>
                  <v:shape id="_x0000_s2074" o:spid="_x0000_s2074" o:spt="32" type="#_x0000_t32" style="position:absolute;left:7158;top:471323;height:7;width:421;" filled="f" stroked="t" coordsize="21600,21600">
                    <v:path arrowok="t"/>
                    <v:fill on="f" focussize="0,0"/>
                    <v:stroke color="#000000" dashstyle="1 1" endcap="round"/>
                    <v:imagedata o:title=""/>
                    <o:lock v:ext="edit" aspectratio="f"/>
                  </v:shape>
                  <v:shape id="_x0000_s2075" o:spid="_x0000_s2075" o:spt="32" type="#_x0000_t32" style="position:absolute;left:7591;top:470092;flip:x y;height:1243;width:4;" filled="f" stroked="t" coordsize="21600,21600">
                    <v:path arrowok="t"/>
                    <v:fill on="f" focussize="0,0"/>
                    <v:stroke color="#000000" dashstyle="1 1" endcap="round"/>
                    <v:imagedata o:title=""/>
                    <o:lock v:ext="edit" aspectratio="f"/>
                  </v:shape>
                  <v:shape id="_x0000_s2077" o:spid="_x0000_s2077" o:spt="32" type="#_x0000_t32" style="position:absolute;left:5204;top:470105;height:5;width:2365;" filled="f" stroked="t" coordsize="21600,21600">
                    <v:path arrowok="t"/>
                    <v:fill on="f" focussize="0,0"/>
                    <v:stroke color="#000000" dashstyle="1 1" endcap="round"/>
                    <v:imagedata o:title=""/>
                    <o:lock v:ext="edit" aspectratio="f"/>
                  </v:shape>
                  <v:rect id="_x0000_s2078" o:spid="_x0000_s2078" o:spt="1" style="position:absolute;left:5309;top:470082;height:362;width:913;" filled="f" stroked="f" coordsize="21600,21600">
                    <v:path/>
                    <v:fill on="f" focussize="0,0"/>
                    <v:stroke on="f"/>
                    <v:imagedata o:title=""/>
                    <o:lock v:ext="edit" aspectratio="f"/>
                    <v:textbox>
                      <w:txbxContent>
                        <w:p w14:paraId="351FEED5">
                          <w:pPr>
                            <w:jc w:val="center"/>
                            <w:rPr>
                              <w:rFonts w:hint="default" w:eastAsia="宋体"/>
                              <w:sz w:val="18"/>
                              <w:szCs w:val="18"/>
                              <w:lang w:val="en-US" w:eastAsia="zh-CN"/>
                            </w:rPr>
                          </w:pPr>
                          <w:r>
                            <w:rPr>
                              <w:rFonts w:hint="eastAsia"/>
                              <w:sz w:val="18"/>
                              <w:szCs w:val="18"/>
                              <w:lang w:val="en-US" w:eastAsia="zh-CN"/>
                            </w:rPr>
                            <w:t>61.34</w:t>
                          </w:r>
                        </w:p>
                      </w:txbxContent>
                    </v:textbox>
                  </v:rect>
                  <v:rect id="_x0000_s2079" o:spid="_x0000_s2079" o:spt="1" style="position:absolute;left:6859;top:470956;height:362;width:913;" filled="f" stroked="f" coordsize="21600,21600">
                    <v:path/>
                    <v:fill on="f" focussize="0,0"/>
                    <v:stroke on="f"/>
                    <v:imagedata o:title=""/>
                    <o:lock v:ext="edit" aspectratio="f"/>
                    <v:textbox>
                      <w:txbxContent>
                        <w:p w14:paraId="159300C6">
                          <w:pPr>
                            <w:jc w:val="center"/>
                            <w:rPr>
                              <w:rFonts w:hint="default" w:eastAsia="宋体"/>
                              <w:sz w:val="18"/>
                              <w:szCs w:val="18"/>
                              <w:lang w:val="en-US" w:eastAsia="zh-CN"/>
                            </w:rPr>
                          </w:pPr>
                          <w:r>
                            <w:rPr>
                              <w:rFonts w:hint="eastAsia"/>
                              <w:sz w:val="18"/>
                              <w:szCs w:val="18"/>
                              <w:lang w:val="en-US" w:eastAsia="zh-CN"/>
                            </w:rPr>
                            <w:t>回用</w:t>
                          </w:r>
                        </w:p>
                      </w:txbxContent>
                    </v:textbox>
                  </v:rect>
                  <v:shape id="_x0000_s2081" o:spid="_x0000_s2081" o:spt="32" type="#_x0000_t32" style="position:absolute;left:5229;top:470100;height:545;width:0;" filled="f" stroked="t" coordsize="21600,21600">
                    <v:path arrowok="t"/>
                    <v:fill on="f" focussize="0,0"/>
                    <v:stroke color="#000000" dashstyle="1 1" endcap="round" endarrow="block"/>
                    <v:imagedata o:title=""/>
                    <o:lock v:ext="edit" aspectratio="f"/>
                  </v:shape>
                  <v:rect id="_x0000_s2095" o:spid="_x0000_s2095" o:spt="1" style="position:absolute;left:5866;top:472049;height:388;width:1759;" fillcolor="#FFFFFF" filled="t" stroked="t" coordsize="21600,21600">
                    <v:path/>
                    <v:fill on="t" color2="#FFFFFF" focussize="0,0"/>
                    <v:stroke color="#000000" joinstyle="miter"/>
                    <v:imagedata o:title=""/>
                    <o:lock v:ext="edit" aspectratio="f"/>
                    <v:textbox>
                      <w:txbxContent>
                        <w:p w14:paraId="17C2EE28">
                          <w:pPr>
                            <w:jc w:val="center"/>
                            <w:rPr>
                              <w:rFonts w:hint="default" w:eastAsia="宋体"/>
                              <w:sz w:val="18"/>
                              <w:szCs w:val="18"/>
                              <w:lang w:val="en-US" w:eastAsia="zh-CN"/>
                            </w:rPr>
                          </w:pPr>
                          <w:r>
                            <w:rPr>
                              <w:rFonts w:hint="eastAsia"/>
                              <w:sz w:val="18"/>
                              <w:szCs w:val="18"/>
                              <w:lang w:val="en-US" w:eastAsia="zh-CN"/>
                            </w:rPr>
                            <w:t>软水制备用水</w:t>
                          </w:r>
                        </w:p>
                      </w:txbxContent>
                    </v:textbox>
                  </v:rect>
                  <v:rect id="_x0000_s2083" o:spid="_x0000_s2083" o:spt="1" style="position:absolute;left:5077;top:471965;height:363;width:741;" filled="f" stroked="f" coordsize="21600,21600">
                    <v:path/>
                    <v:fill on="f" focussize="0,0"/>
                    <v:stroke on="f"/>
                    <v:imagedata o:title=""/>
                    <o:lock v:ext="edit" aspectratio="f"/>
                    <v:textbox>
                      <w:txbxContent>
                        <w:p w14:paraId="0AC4C24D">
                          <w:pPr>
                            <w:jc w:val="center"/>
                            <w:rPr>
                              <w:rFonts w:hint="default" w:eastAsia="宋体"/>
                              <w:sz w:val="18"/>
                              <w:szCs w:val="18"/>
                              <w:lang w:val="en-US" w:eastAsia="zh-CN"/>
                            </w:rPr>
                          </w:pPr>
                          <w:r>
                            <w:rPr>
                              <w:rFonts w:hint="eastAsia"/>
                              <w:sz w:val="18"/>
                              <w:szCs w:val="18"/>
                              <w:lang w:val="en-US" w:eastAsia="zh-CN"/>
                            </w:rPr>
                            <w:t>60</w:t>
                          </w:r>
                        </w:p>
                      </w:txbxContent>
                    </v:textbox>
                  </v:rect>
                  <v:shape id="_x0000_s2093" o:spid="_x0000_s2093" o:spt="32" type="#_x0000_t32" style="position:absolute;left:4906;top:472238;height:8;width:967;" filled="f" stroked="t" coordsize="21600,21600">
                    <v:path arrowok="t"/>
                    <v:fill on="f" focussize="0,0"/>
                    <v:stroke color="#000000" endarrow="block"/>
                    <v:imagedata o:title=""/>
                    <o:lock v:ext="edit" aspectratio="f"/>
                  </v:shape>
                  <v:rect id="_x0000_s2091" o:spid="_x0000_s2091" o:spt="1" style="position:absolute;left:7790;top:471988;height:363;width:606;" filled="f" stroked="f" coordsize="21600,21600">
                    <v:path/>
                    <v:fill on="f" focussize="0,0"/>
                    <v:stroke on="f"/>
                    <v:imagedata o:title=""/>
                    <o:lock v:ext="edit" aspectratio="f"/>
                    <v:textbox>
                      <w:txbxContent>
                        <w:p w14:paraId="06CC961B">
                          <w:pPr>
                            <w:jc w:val="center"/>
                            <w:rPr>
                              <w:rFonts w:hint="default" w:eastAsia="宋体"/>
                              <w:sz w:val="18"/>
                              <w:szCs w:val="18"/>
                              <w:lang w:val="en-US" w:eastAsia="zh-CN"/>
                            </w:rPr>
                          </w:pPr>
                          <w:r>
                            <w:rPr>
                              <w:rFonts w:hint="eastAsia"/>
                              <w:sz w:val="18"/>
                              <w:szCs w:val="18"/>
                              <w:lang w:val="en-US" w:eastAsia="zh-CN"/>
                            </w:rPr>
                            <w:t>12</w:t>
                          </w:r>
                        </w:p>
                      </w:txbxContent>
                    </v:textbox>
                  </v:rect>
                  <v:shape id="_x0000_s2089" o:spid="_x0000_s2089" o:spt="32" type="#_x0000_t32" style="position:absolute;left:7642;top:472253;flip:y;height:8;width:2268;" filled="f" stroked="t" coordsize="21600,21600">
                    <v:path arrowok="t"/>
                    <v:fill on="f" focussize="0,0"/>
                    <v:stroke color="#000000" endarrow="block"/>
                    <v:imagedata o:title=""/>
                    <o:lock v:ext="edit" aspectratio="f"/>
                  </v:shape>
                  <v:rect id="_x0000_s2110" o:spid="_x0000_s2110" o:spt="1" style="position:absolute;left:6590;top:472890;height:388;width:1540;" fillcolor="#FFFFFF" filled="t" stroked="t" coordsize="21600,21600">
                    <v:path/>
                    <v:fill on="t" color2="#FFFFFF" focussize="0,0"/>
                    <v:stroke color="#000000" joinstyle="miter"/>
                    <v:imagedata o:title=""/>
                    <o:lock v:ext="edit" aspectratio="f"/>
                    <v:textbox>
                      <w:txbxContent>
                        <w:p w14:paraId="5D0EBE5C">
                          <w:pPr>
                            <w:jc w:val="center"/>
                            <w:rPr>
                              <w:rFonts w:hint="default" w:eastAsia="宋体"/>
                              <w:sz w:val="18"/>
                              <w:szCs w:val="18"/>
                              <w:lang w:val="en-US" w:eastAsia="zh-CN"/>
                            </w:rPr>
                          </w:pPr>
                          <w:r>
                            <w:rPr>
                              <w:rFonts w:hint="eastAsia"/>
                              <w:sz w:val="18"/>
                              <w:szCs w:val="18"/>
                              <w:lang w:val="en-US" w:eastAsia="zh-CN"/>
                            </w:rPr>
                            <w:t>锅炉用水</w:t>
                          </w:r>
                        </w:p>
                      </w:txbxContent>
                    </v:textbox>
                  </v:rect>
                  <v:shape id="_x0000_s2112" o:spid="_x0000_s2112" o:spt="32" type="#_x0000_t32" style="position:absolute;left:6038;top:473070;height:8;width:567;" filled="f" stroked="t" coordsize="21600,21600">
                    <v:path arrowok="t"/>
                    <v:fill on="f" focussize="0,0"/>
                    <v:stroke color="#000000" endarrow="block"/>
                    <v:imagedata o:title=""/>
                    <o:lock v:ext="edit" aspectratio="f"/>
                  </v:shape>
                  <v:shape id="_x0000_s2109" o:spid="_x0000_s2109" o:spt="38" type="#_x0000_t38" style="position:absolute;left:7003;top:472715;flip:y;height:167;width:255;" filled="f" stroked="t" coordsize="21600,21600" adj="10758">
                    <v:path arrowok="t"/>
                    <v:fill on="f" focussize="0,0"/>
                    <v:stroke color="#000000" endarrow="block"/>
                    <v:imagedata o:title=""/>
                    <o:lock v:ext="edit" aspectratio="f"/>
                  </v:shape>
                  <v:rect id="_x0000_s2103" o:spid="_x0000_s2103" o:spt="1" style="position:absolute;left:7145;top:472559;height:440;width:1182;" filled="f" stroked="f" coordsize="21600,21600">
                    <v:path/>
                    <v:fill on="f" focussize="0,0"/>
                    <v:stroke on="f"/>
                    <v:imagedata o:title=""/>
                    <o:lock v:ext="edit" aspectratio="f"/>
                    <v:textbox>
                      <w:txbxContent>
                        <w:p w14:paraId="7C07D001">
                          <w:pPr>
                            <w:jc w:val="center"/>
                            <w:rPr>
                              <w:rFonts w:hint="default" w:eastAsia="宋体"/>
                              <w:sz w:val="18"/>
                              <w:szCs w:val="18"/>
                              <w:lang w:val="en-US" w:eastAsia="zh-CN"/>
                            </w:rPr>
                          </w:pPr>
                          <w:r>
                            <w:rPr>
                              <w:rFonts w:hint="eastAsia"/>
                              <w:sz w:val="18"/>
                              <w:szCs w:val="18"/>
                              <w:lang w:val="en-US" w:eastAsia="zh-CN"/>
                            </w:rPr>
                            <w:t>损耗4.8</w:t>
                          </w:r>
                        </w:p>
                      </w:txbxContent>
                    </v:textbox>
                  </v:rect>
                  <v:shape id="_x0000_s2111" o:spid="_x0000_s2111" o:spt="32" type="#_x0000_t32" style="position:absolute;left:8151;top:473105;height:8;width:1778;" filled="f" stroked="t" coordsize="21600,21600">
                    <v:path arrowok="t"/>
                    <v:fill on="f" focussize="0,0"/>
                    <v:stroke color="#000000" endarrow="block"/>
                    <v:imagedata o:title=""/>
                    <o:lock v:ext="edit" aspectratio="f"/>
                  </v:shape>
                  <v:shape id="_x0000_s2115" o:spid="_x0000_s2115" o:spt="32" type="#_x0000_t32" style="position:absolute;left:7050;top:473299;height:227;width:4;" filled="f" stroked="t" coordsize="21600,21600">
                    <v:path arrowok="t"/>
                    <v:fill on="f" focussize="0,0"/>
                    <v:stroke color="#000000"/>
                    <v:imagedata o:title=""/>
                    <o:lock v:ext="edit" aspectratio="f"/>
                  </v:shape>
                  <v:shape id="_x0000_s2114" o:spid="_x0000_s2114" o:spt="32" type="#_x0000_t32" style="position:absolute;left:7065;top:473519;height:8;width:567;" filled="f" stroked="t" coordsize="21600,21600">
                    <v:path arrowok="t"/>
                    <v:fill on="f" focussize="0,0"/>
                    <v:stroke color="#000000" endarrow="block"/>
                    <v:imagedata o:title=""/>
                    <o:lock v:ext="edit" aspectratio="f"/>
                  </v:shape>
                  <v:rect id="_x0000_s2113" o:spid="_x0000_s2113" o:spt="1" style="position:absolute;left:7549;top:473286;height:440;width:1414;" filled="f" stroked="f" coordsize="21600,21600">
                    <v:path/>
                    <v:fill on="f" focussize="0,0"/>
                    <v:stroke on="f"/>
                    <v:imagedata o:title=""/>
                    <o:lock v:ext="edit" aspectratio="f"/>
                    <v:textbox>
                      <w:txbxContent>
                        <w:p w14:paraId="3462B60D">
                          <w:pPr>
                            <w:jc w:val="center"/>
                            <w:rPr>
                              <w:rFonts w:hint="default" w:eastAsia="宋体"/>
                              <w:sz w:val="18"/>
                              <w:szCs w:val="18"/>
                              <w:lang w:val="en-US" w:eastAsia="zh-CN"/>
                            </w:rPr>
                          </w:pPr>
                          <w:r>
                            <w:rPr>
                              <w:rFonts w:hint="eastAsia"/>
                              <w:sz w:val="18"/>
                              <w:szCs w:val="18"/>
                              <w:lang w:val="en-US" w:eastAsia="zh-CN"/>
                            </w:rPr>
                            <w:t>提供蒸汽40.8</w:t>
                          </w:r>
                        </w:p>
                      </w:txbxContent>
                    </v:textbox>
                  </v:rect>
                  <v:rect id="_x0000_s2108" o:spid="_x0000_s2108" o:spt="1" style="position:absolute;left:8172;top:472728;height:363;width:606;" filled="f" stroked="f" coordsize="21600,21600">
                    <v:path/>
                    <v:fill on="f" focussize="0,0"/>
                    <v:stroke on="f"/>
                    <v:imagedata o:title=""/>
                    <o:lock v:ext="edit" aspectratio="f"/>
                    <v:textbox>
                      <w:txbxContent>
                        <w:p w14:paraId="4F221D81">
                          <w:pPr>
                            <w:jc w:val="center"/>
                            <w:rPr>
                              <w:rFonts w:hint="default" w:eastAsia="宋体"/>
                              <w:sz w:val="18"/>
                              <w:szCs w:val="18"/>
                              <w:lang w:val="en-US" w:eastAsia="zh-CN"/>
                            </w:rPr>
                          </w:pPr>
                          <w:r>
                            <w:rPr>
                              <w:rFonts w:hint="eastAsia"/>
                              <w:sz w:val="18"/>
                              <w:szCs w:val="18"/>
                              <w:lang w:val="en-US" w:eastAsia="zh-CN"/>
                            </w:rPr>
                            <w:t>2.4</w:t>
                          </w:r>
                        </w:p>
                      </w:txbxContent>
                    </v:textbox>
                  </v:rect>
                  <v:rect id="_x0000_s2106" o:spid="_x0000_s2106" o:spt="1" style="position:absolute;left:5944;top:472716;height:363;width:745;" filled="f" stroked="f" coordsize="21600,21600">
                    <v:path/>
                    <v:fill on="f" focussize="0,0"/>
                    <v:stroke on="f"/>
                    <v:imagedata o:title=""/>
                    <o:lock v:ext="edit" aspectratio="f"/>
                    <v:textbox>
                      <w:txbxContent>
                        <w:p w14:paraId="538E2AED">
                          <w:pPr>
                            <w:jc w:val="center"/>
                            <w:rPr>
                              <w:rFonts w:hint="default" w:eastAsia="宋体"/>
                              <w:sz w:val="18"/>
                              <w:szCs w:val="18"/>
                              <w:lang w:val="en-US" w:eastAsia="zh-CN"/>
                            </w:rPr>
                          </w:pPr>
                          <w:r>
                            <w:rPr>
                              <w:rFonts w:hint="eastAsia"/>
                              <w:sz w:val="18"/>
                              <w:szCs w:val="18"/>
                              <w:lang w:val="en-US" w:eastAsia="zh-CN"/>
                            </w:rPr>
                            <w:t>48</w:t>
                          </w:r>
                        </w:p>
                      </w:txbxContent>
                    </v:textbox>
                  </v:rect>
                  <v:shape id="_x0000_s2116" o:spid="_x0000_s2116" o:spt="32" type="#_x0000_t32" style="position:absolute;left:6029;top:472478;height:567;width:12;" filled="f" stroked="t" coordsize="21600,21600">
                    <v:path arrowok="t"/>
                    <v:fill on="f" focussize="0,0"/>
                    <v:stroke color="#000000"/>
                    <v:imagedata o:title=""/>
                    <o:lock v:ext="edit" aspectratio="f"/>
                  </v:shape>
                  <v:shape id="_x0000_s2117" o:spid="_x0000_s2117" o:spt="32" type="#_x0000_t32" style="position:absolute;left:9916;top:469666;height:3451;width:2;" filled="f" stroked="t" coordsize="21600,21600">
                    <v:path arrowok="t"/>
                    <v:fill on="f" focussize="0,0"/>
                    <v:stroke color="#000000"/>
                    <v:imagedata o:title=""/>
                    <o:lock v:ext="edit" aspectratio="f"/>
                  </v:shape>
                  <v:shape id="_x0000_s2120" o:spid="_x0000_s2120" o:spt="32" type="#_x0000_t32" style="position:absolute;left:8948;top:469678;flip:x;height:9;width:981;" filled="f" stroked="t" coordsize="21600,21600">
                    <v:path arrowok="t"/>
                    <v:fill on="f" focussize="0,0"/>
                    <v:stroke color="#000000" endarrow="block"/>
                    <v:imagedata o:title=""/>
                    <o:lock v:ext="edit" aspectratio="f"/>
                  </v:shape>
                  <v:rect id="_x0000_s2121" o:spid="_x0000_s2121" o:spt="1" style="position:absolute;left:9147;top:469295;height:364;width:745;" filled="f" stroked="f" coordsize="21600,21600">
                    <v:path/>
                    <v:fill on="f" focussize="0,0"/>
                    <v:stroke on="f"/>
                    <v:imagedata o:title=""/>
                    <o:lock v:ext="edit" aspectratio="f"/>
                    <v:textbox>
                      <w:txbxContent>
                        <w:p w14:paraId="59A1CA03">
                          <w:pPr>
                            <w:jc w:val="center"/>
                            <w:rPr>
                              <w:rFonts w:hint="default" w:eastAsia="宋体"/>
                              <w:sz w:val="18"/>
                              <w:szCs w:val="18"/>
                              <w:lang w:val="en-US" w:eastAsia="zh-CN"/>
                            </w:rPr>
                          </w:pPr>
                          <w:r>
                            <w:rPr>
                              <w:rFonts w:hint="eastAsia"/>
                              <w:sz w:val="18"/>
                              <w:szCs w:val="18"/>
                              <w:lang w:val="en-US" w:eastAsia="zh-CN"/>
                            </w:rPr>
                            <w:t>14.4</w:t>
                          </w:r>
                        </w:p>
                      </w:txbxContent>
                    </v:textbox>
                  </v:rect>
                  <v:rect id="_x0000_s2123" o:spid="_x0000_s2123" o:spt="1" style="position:absolute;left:6732;top:470010;height:364;width:745;" filled="f" stroked="f" coordsize="21600,21600">
                    <v:path/>
                    <v:fill on="f" focussize="0,0"/>
                    <v:stroke on="f"/>
                    <v:imagedata o:title=""/>
                    <o:lock v:ext="edit" aspectratio="f"/>
                    <v:textbox>
                      <w:txbxContent>
                        <w:p w14:paraId="30B6C05A">
                          <w:pPr>
                            <w:rPr>
                              <w:rFonts w:hint="default" w:eastAsia="宋体"/>
                              <w:sz w:val="18"/>
                              <w:szCs w:val="18"/>
                              <w:lang w:val="en-US" w:eastAsia="zh-CN"/>
                            </w:rPr>
                          </w:pPr>
                          <w:r>
                            <w:rPr>
                              <w:rFonts w:hint="eastAsia"/>
                              <w:sz w:val="18"/>
                              <w:szCs w:val="18"/>
                              <w:lang w:val="en-US" w:eastAsia="zh-CN"/>
                            </w:rPr>
                            <w:t>15.33</w:t>
                          </w:r>
                        </w:p>
                      </w:txbxContent>
                    </v:textbox>
                  </v:rect>
                  <v:shape id="_x0000_s2124" o:spid="_x0000_s2124" o:spt="38" type="#_x0000_t38" style="position:absolute;left:6366;top:470227;flip:y;height:147;width:448;" filled="f" stroked="t" coordsize="21600,21600" adj="10800">
                    <v:path arrowok="t"/>
                    <v:fill on="f" focussize="0,0"/>
                    <v:stroke color="#000000" endarrow="block"/>
                    <v:imagedata o:title=""/>
                    <o:lock v:ext="edit" aspectratio="f"/>
                  </v:shape>
                </v:group>
              </w:pict>
            </w:r>
          </w:p>
          <w:p w14:paraId="3CB704FA">
            <w:pPr>
              <w:snapToGrid w:val="0"/>
              <w:rPr>
                <w:sz w:val="24"/>
              </w:rPr>
            </w:pPr>
          </w:p>
          <w:p w14:paraId="2FFD69B7">
            <w:pPr>
              <w:snapToGrid w:val="0"/>
              <w:rPr>
                <w:sz w:val="24"/>
              </w:rPr>
            </w:pPr>
          </w:p>
          <w:p w14:paraId="4AE8934F">
            <w:pPr>
              <w:snapToGrid w:val="0"/>
              <w:rPr>
                <w:sz w:val="24"/>
              </w:rPr>
            </w:pPr>
          </w:p>
          <w:p w14:paraId="6A1913DA">
            <w:pPr>
              <w:snapToGrid w:val="0"/>
              <w:rPr>
                <w:sz w:val="24"/>
              </w:rPr>
            </w:pPr>
          </w:p>
          <w:p w14:paraId="6DDE227C">
            <w:pPr>
              <w:snapToGrid w:val="0"/>
              <w:rPr>
                <w:sz w:val="24"/>
              </w:rPr>
            </w:pPr>
          </w:p>
          <w:p w14:paraId="343BA76B">
            <w:pPr>
              <w:snapToGrid w:val="0"/>
              <w:spacing w:line="360" w:lineRule="exact"/>
              <w:ind w:firstLine="361" w:firstLineChars="200"/>
              <w:jc w:val="center"/>
              <w:rPr>
                <w:rFonts w:hAnsiTheme="minorEastAsia" w:eastAsiaTheme="minorEastAsia"/>
                <w:b/>
                <w:sz w:val="18"/>
                <w:szCs w:val="18"/>
              </w:rPr>
            </w:pPr>
          </w:p>
          <w:p w14:paraId="6C37CAF6">
            <w:pPr>
              <w:snapToGrid w:val="0"/>
              <w:spacing w:line="360" w:lineRule="exact"/>
              <w:ind w:firstLine="361" w:firstLineChars="200"/>
              <w:jc w:val="center"/>
              <w:rPr>
                <w:rFonts w:hAnsiTheme="minorEastAsia" w:eastAsiaTheme="minorEastAsia"/>
                <w:b/>
                <w:sz w:val="18"/>
                <w:szCs w:val="18"/>
              </w:rPr>
            </w:pPr>
          </w:p>
          <w:p w14:paraId="29E99E88">
            <w:pPr>
              <w:snapToGrid w:val="0"/>
              <w:spacing w:line="360" w:lineRule="exact"/>
              <w:ind w:firstLine="361" w:firstLineChars="200"/>
              <w:jc w:val="center"/>
              <w:rPr>
                <w:rFonts w:hAnsiTheme="minorEastAsia" w:eastAsiaTheme="minorEastAsia"/>
                <w:b/>
                <w:sz w:val="18"/>
                <w:szCs w:val="18"/>
              </w:rPr>
            </w:pPr>
          </w:p>
          <w:p w14:paraId="05FF77A1">
            <w:pPr>
              <w:snapToGrid w:val="0"/>
              <w:spacing w:line="360" w:lineRule="exact"/>
              <w:ind w:firstLine="361" w:firstLineChars="200"/>
              <w:jc w:val="center"/>
              <w:rPr>
                <w:rFonts w:hAnsiTheme="minorEastAsia" w:eastAsiaTheme="minorEastAsia"/>
                <w:b/>
                <w:sz w:val="18"/>
                <w:szCs w:val="18"/>
              </w:rPr>
            </w:pPr>
          </w:p>
          <w:p w14:paraId="71E7FF33">
            <w:pPr>
              <w:snapToGrid w:val="0"/>
              <w:spacing w:line="360" w:lineRule="exact"/>
              <w:ind w:firstLine="361" w:firstLineChars="200"/>
              <w:jc w:val="center"/>
              <w:rPr>
                <w:rFonts w:hAnsiTheme="minorEastAsia" w:eastAsiaTheme="minorEastAsia"/>
                <w:b/>
                <w:sz w:val="18"/>
                <w:szCs w:val="18"/>
              </w:rPr>
            </w:pPr>
          </w:p>
          <w:p w14:paraId="639E7D0A">
            <w:pPr>
              <w:snapToGrid w:val="0"/>
              <w:spacing w:line="360" w:lineRule="exact"/>
              <w:ind w:firstLine="361" w:firstLineChars="200"/>
              <w:jc w:val="center"/>
              <w:rPr>
                <w:rFonts w:hAnsiTheme="minorEastAsia" w:eastAsiaTheme="minorEastAsia"/>
                <w:b/>
                <w:sz w:val="18"/>
                <w:szCs w:val="18"/>
              </w:rPr>
            </w:pPr>
          </w:p>
          <w:p w14:paraId="518FE6EE">
            <w:pPr>
              <w:snapToGrid w:val="0"/>
              <w:spacing w:line="360" w:lineRule="exact"/>
              <w:ind w:firstLine="361" w:firstLineChars="200"/>
              <w:jc w:val="center"/>
              <w:rPr>
                <w:rFonts w:hAnsiTheme="minorEastAsia" w:eastAsiaTheme="minorEastAsia"/>
                <w:b/>
                <w:sz w:val="18"/>
                <w:szCs w:val="18"/>
              </w:rPr>
            </w:pPr>
          </w:p>
          <w:p w14:paraId="3D647725">
            <w:pPr>
              <w:snapToGrid w:val="0"/>
              <w:spacing w:line="360" w:lineRule="exact"/>
              <w:ind w:firstLine="361" w:firstLineChars="200"/>
              <w:jc w:val="center"/>
              <w:rPr>
                <w:rFonts w:hAnsiTheme="minorEastAsia" w:eastAsiaTheme="minorEastAsia"/>
                <w:b/>
                <w:sz w:val="18"/>
                <w:szCs w:val="18"/>
              </w:rPr>
            </w:pPr>
          </w:p>
          <w:p w14:paraId="6AD51306">
            <w:pPr>
              <w:snapToGrid w:val="0"/>
              <w:spacing w:line="360" w:lineRule="exact"/>
              <w:ind w:firstLine="361" w:firstLineChars="200"/>
              <w:jc w:val="center"/>
              <w:rPr>
                <w:rFonts w:hAnsiTheme="minorEastAsia" w:eastAsiaTheme="minorEastAsia"/>
                <w:b/>
                <w:sz w:val="18"/>
                <w:szCs w:val="18"/>
              </w:rPr>
            </w:pPr>
          </w:p>
          <w:p w14:paraId="60239019">
            <w:pPr>
              <w:snapToGrid w:val="0"/>
              <w:spacing w:line="360" w:lineRule="exact"/>
              <w:ind w:firstLine="361" w:firstLineChars="200"/>
              <w:jc w:val="center"/>
              <w:rPr>
                <w:rFonts w:hAnsiTheme="minorEastAsia" w:eastAsiaTheme="minorEastAsia"/>
                <w:b/>
                <w:sz w:val="18"/>
                <w:szCs w:val="18"/>
              </w:rPr>
            </w:pPr>
          </w:p>
          <w:p w14:paraId="282B5130">
            <w:pPr>
              <w:snapToGrid w:val="0"/>
              <w:spacing w:line="360" w:lineRule="exact"/>
              <w:ind w:firstLine="361" w:firstLineChars="200"/>
              <w:jc w:val="center"/>
              <w:rPr>
                <w:rFonts w:hAnsiTheme="minorEastAsia" w:eastAsiaTheme="minorEastAsia"/>
                <w:b/>
                <w:sz w:val="18"/>
                <w:szCs w:val="18"/>
              </w:rPr>
            </w:pPr>
          </w:p>
          <w:p w14:paraId="592FAEA0">
            <w:pPr>
              <w:snapToGrid w:val="0"/>
              <w:spacing w:line="360" w:lineRule="exact"/>
              <w:ind w:firstLine="361" w:firstLineChars="200"/>
              <w:jc w:val="center"/>
              <w:rPr>
                <w:rFonts w:hAnsiTheme="minorEastAsia" w:eastAsiaTheme="minorEastAsia"/>
                <w:b/>
                <w:sz w:val="18"/>
                <w:szCs w:val="18"/>
              </w:rPr>
            </w:pPr>
          </w:p>
          <w:p w14:paraId="1ADD661E">
            <w:pPr>
              <w:snapToGrid w:val="0"/>
              <w:spacing w:line="360" w:lineRule="exact"/>
              <w:ind w:firstLine="361" w:firstLineChars="200"/>
              <w:jc w:val="center"/>
              <w:rPr>
                <w:rFonts w:hAnsiTheme="minorEastAsia" w:eastAsiaTheme="minorEastAsia"/>
                <w:b/>
                <w:sz w:val="18"/>
                <w:szCs w:val="18"/>
              </w:rPr>
            </w:pPr>
          </w:p>
          <w:p w14:paraId="7F0ACDEE">
            <w:pPr>
              <w:snapToGrid w:val="0"/>
              <w:spacing w:line="360" w:lineRule="exact"/>
              <w:ind w:firstLine="361" w:firstLineChars="200"/>
              <w:jc w:val="center"/>
              <w:rPr>
                <w:rFonts w:hAnsiTheme="minorEastAsia" w:eastAsiaTheme="minorEastAsia"/>
                <w:b/>
                <w:sz w:val="18"/>
                <w:szCs w:val="18"/>
              </w:rPr>
            </w:pPr>
          </w:p>
          <w:p w14:paraId="7A720FAC">
            <w:pPr>
              <w:snapToGrid w:val="0"/>
              <w:spacing w:line="360" w:lineRule="exact"/>
              <w:ind w:firstLine="361" w:firstLineChars="200"/>
              <w:jc w:val="center"/>
              <w:rPr>
                <w:rFonts w:hAnsiTheme="minorEastAsia" w:eastAsiaTheme="minorEastAsia"/>
                <w:b/>
                <w:sz w:val="18"/>
                <w:szCs w:val="18"/>
              </w:rPr>
            </w:pPr>
            <w:r>
              <w:rPr>
                <w:rFonts w:hAnsiTheme="minorEastAsia" w:eastAsiaTheme="minorEastAsia"/>
                <w:b/>
                <w:sz w:val="18"/>
                <w:szCs w:val="18"/>
              </w:rPr>
              <w:t>图</w:t>
            </w:r>
            <w:r>
              <w:rPr>
                <w:rFonts w:eastAsiaTheme="minorEastAsia"/>
                <w:b/>
                <w:sz w:val="18"/>
                <w:szCs w:val="18"/>
              </w:rPr>
              <w:t xml:space="preserve">2-1  </w:t>
            </w:r>
            <w:r>
              <w:rPr>
                <w:rFonts w:hint="eastAsia" w:eastAsiaTheme="minorEastAsia"/>
                <w:b/>
                <w:sz w:val="18"/>
                <w:szCs w:val="18"/>
              </w:rPr>
              <w:t xml:space="preserve">  </w:t>
            </w:r>
            <w:r>
              <w:rPr>
                <w:rFonts w:hAnsiTheme="minorEastAsia" w:eastAsiaTheme="minorEastAsia"/>
                <w:b/>
                <w:sz w:val="18"/>
                <w:szCs w:val="18"/>
              </w:rPr>
              <w:t>本项目水平衡图（</w:t>
            </w:r>
            <w:r>
              <w:rPr>
                <w:rFonts w:eastAsiaTheme="minorEastAsia"/>
                <w:b/>
                <w:sz w:val="18"/>
                <w:szCs w:val="18"/>
              </w:rPr>
              <w:t>m</w:t>
            </w:r>
            <w:r>
              <w:rPr>
                <w:rFonts w:eastAsiaTheme="minorEastAsia"/>
                <w:b/>
                <w:sz w:val="18"/>
                <w:szCs w:val="18"/>
                <w:vertAlign w:val="superscript"/>
              </w:rPr>
              <w:t>3</w:t>
            </w:r>
            <w:r>
              <w:rPr>
                <w:rFonts w:eastAsiaTheme="minorEastAsia"/>
                <w:b/>
                <w:sz w:val="18"/>
                <w:szCs w:val="18"/>
              </w:rPr>
              <w:t>/d</w:t>
            </w:r>
            <w:r>
              <w:rPr>
                <w:rFonts w:hAnsiTheme="minorEastAsia" w:eastAsiaTheme="minorEastAsia"/>
                <w:b/>
                <w:sz w:val="18"/>
                <w:szCs w:val="18"/>
              </w:rPr>
              <w:t>）</w:t>
            </w:r>
          </w:p>
          <w:p w14:paraId="486CFACF">
            <w:pPr>
              <w:adjustRightInd w:val="0"/>
              <w:snapToGrid w:val="0"/>
              <w:spacing w:line="360" w:lineRule="auto"/>
              <w:ind w:firstLine="420" w:firstLineChars="200"/>
              <w:rPr>
                <w:rFonts w:hint="default"/>
                <w:color w:val="auto"/>
                <w:kern w:val="0"/>
                <w:szCs w:val="21"/>
                <w:lang w:val="en-US" w:eastAsia="zh-CN"/>
              </w:rPr>
            </w:pPr>
            <w:r>
              <w:rPr>
                <w:rFonts w:hint="eastAsia"/>
                <w:color w:val="auto"/>
                <w:kern w:val="0"/>
                <w:szCs w:val="21"/>
                <w:lang w:val="en-US" w:eastAsia="zh-CN"/>
              </w:rPr>
              <w:t>经分析计算，本项目用水量约为25737m</w:t>
            </w:r>
            <w:r>
              <w:rPr>
                <w:rFonts w:hint="eastAsia"/>
                <w:color w:val="auto"/>
                <w:kern w:val="0"/>
                <w:szCs w:val="21"/>
                <w:vertAlign w:val="superscript"/>
                <w:lang w:val="en-US" w:eastAsia="zh-CN"/>
              </w:rPr>
              <w:t>3</w:t>
            </w:r>
            <w:r>
              <w:rPr>
                <w:rFonts w:hint="eastAsia"/>
                <w:color w:val="auto"/>
                <w:kern w:val="0"/>
                <w:szCs w:val="21"/>
                <w:lang w:val="en-US" w:eastAsia="zh-CN"/>
              </w:rPr>
              <w:t>/a，排水量约为6828m</w:t>
            </w:r>
            <w:r>
              <w:rPr>
                <w:rFonts w:hint="eastAsia"/>
                <w:color w:val="auto"/>
                <w:kern w:val="0"/>
                <w:szCs w:val="21"/>
                <w:vertAlign w:val="superscript"/>
                <w:lang w:val="en-US" w:eastAsia="zh-CN"/>
              </w:rPr>
              <w:t>3</w:t>
            </w:r>
            <w:r>
              <w:rPr>
                <w:rFonts w:hint="eastAsia"/>
                <w:color w:val="auto"/>
                <w:kern w:val="0"/>
                <w:szCs w:val="21"/>
                <w:lang w:val="en-US" w:eastAsia="zh-CN"/>
              </w:rPr>
              <w:t>/a。</w:t>
            </w:r>
          </w:p>
          <w:p w14:paraId="6015D31C">
            <w:pPr>
              <w:spacing w:line="360" w:lineRule="auto"/>
              <w:ind w:firstLine="422" w:firstLineChars="200"/>
              <w:rPr>
                <w:b/>
                <w:bCs/>
                <w:szCs w:val="21"/>
              </w:rPr>
            </w:pPr>
            <w:r>
              <w:rPr>
                <w:rFonts w:hint="eastAsia"/>
                <w:b/>
                <w:szCs w:val="21"/>
                <w:lang w:val="en-US" w:eastAsia="zh-CN"/>
              </w:rPr>
              <w:t>2.</w:t>
            </w:r>
            <w:r>
              <w:rPr>
                <w:rFonts w:hint="eastAsia"/>
                <w:b/>
                <w:szCs w:val="21"/>
              </w:rPr>
              <w:t>6</w:t>
            </w:r>
            <w:r>
              <w:rPr>
                <w:b/>
                <w:bCs/>
                <w:szCs w:val="21"/>
              </w:rPr>
              <w:t>平面布置</w:t>
            </w:r>
          </w:p>
          <w:p w14:paraId="1EBF3139">
            <w:pPr>
              <w:adjustRightInd w:val="0"/>
              <w:snapToGrid w:val="0"/>
              <w:spacing w:line="360" w:lineRule="auto"/>
              <w:ind w:firstLine="420" w:firstLineChars="200"/>
              <w:rPr>
                <w:rFonts w:hint="eastAsia"/>
                <w:color w:val="auto"/>
                <w:kern w:val="0"/>
                <w:szCs w:val="21"/>
                <w:lang w:val="zh-CN"/>
              </w:rPr>
            </w:pPr>
            <w:r>
              <w:rPr>
                <w:rFonts w:hint="eastAsia"/>
                <w:color w:val="auto"/>
                <w:kern w:val="0"/>
                <w:szCs w:val="21"/>
                <w:lang w:val="zh-CN"/>
              </w:rPr>
              <w:t>本项目由北至南依次布设有</w:t>
            </w:r>
            <w:r>
              <w:rPr>
                <w:rFonts w:hint="eastAsia"/>
                <w:color w:val="auto"/>
                <w:kern w:val="0"/>
                <w:szCs w:val="21"/>
                <w:lang w:val="en-US" w:eastAsia="zh-CN"/>
              </w:rPr>
              <w:t>5</w:t>
            </w:r>
            <w:r>
              <w:rPr>
                <w:rFonts w:hint="eastAsia"/>
                <w:color w:val="auto"/>
                <w:kern w:val="0"/>
                <w:szCs w:val="21"/>
                <w:lang w:val="zh-CN"/>
              </w:rPr>
              <w:t>座加工车间、1座</w:t>
            </w:r>
            <w:r>
              <w:rPr>
                <w:rFonts w:hint="eastAsia"/>
                <w:color w:val="auto"/>
                <w:kern w:val="0"/>
                <w:szCs w:val="21"/>
                <w:lang w:val="en-US" w:eastAsia="zh-CN"/>
              </w:rPr>
              <w:t>仓库</w:t>
            </w:r>
            <w:r>
              <w:rPr>
                <w:rFonts w:hint="eastAsia"/>
                <w:color w:val="auto"/>
                <w:kern w:val="0"/>
                <w:szCs w:val="21"/>
                <w:lang w:val="zh-CN"/>
              </w:rPr>
              <w:t>和1座综合楼。厂区构筑物之间均有规划厂区道路，灵活运输，布局合理。平面布置详见附图2。</w:t>
            </w:r>
          </w:p>
          <w:p w14:paraId="241D5DB1">
            <w:pPr>
              <w:pStyle w:val="79"/>
              <w:snapToGrid/>
              <w:ind w:firstLine="422"/>
              <w:rPr>
                <w:rFonts w:ascii="Times New Roman" w:hAnsi="Times New Roman"/>
                <w:bCs/>
                <w:color w:val="auto"/>
                <w:szCs w:val="21"/>
              </w:rPr>
            </w:pPr>
            <w:r>
              <w:rPr>
                <w:rFonts w:hint="eastAsia" w:ascii="Times New Roman" w:hAnsi="Times New Roman"/>
                <w:bCs/>
                <w:color w:val="auto"/>
                <w:szCs w:val="21"/>
                <w:lang w:val="en-US" w:eastAsia="zh-CN"/>
              </w:rPr>
              <w:t>2.7</w:t>
            </w:r>
            <w:r>
              <w:rPr>
                <w:rFonts w:hint="eastAsia" w:ascii="Times New Roman" w:hAnsi="Times New Roman"/>
                <w:bCs/>
                <w:color w:val="auto"/>
                <w:szCs w:val="21"/>
              </w:rPr>
              <w:t>劳动</w:t>
            </w:r>
            <w:r>
              <w:rPr>
                <w:rFonts w:ascii="Times New Roman" w:hAnsi="Times New Roman"/>
                <w:bCs/>
                <w:color w:val="auto"/>
                <w:szCs w:val="21"/>
              </w:rPr>
              <w:t>定员及工作制度</w:t>
            </w:r>
          </w:p>
          <w:p w14:paraId="28D5A884">
            <w:pPr>
              <w:adjustRightInd w:val="0"/>
              <w:snapToGrid w:val="0"/>
              <w:spacing w:line="360" w:lineRule="auto"/>
              <w:ind w:firstLine="420" w:firstLineChars="200"/>
              <w:rPr>
                <w:color w:val="auto"/>
                <w:szCs w:val="21"/>
              </w:rPr>
            </w:pPr>
            <w:r>
              <w:rPr>
                <w:rFonts w:hint="eastAsia"/>
                <w:color w:val="auto"/>
                <w:kern w:val="0"/>
                <w:szCs w:val="21"/>
                <w:lang w:val="zh-CN"/>
              </w:rPr>
              <w:t>本项目</w:t>
            </w:r>
            <w:r>
              <w:rPr>
                <w:color w:val="auto"/>
                <w:kern w:val="0"/>
                <w:szCs w:val="21"/>
                <w:lang w:val="zh-CN"/>
              </w:rPr>
              <w:t>劳动定员</w:t>
            </w:r>
            <w:r>
              <w:rPr>
                <w:rFonts w:hint="eastAsia"/>
                <w:color w:val="auto"/>
                <w:kern w:val="0"/>
                <w:szCs w:val="21"/>
                <w:lang w:val="en-US" w:eastAsia="zh-CN"/>
              </w:rPr>
              <w:t>50</w:t>
            </w:r>
            <w:r>
              <w:rPr>
                <w:rFonts w:hint="eastAsia"/>
                <w:color w:val="auto"/>
                <w:kern w:val="0"/>
                <w:szCs w:val="21"/>
                <w:lang w:val="zh-CN"/>
              </w:rPr>
              <w:t>人</w:t>
            </w:r>
            <w:r>
              <w:rPr>
                <w:color w:val="auto"/>
                <w:kern w:val="0"/>
                <w:szCs w:val="21"/>
                <w:lang w:val="zh-CN"/>
              </w:rPr>
              <w:t>。每天</w:t>
            </w:r>
            <w:r>
              <w:rPr>
                <w:color w:val="auto"/>
                <w:szCs w:val="21"/>
              </w:rPr>
              <w:t>8小时工作制，年工作天数为3</w:t>
            </w:r>
            <w:r>
              <w:rPr>
                <w:rFonts w:hint="eastAsia"/>
                <w:color w:val="auto"/>
                <w:szCs w:val="21"/>
              </w:rPr>
              <w:t>00</w:t>
            </w:r>
            <w:r>
              <w:rPr>
                <w:color w:val="auto"/>
                <w:szCs w:val="21"/>
              </w:rPr>
              <w:t>天。</w:t>
            </w:r>
          </w:p>
          <w:p w14:paraId="68F80089">
            <w:pPr>
              <w:pStyle w:val="79"/>
              <w:snapToGrid/>
              <w:spacing w:line="240" w:lineRule="exact"/>
              <w:ind w:firstLine="361"/>
              <w:jc w:val="center"/>
              <w:rPr>
                <w:rFonts w:ascii="Times New Roman" w:hAnsi="Times New Roman"/>
                <w:sz w:val="18"/>
                <w:szCs w:val="18"/>
              </w:rPr>
            </w:pPr>
            <w:r>
              <w:rPr>
                <w:rFonts w:hint="eastAsia" w:ascii="Times New Roman" w:hAnsi="Times New Roman"/>
                <w:sz w:val="18"/>
                <w:szCs w:val="18"/>
              </w:rPr>
              <w:t>表2</w:t>
            </w:r>
            <w:r>
              <w:rPr>
                <w:rFonts w:hint="eastAsia" w:ascii="Times New Roman" w:hAnsi="Times New Roman"/>
                <w:sz w:val="18"/>
                <w:szCs w:val="18"/>
                <w:lang w:val="en-US" w:eastAsia="zh-CN"/>
              </w:rPr>
              <w:t>.7</w:t>
            </w:r>
            <w:r>
              <w:rPr>
                <w:rFonts w:hint="eastAsia" w:ascii="Times New Roman" w:hAnsi="Times New Roman"/>
                <w:sz w:val="18"/>
                <w:szCs w:val="18"/>
              </w:rPr>
              <w:t>-1    工作时间明细表</w:t>
            </w:r>
          </w:p>
          <w:tbl>
            <w:tblPr>
              <w:tblStyle w:val="49"/>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84"/>
              <w:gridCol w:w="1984"/>
              <w:gridCol w:w="1984"/>
              <w:gridCol w:w="1984"/>
            </w:tblGrid>
            <w:tr w14:paraId="3A4280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5813D337">
                  <w:pPr>
                    <w:spacing w:line="360" w:lineRule="auto"/>
                    <w:jc w:val="center"/>
                    <w:rPr>
                      <w:bCs/>
                      <w:sz w:val="18"/>
                      <w:szCs w:val="18"/>
                    </w:rPr>
                  </w:pPr>
                  <w:r>
                    <w:rPr>
                      <w:bCs/>
                      <w:sz w:val="18"/>
                      <w:szCs w:val="18"/>
                    </w:rPr>
                    <w:t>序号</w:t>
                  </w:r>
                </w:p>
              </w:tc>
              <w:tc>
                <w:tcPr>
                  <w:tcW w:w="1250" w:type="pct"/>
                  <w:vAlign w:val="center"/>
                </w:tcPr>
                <w:p w14:paraId="0FB9F3C4">
                  <w:pPr>
                    <w:spacing w:line="360" w:lineRule="auto"/>
                    <w:jc w:val="center"/>
                    <w:rPr>
                      <w:bCs/>
                      <w:sz w:val="18"/>
                      <w:szCs w:val="18"/>
                    </w:rPr>
                  </w:pPr>
                  <w:r>
                    <w:rPr>
                      <w:bCs/>
                      <w:sz w:val="18"/>
                      <w:szCs w:val="18"/>
                    </w:rPr>
                    <w:t>工序</w:t>
                  </w:r>
                </w:p>
              </w:tc>
              <w:tc>
                <w:tcPr>
                  <w:tcW w:w="1250" w:type="pct"/>
                  <w:vAlign w:val="center"/>
                </w:tcPr>
                <w:p w14:paraId="66A10435">
                  <w:pPr>
                    <w:spacing w:line="360" w:lineRule="auto"/>
                    <w:jc w:val="center"/>
                    <w:rPr>
                      <w:bCs/>
                      <w:sz w:val="18"/>
                      <w:szCs w:val="18"/>
                    </w:rPr>
                  </w:pPr>
                  <w:r>
                    <w:rPr>
                      <w:bCs/>
                      <w:sz w:val="18"/>
                      <w:szCs w:val="18"/>
                    </w:rPr>
                    <w:t>工作时间h</w:t>
                  </w:r>
                  <w:r>
                    <w:rPr>
                      <w:rFonts w:hint="eastAsia"/>
                      <w:bCs/>
                      <w:sz w:val="18"/>
                      <w:szCs w:val="18"/>
                    </w:rPr>
                    <w:t>/d</w:t>
                  </w:r>
                </w:p>
              </w:tc>
              <w:tc>
                <w:tcPr>
                  <w:tcW w:w="1250" w:type="pct"/>
                  <w:vAlign w:val="center"/>
                </w:tcPr>
                <w:p w14:paraId="5757717E">
                  <w:pPr>
                    <w:spacing w:line="360" w:lineRule="auto"/>
                    <w:jc w:val="center"/>
                    <w:rPr>
                      <w:bCs/>
                      <w:sz w:val="18"/>
                      <w:szCs w:val="18"/>
                    </w:rPr>
                  </w:pPr>
                  <w:r>
                    <w:rPr>
                      <w:bCs/>
                      <w:sz w:val="18"/>
                      <w:szCs w:val="18"/>
                    </w:rPr>
                    <w:t>工作时间h</w:t>
                  </w:r>
                  <w:r>
                    <w:rPr>
                      <w:rFonts w:hint="eastAsia"/>
                      <w:bCs/>
                      <w:sz w:val="18"/>
                      <w:szCs w:val="18"/>
                    </w:rPr>
                    <w:t>/a</w:t>
                  </w:r>
                </w:p>
              </w:tc>
            </w:tr>
            <w:tr w14:paraId="209C2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13BB5FE3">
                  <w:pPr>
                    <w:spacing w:line="360" w:lineRule="auto"/>
                    <w:jc w:val="center"/>
                    <w:rPr>
                      <w:bCs/>
                      <w:sz w:val="18"/>
                      <w:szCs w:val="18"/>
                    </w:rPr>
                  </w:pPr>
                  <w:r>
                    <w:rPr>
                      <w:rFonts w:hint="eastAsia"/>
                      <w:bCs/>
                      <w:sz w:val="18"/>
                      <w:szCs w:val="18"/>
                    </w:rPr>
                    <w:t>1</w:t>
                  </w:r>
                </w:p>
              </w:tc>
              <w:tc>
                <w:tcPr>
                  <w:tcW w:w="1250" w:type="pct"/>
                  <w:vAlign w:val="center"/>
                </w:tcPr>
                <w:p w14:paraId="0271AE71">
                  <w:pPr>
                    <w:spacing w:line="360" w:lineRule="auto"/>
                    <w:jc w:val="center"/>
                    <w:rPr>
                      <w:bCs/>
                      <w:sz w:val="18"/>
                      <w:szCs w:val="18"/>
                    </w:rPr>
                  </w:pPr>
                  <w:r>
                    <w:rPr>
                      <w:bCs/>
                      <w:sz w:val="18"/>
                      <w:szCs w:val="18"/>
                    </w:rPr>
                    <w:t>下料</w:t>
                  </w:r>
                  <w:r>
                    <w:rPr>
                      <w:rFonts w:hint="eastAsia"/>
                      <w:bCs/>
                      <w:sz w:val="18"/>
                      <w:szCs w:val="18"/>
                    </w:rPr>
                    <w:t>（切割）</w:t>
                  </w:r>
                </w:p>
              </w:tc>
              <w:tc>
                <w:tcPr>
                  <w:tcW w:w="1250" w:type="pct"/>
                  <w:vAlign w:val="center"/>
                </w:tcPr>
                <w:p w14:paraId="044281B9">
                  <w:pPr>
                    <w:spacing w:line="360" w:lineRule="auto"/>
                    <w:jc w:val="center"/>
                    <w:rPr>
                      <w:bCs/>
                      <w:sz w:val="18"/>
                      <w:szCs w:val="18"/>
                    </w:rPr>
                  </w:pPr>
                  <w:r>
                    <w:rPr>
                      <w:rFonts w:hint="eastAsia"/>
                      <w:bCs/>
                      <w:sz w:val="18"/>
                      <w:szCs w:val="18"/>
                    </w:rPr>
                    <w:t>2</w:t>
                  </w:r>
                </w:p>
              </w:tc>
              <w:tc>
                <w:tcPr>
                  <w:tcW w:w="1250" w:type="pct"/>
                  <w:vAlign w:val="center"/>
                </w:tcPr>
                <w:p w14:paraId="7BC75872">
                  <w:pPr>
                    <w:spacing w:line="360" w:lineRule="auto"/>
                    <w:jc w:val="center"/>
                    <w:rPr>
                      <w:bCs/>
                      <w:sz w:val="18"/>
                      <w:szCs w:val="18"/>
                    </w:rPr>
                  </w:pPr>
                  <w:r>
                    <w:rPr>
                      <w:rFonts w:hint="eastAsia"/>
                      <w:bCs/>
                      <w:sz w:val="18"/>
                      <w:szCs w:val="18"/>
                    </w:rPr>
                    <w:t>2400</w:t>
                  </w:r>
                </w:p>
              </w:tc>
            </w:tr>
            <w:tr w14:paraId="5A0AEF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2EB1DB36">
                  <w:pPr>
                    <w:spacing w:line="360" w:lineRule="auto"/>
                    <w:jc w:val="center"/>
                    <w:rPr>
                      <w:bCs/>
                      <w:sz w:val="18"/>
                      <w:szCs w:val="18"/>
                    </w:rPr>
                  </w:pPr>
                  <w:r>
                    <w:rPr>
                      <w:rFonts w:hint="eastAsia"/>
                      <w:bCs/>
                      <w:sz w:val="18"/>
                      <w:szCs w:val="18"/>
                    </w:rPr>
                    <w:t>2</w:t>
                  </w:r>
                </w:p>
              </w:tc>
              <w:tc>
                <w:tcPr>
                  <w:tcW w:w="1250" w:type="pct"/>
                  <w:vAlign w:val="center"/>
                </w:tcPr>
                <w:p w14:paraId="12F3BDD5">
                  <w:pPr>
                    <w:spacing w:line="360" w:lineRule="auto"/>
                    <w:jc w:val="center"/>
                    <w:rPr>
                      <w:bCs/>
                      <w:sz w:val="18"/>
                      <w:szCs w:val="18"/>
                    </w:rPr>
                  </w:pPr>
                  <w:r>
                    <w:rPr>
                      <w:bCs/>
                      <w:sz w:val="18"/>
                      <w:szCs w:val="18"/>
                    </w:rPr>
                    <w:t>木质产品机加工</w:t>
                  </w:r>
                </w:p>
              </w:tc>
              <w:tc>
                <w:tcPr>
                  <w:tcW w:w="1250" w:type="pct"/>
                  <w:vAlign w:val="center"/>
                </w:tcPr>
                <w:p w14:paraId="3CD2C75D">
                  <w:pPr>
                    <w:spacing w:line="360" w:lineRule="auto"/>
                    <w:jc w:val="center"/>
                    <w:rPr>
                      <w:bCs/>
                      <w:sz w:val="18"/>
                      <w:szCs w:val="18"/>
                    </w:rPr>
                  </w:pPr>
                  <w:r>
                    <w:rPr>
                      <w:rFonts w:hint="eastAsia"/>
                      <w:bCs/>
                      <w:sz w:val="18"/>
                      <w:szCs w:val="18"/>
                    </w:rPr>
                    <w:t>8</w:t>
                  </w:r>
                </w:p>
              </w:tc>
              <w:tc>
                <w:tcPr>
                  <w:tcW w:w="1250" w:type="pct"/>
                  <w:vAlign w:val="center"/>
                </w:tcPr>
                <w:p w14:paraId="58F47F36">
                  <w:pPr>
                    <w:spacing w:line="360" w:lineRule="auto"/>
                    <w:jc w:val="center"/>
                    <w:rPr>
                      <w:bCs/>
                      <w:sz w:val="18"/>
                      <w:szCs w:val="18"/>
                    </w:rPr>
                  </w:pPr>
                  <w:r>
                    <w:rPr>
                      <w:rFonts w:hint="eastAsia"/>
                      <w:bCs/>
                      <w:sz w:val="18"/>
                      <w:szCs w:val="18"/>
                    </w:rPr>
                    <w:t>2400</w:t>
                  </w:r>
                </w:p>
              </w:tc>
            </w:tr>
            <w:tr w14:paraId="3560B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5897651B">
                  <w:pPr>
                    <w:spacing w:line="360" w:lineRule="auto"/>
                    <w:jc w:val="center"/>
                    <w:rPr>
                      <w:bCs/>
                      <w:sz w:val="18"/>
                      <w:szCs w:val="18"/>
                    </w:rPr>
                  </w:pPr>
                  <w:r>
                    <w:rPr>
                      <w:rFonts w:hint="eastAsia"/>
                      <w:bCs/>
                      <w:sz w:val="18"/>
                      <w:szCs w:val="18"/>
                    </w:rPr>
                    <w:t>3</w:t>
                  </w:r>
                </w:p>
              </w:tc>
              <w:tc>
                <w:tcPr>
                  <w:tcW w:w="1250" w:type="pct"/>
                  <w:shd w:val="clear" w:color="auto" w:fill="auto"/>
                  <w:vAlign w:val="center"/>
                </w:tcPr>
                <w:p w14:paraId="204B61A1">
                  <w:pPr>
                    <w:spacing w:line="360" w:lineRule="auto"/>
                    <w:jc w:val="center"/>
                    <w:rPr>
                      <w:rFonts w:ascii="Times New Roman" w:hAnsi="Times New Roman" w:eastAsia="宋体" w:cs="Times New Roman"/>
                      <w:bCs/>
                      <w:kern w:val="2"/>
                      <w:sz w:val="18"/>
                      <w:szCs w:val="18"/>
                      <w:lang w:val="en-US" w:eastAsia="zh-CN" w:bidi="ar-SA"/>
                    </w:rPr>
                  </w:pPr>
                  <w:r>
                    <w:rPr>
                      <w:bCs/>
                      <w:sz w:val="18"/>
                      <w:szCs w:val="18"/>
                    </w:rPr>
                    <w:t>木门窗</w:t>
                  </w:r>
                  <w:r>
                    <w:rPr>
                      <w:rFonts w:hint="eastAsia"/>
                      <w:bCs/>
                      <w:sz w:val="18"/>
                      <w:szCs w:val="18"/>
                    </w:rPr>
                    <w:t>、</w:t>
                  </w:r>
                  <w:r>
                    <w:rPr>
                      <w:bCs/>
                      <w:sz w:val="18"/>
                      <w:szCs w:val="18"/>
                    </w:rPr>
                    <w:t>木屋喷漆</w:t>
                  </w:r>
                </w:p>
              </w:tc>
              <w:tc>
                <w:tcPr>
                  <w:tcW w:w="1250" w:type="pct"/>
                  <w:shd w:val="clear" w:color="auto" w:fill="auto"/>
                  <w:vAlign w:val="center"/>
                </w:tcPr>
                <w:p w14:paraId="2B945E55">
                  <w:pPr>
                    <w:spacing w:line="360" w:lineRule="auto"/>
                    <w:jc w:val="center"/>
                    <w:rPr>
                      <w:rFonts w:ascii="Times New Roman" w:hAnsi="Times New Roman" w:eastAsia="宋体" w:cs="Times New Roman"/>
                      <w:bCs/>
                      <w:kern w:val="2"/>
                      <w:sz w:val="18"/>
                      <w:szCs w:val="18"/>
                      <w:lang w:val="en-US" w:eastAsia="zh-CN" w:bidi="ar-SA"/>
                    </w:rPr>
                  </w:pPr>
                  <w:r>
                    <w:rPr>
                      <w:rFonts w:hint="eastAsia"/>
                      <w:bCs/>
                      <w:sz w:val="18"/>
                      <w:szCs w:val="18"/>
                    </w:rPr>
                    <w:t>5</w:t>
                  </w:r>
                </w:p>
              </w:tc>
              <w:tc>
                <w:tcPr>
                  <w:tcW w:w="1250" w:type="pct"/>
                  <w:shd w:val="clear" w:color="auto" w:fill="auto"/>
                  <w:vAlign w:val="center"/>
                </w:tcPr>
                <w:p w14:paraId="3861CF94">
                  <w:pPr>
                    <w:spacing w:line="360" w:lineRule="auto"/>
                    <w:jc w:val="center"/>
                    <w:rPr>
                      <w:rFonts w:ascii="Times New Roman" w:hAnsi="Times New Roman" w:eastAsia="宋体" w:cs="Times New Roman"/>
                      <w:bCs/>
                      <w:kern w:val="2"/>
                      <w:sz w:val="18"/>
                      <w:szCs w:val="18"/>
                      <w:lang w:val="en-US" w:eastAsia="zh-CN" w:bidi="ar-SA"/>
                    </w:rPr>
                  </w:pPr>
                  <w:r>
                    <w:rPr>
                      <w:rFonts w:hint="eastAsia"/>
                      <w:bCs/>
                      <w:sz w:val="18"/>
                      <w:szCs w:val="18"/>
                    </w:rPr>
                    <w:t>1500</w:t>
                  </w:r>
                </w:p>
              </w:tc>
            </w:tr>
            <w:tr w14:paraId="68904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536DA54C">
                  <w:pPr>
                    <w:spacing w:line="360" w:lineRule="auto"/>
                    <w:jc w:val="center"/>
                    <w:rPr>
                      <w:bCs/>
                      <w:sz w:val="18"/>
                      <w:szCs w:val="18"/>
                    </w:rPr>
                  </w:pPr>
                  <w:r>
                    <w:rPr>
                      <w:rFonts w:hint="eastAsia"/>
                      <w:bCs/>
                      <w:sz w:val="18"/>
                      <w:szCs w:val="18"/>
                    </w:rPr>
                    <w:t>4</w:t>
                  </w:r>
                </w:p>
              </w:tc>
              <w:tc>
                <w:tcPr>
                  <w:tcW w:w="1250" w:type="pct"/>
                  <w:shd w:val="clear" w:color="auto" w:fill="auto"/>
                  <w:vAlign w:val="center"/>
                </w:tcPr>
                <w:p w14:paraId="30E105E2">
                  <w:pPr>
                    <w:spacing w:line="360" w:lineRule="auto"/>
                    <w:jc w:val="center"/>
                    <w:rPr>
                      <w:rFonts w:ascii="Times New Roman" w:hAnsi="Times New Roman" w:eastAsia="宋体" w:cs="Times New Roman"/>
                      <w:bCs/>
                      <w:kern w:val="2"/>
                      <w:sz w:val="18"/>
                      <w:szCs w:val="18"/>
                      <w:lang w:val="en-US" w:eastAsia="zh-CN" w:bidi="ar-SA"/>
                    </w:rPr>
                  </w:pPr>
                  <w:r>
                    <w:rPr>
                      <w:bCs/>
                      <w:sz w:val="18"/>
                      <w:szCs w:val="18"/>
                    </w:rPr>
                    <w:t>砖</w:t>
                  </w:r>
                  <w:r>
                    <w:rPr>
                      <w:rFonts w:hint="eastAsia"/>
                      <w:bCs/>
                      <w:sz w:val="18"/>
                      <w:szCs w:val="18"/>
                    </w:rPr>
                    <w:t>/石雕</w:t>
                  </w:r>
                </w:p>
              </w:tc>
              <w:tc>
                <w:tcPr>
                  <w:tcW w:w="1250" w:type="pct"/>
                  <w:shd w:val="clear" w:color="auto" w:fill="auto"/>
                  <w:vAlign w:val="center"/>
                </w:tcPr>
                <w:p w14:paraId="1C9121F7">
                  <w:pPr>
                    <w:spacing w:line="360" w:lineRule="auto"/>
                    <w:jc w:val="center"/>
                    <w:rPr>
                      <w:rFonts w:ascii="Times New Roman" w:hAnsi="Times New Roman" w:eastAsia="宋体" w:cs="Times New Roman"/>
                      <w:bCs/>
                      <w:kern w:val="2"/>
                      <w:sz w:val="18"/>
                      <w:szCs w:val="18"/>
                      <w:lang w:val="en-US" w:eastAsia="zh-CN" w:bidi="ar-SA"/>
                    </w:rPr>
                  </w:pPr>
                  <w:r>
                    <w:rPr>
                      <w:rFonts w:hint="eastAsia"/>
                      <w:bCs/>
                      <w:sz w:val="18"/>
                      <w:szCs w:val="18"/>
                    </w:rPr>
                    <w:t>5</w:t>
                  </w:r>
                </w:p>
              </w:tc>
              <w:tc>
                <w:tcPr>
                  <w:tcW w:w="1250" w:type="pct"/>
                  <w:shd w:val="clear" w:color="auto" w:fill="auto"/>
                  <w:vAlign w:val="center"/>
                </w:tcPr>
                <w:p w14:paraId="28220B61">
                  <w:pPr>
                    <w:spacing w:line="360" w:lineRule="auto"/>
                    <w:jc w:val="center"/>
                    <w:rPr>
                      <w:rFonts w:ascii="Times New Roman" w:hAnsi="Times New Roman" w:eastAsia="宋体" w:cs="Times New Roman"/>
                      <w:bCs/>
                      <w:kern w:val="2"/>
                      <w:sz w:val="18"/>
                      <w:szCs w:val="18"/>
                      <w:lang w:val="en-US" w:eastAsia="zh-CN" w:bidi="ar-SA"/>
                    </w:rPr>
                  </w:pPr>
                  <w:r>
                    <w:rPr>
                      <w:rFonts w:hint="eastAsia"/>
                      <w:bCs/>
                      <w:sz w:val="18"/>
                      <w:szCs w:val="18"/>
                    </w:rPr>
                    <w:t>1500</w:t>
                  </w:r>
                </w:p>
              </w:tc>
            </w:tr>
            <w:tr w14:paraId="44A57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exact"/>
              </w:trPr>
              <w:tc>
                <w:tcPr>
                  <w:tcW w:w="1250" w:type="pct"/>
                  <w:vAlign w:val="center"/>
                </w:tcPr>
                <w:p w14:paraId="79B8539B">
                  <w:pPr>
                    <w:spacing w:line="360" w:lineRule="auto"/>
                    <w:jc w:val="center"/>
                    <w:rPr>
                      <w:rFonts w:hint="eastAsia" w:eastAsia="宋体"/>
                      <w:bCs/>
                      <w:sz w:val="18"/>
                      <w:szCs w:val="18"/>
                      <w:lang w:val="en-US" w:eastAsia="zh-CN"/>
                    </w:rPr>
                  </w:pPr>
                  <w:r>
                    <w:rPr>
                      <w:rFonts w:hint="eastAsia"/>
                      <w:bCs/>
                      <w:sz w:val="18"/>
                      <w:szCs w:val="18"/>
                      <w:lang w:val="en-US" w:eastAsia="zh-CN"/>
                    </w:rPr>
                    <w:t>5</w:t>
                  </w:r>
                </w:p>
              </w:tc>
              <w:tc>
                <w:tcPr>
                  <w:tcW w:w="1250" w:type="pct"/>
                  <w:shd w:val="clear" w:color="auto" w:fill="auto"/>
                  <w:vAlign w:val="center"/>
                </w:tcPr>
                <w:p w14:paraId="1E2B3434">
                  <w:pPr>
                    <w:spacing w:line="360" w:lineRule="auto"/>
                    <w:jc w:val="center"/>
                    <w:rPr>
                      <w:rFonts w:hint="default" w:eastAsia="宋体"/>
                      <w:bCs/>
                      <w:sz w:val="18"/>
                      <w:szCs w:val="18"/>
                      <w:lang w:val="en-US" w:eastAsia="zh-CN"/>
                    </w:rPr>
                  </w:pPr>
                  <w:r>
                    <w:rPr>
                      <w:rFonts w:hint="eastAsia"/>
                      <w:bCs/>
                      <w:sz w:val="18"/>
                      <w:szCs w:val="18"/>
                      <w:lang w:val="en-US" w:eastAsia="zh-CN"/>
                    </w:rPr>
                    <w:t>锅炉</w:t>
                  </w:r>
                </w:p>
              </w:tc>
              <w:tc>
                <w:tcPr>
                  <w:tcW w:w="1250" w:type="pct"/>
                  <w:shd w:val="clear" w:color="auto" w:fill="auto"/>
                  <w:vAlign w:val="center"/>
                </w:tcPr>
                <w:p w14:paraId="52685A62">
                  <w:pPr>
                    <w:spacing w:line="360" w:lineRule="auto"/>
                    <w:jc w:val="center"/>
                    <w:rPr>
                      <w:rFonts w:hint="default" w:eastAsia="宋体"/>
                      <w:bCs/>
                      <w:sz w:val="18"/>
                      <w:szCs w:val="18"/>
                      <w:lang w:val="en-US" w:eastAsia="zh-CN"/>
                    </w:rPr>
                  </w:pPr>
                  <w:r>
                    <w:rPr>
                      <w:rFonts w:hint="eastAsia"/>
                      <w:bCs/>
                      <w:sz w:val="18"/>
                      <w:szCs w:val="18"/>
                      <w:lang w:val="en-US" w:eastAsia="zh-CN"/>
                    </w:rPr>
                    <w:t>24</w:t>
                  </w:r>
                </w:p>
              </w:tc>
              <w:tc>
                <w:tcPr>
                  <w:tcW w:w="1250" w:type="pct"/>
                  <w:shd w:val="clear" w:color="auto" w:fill="auto"/>
                  <w:vAlign w:val="center"/>
                </w:tcPr>
                <w:p w14:paraId="6415C7D3">
                  <w:pPr>
                    <w:spacing w:line="360" w:lineRule="auto"/>
                    <w:jc w:val="center"/>
                    <w:rPr>
                      <w:rFonts w:hint="default" w:eastAsia="宋体"/>
                      <w:bCs/>
                      <w:sz w:val="18"/>
                      <w:szCs w:val="18"/>
                      <w:lang w:val="en-US" w:eastAsia="zh-CN"/>
                    </w:rPr>
                  </w:pPr>
                  <w:r>
                    <w:rPr>
                      <w:rFonts w:hint="eastAsia"/>
                      <w:bCs/>
                      <w:sz w:val="18"/>
                      <w:szCs w:val="18"/>
                      <w:lang w:val="en-US" w:eastAsia="zh-CN"/>
                    </w:rPr>
                    <w:t>7200</w:t>
                  </w:r>
                </w:p>
              </w:tc>
            </w:tr>
          </w:tbl>
          <w:p w14:paraId="614885EC">
            <w:pPr>
              <w:adjustRightInd w:val="0"/>
              <w:snapToGrid w:val="0"/>
              <w:spacing w:line="360" w:lineRule="auto"/>
              <w:ind w:firstLine="420" w:firstLineChars="200"/>
              <w:rPr>
                <w:color w:val="auto"/>
                <w:szCs w:val="21"/>
              </w:rPr>
            </w:pPr>
          </w:p>
        </w:tc>
      </w:tr>
      <w:tr w14:paraId="56298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483" w:type="pct"/>
            <w:vAlign w:val="center"/>
          </w:tcPr>
          <w:p w14:paraId="1AAA0172">
            <w:pPr>
              <w:pStyle w:val="40"/>
              <w:adjustRightInd w:val="0"/>
              <w:snapToGrid w:val="0"/>
              <w:spacing w:before="0" w:beforeAutospacing="0" w:after="0" w:afterAutospacing="0"/>
              <w:jc w:val="center"/>
              <w:rPr>
                <w:rFonts w:ascii="Times New Roman" w:hAnsi="Times New Roman"/>
                <w:color w:val="auto"/>
                <w:sz w:val="21"/>
                <w:szCs w:val="21"/>
              </w:rPr>
            </w:pPr>
            <w:r>
              <w:rPr>
                <w:rFonts w:ascii="Times New Roman"/>
                <w:color w:val="auto"/>
                <w:sz w:val="21"/>
                <w:szCs w:val="21"/>
              </w:rPr>
              <w:t>工艺流程和产排污环节</w:t>
            </w:r>
          </w:p>
        </w:tc>
        <w:tc>
          <w:tcPr>
            <w:tcW w:w="4516" w:type="pct"/>
          </w:tcPr>
          <w:p w14:paraId="1E723F02">
            <w:pPr>
              <w:snapToGrid w:val="0"/>
              <w:spacing w:line="360" w:lineRule="auto"/>
              <w:ind w:firstLine="422" w:firstLineChars="200"/>
              <w:rPr>
                <w:b/>
                <w:bCs/>
                <w:color w:val="auto"/>
                <w:szCs w:val="21"/>
              </w:rPr>
            </w:pPr>
            <w:r>
              <w:rPr>
                <w:rFonts w:hint="eastAsia"/>
                <w:b/>
                <w:bCs/>
                <w:color w:val="auto"/>
                <w:szCs w:val="21"/>
                <w:lang w:val="en-US" w:eastAsia="zh-CN"/>
              </w:rPr>
              <w:t>2.8</w:t>
            </w:r>
            <w:r>
              <w:rPr>
                <w:b/>
                <w:bCs/>
                <w:color w:val="auto"/>
                <w:szCs w:val="21"/>
              </w:rPr>
              <w:t>工艺流程简述</w:t>
            </w:r>
          </w:p>
          <w:p w14:paraId="382FFBAC">
            <w:pPr>
              <w:spacing w:line="360" w:lineRule="auto"/>
              <w:ind w:firstLine="420" w:firstLineChars="200"/>
              <w:rPr>
                <w:rFonts w:hint="eastAsia"/>
                <w:color w:val="auto"/>
                <w:szCs w:val="21"/>
              </w:rPr>
            </w:pPr>
            <w:r>
              <w:rPr>
                <w:rFonts w:hint="eastAsia"/>
                <w:bCs/>
                <w:szCs w:val="21"/>
              </w:rPr>
              <w:t>本项目</w:t>
            </w:r>
            <w:r>
              <w:rPr>
                <w:bCs/>
                <w:szCs w:val="21"/>
              </w:rPr>
              <w:t>主要产品为</w:t>
            </w:r>
            <w:r>
              <w:rPr>
                <w:rFonts w:hint="eastAsia"/>
                <w:bCs/>
                <w:szCs w:val="21"/>
              </w:rPr>
              <w:t>仿古建筑木构件、木门窗、木屋、砖雕、石雕等</w:t>
            </w:r>
            <w:r>
              <w:rPr>
                <w:rFonts w:hint="eastAsia"/>
                <w:bCs/>
                <w:szCs w:val="21"/>
                <w:lang w:eastAsia="zh-CN"/>
              </w:rPr>
              <w:t>、</w:t>
            </w:r>
            <w:r>
              <w:rPr>
                <w:rFonts w:hint="eastAsia"/>
                <w:bCs/>
                <w:szCs w:val="21"/>
                <w:lang w:val="en-US" w:eastAsia="zh-CN"/>
              </w:rPr>
              <w:t>手工艺品等</w:t>
            </w:r>
            <w:r>
              <w:rPr>
                <w:rFonts w:hint="eastAsia"/>
                <w:color w:val="auto"/>
                <w:szCs w:val="21"/>
              </w:rPr>
              <w:t>。</w:t>
            </w:r>
          </w:p>
          <w:p w14:paraId="602AF046">
            <w:pPr>
              <w:snapToGrid w:val="0"/>
              <w:spacing w:line="360" w:lineRule="auto"/>
              <w:ind w:firstLine="422" w:firstLineChars="200"/>
              <w:rPr>
                <w:b/>
                <w:bCs/>
                <w:color w:val="000000"/>
                <w:szCs w:val="21"/>
              </w:rPr>
            </w:pPr>
            <w:r>
              <w:rPr>
                <w:rFonts w:hint="eastAsia"/>
                <w:b/>
                <w:bCs/>
                <w:color w:val="000000"/>
                <w:szCs w:val="21"/>
              </w:rPr>
              <w:t>①木构件、木门窗、木屋</w:t>
            </w:r>
          </w:p>
          <w:p w14:paraId="14CAF32A">
            <w:pPr>
              <w:snapToGrid w:val="0"/>
              <w:spacing w:line="360" w:lineRule="auto"/>
              <w:ind w:firstLine="420" w:firstLineChars="200"/>
              <w:rPr>
                <w:bCs/>
                <w:color w:val="000000"/>
                <w:szCs w:val="21"/>
              </w:rPr>
            </w:pPr>
            <w:r>
              <w:rPr>
                <w:rFonts w:hint="eastAsia"/>
                <w:bCs/>
                <w:color w:val="000000"/>
                <w:szCs w:val="21"/>
              </w:rPr>
              <w:t>a、原料入场</w:t>
            </w:r>
          </w:p>
          <w:p w14:paraId="3DA99E48">
            <w:pPr>
              <w:snapToGrid w:val="0"/>
              <w:spacing w:line="360" w:lineRule="auto"/>
              <w:ind w:firstLine="420" w:firstLineChars="200"/>
              <w:rPr>
                <w:bCs/>
                <w:color w:val="000000"/>
                <w:szCs w:val="21"/>
              </w:rPr>
            </w:pPr>
            <w:r>
              <w:rPr>
                <w:rFonts w:hint="eastAsia"/>
                <w:bCs/>
                <w:color w:val="000000"/>
                <w:szCs w:val="21"/>
              </w:rPr>
              <w:t>将外购木材经供货方加盖篷布汽车运输至本项目厂区原料堆存处（加工一车间或原材料仓库），外购木材主要包括</w:t>
            </w:r>
            <w:r>
              <w:rPr>
                <w:rFonts w:hint="eastAsia" w:ascii="宋体" w:hAnsi="宋体"/>
                <w:color w:val="000000"/>
              </w:rPr>
              <w:t>东北松、黄花松、落叶松、乌木、云南松、油松、波罗格、榆木、水曲柳、白杨等木材，将木材分区堆存并做好标识；在原料储存区内进行自然</w:t>
            </w:r>
            <w:r>
              <w:rPr>
                <w:rFonts w:hint="eastAsia" w:ascii="宋体" w:hAnsi="宋体"/>
                <w:color w:val="000000"/>
                <w:lang w:val="en-US" w:eastAsia="zh-CN"/>
              </w:rPr>
              <w:t>养生</w:t>
            </w:r>
            <w:r>
              <w:rPr>
                <w:rFonts w:hint="eastAsia" w:ascii="宋体" w:hAnsi="宋体"/>
                <w:color w:val="000000"/>
              </w:rPr>
              <w:t>，</w:t>
            </w:r>
            <w:r>
              <w:rPr>
                <w:rFonts w:hAnsi="宋体"/>
                <w:color w:val="000000"/>
              </w:rPr>
              <w:t>干燥期</w:t>
            </w:r>
            <w:r>
              <w:rPr>
                <w:color w:val="000000"/>
              </w:rPr>
              <w:t>15d</w:t>
            </w:r>
            <w:r>
              <w:rPr>
                <w:rFonts w:hint="eastAsia"/>
                <w:color w:val="000000"/>
                <w:lang w:val="en-US" w:eastAsia="zh-CN"/>
              </w:rPr>
              <w:t>以上</w:t>
            </w:r>
            <w:r>
              <w:rPr>
                <w:rFonts w:hAnsi="宋体"/>
                <w:color w:val="000000"/>
              </w:rPr>
              <w:t>。</w:t>
            </w:r>
          </w:p>
          <w:p w14:paraId="5EAE5601">
            <w:pPr>
              <w:snapToGrid w:val="0"/>
              <w:spacing w:line="360" w:lineRule="auto"/>
              <w:ind w:firstLine="420" w:firstLineChars="200"/>
              <w:rPr>
                <w:bCs/>
                <w:color w:val="000000"/>
                <w:szCs w:val="21"/>
              </w:rPr>
            </w:pPr>
            <w:r>
              <w:rPr>
                <w:rFonts w:hint="eastAsia"/>
                <w:bCs/>
                <w:color w:val="000000"/>
                <w:szCs w:val="21"/>
              </w:rPr>
              <w:t>b、初加工</w:t>
            </w:r>
          </w:p>
          <w:p w14:paraId="25029D7B">
            <w:pPr>
              <w:snapToGrid w:val="0"/>
              <w:spacing w:line="360" w:lineRule="auto"/>
              <w:ind w:firstLine="420" w:firstLineChars="200"/>
              <w:rPr>
                <w:rFonts w:hint="eastAsia"/>
                <w:bCs/>
                <w:color w:val="000000"/>
                <w:szCs w:val="21"/>
                <w:lang w:val="en-US" w:eastAsia="zh-CN"/>
              </w:rPr>
            </w:pPr>
            <w:r>
              <w:rPr>
                <w:rFonts w:hint="eastAsia"/>
                <w:bCs/>
                <w:color w:val="000000"/>
                <w:szCs w:val="21"/>
              </w:rPr>
              <w:t>针对订单，将选取的特定木材料进行配料，</w:t>
            </w:r>
            <w:r>
              <w:rPr>
                <w:rFonts w:hint="eastAsia"/>
                <w:bCs/>
                <w:color w:val="000000"/>
                <w:szCs w:val="21"/>
                <w:lang w:val="en-US" w:eastAsia="zh-CN"/>
              </w:rPr>
              <w:t>初加工主要包括纵向解料、切割，之后利用干燥窑进行周期式烘干，干燥窑容积60m</w:t>
            </w:r>
            <w:r>
              <w:rPr>
                <w:rFonts w:hint="eastAsia"/>
                <w:bCs/>
                <w:color w:val="000000"/>
                <w:szCs w:val="21"/>
                <w:vertAlign w:val="superscript"/>
                <w:lang w:val="en-US" w:eastAsia="zh-CN"/>
              </w:rPr>
              <w:t>3</w:t>
            </w:r>
            <w:r>
              <w:rPr>
                <w:rFonts w:hint="eastAsia"/>
                <w:bCs/>
                <w:color w:val="000000"/>
                <w:szCs w:val="21"/>
                <w:lang w:val="en-US" w:eastAsia="zh-CN"/>
              </w:rPr>
              <w:t>，利用一台2t/h天然气蒸汽锅炉提供热源，将木料含水率控制在8~12%之间。</w:t>
            </w:r>
          </w:p>
          <w:p w14:paraId="76AD8A44">
            <w:pPr>
              <w:snapToGrid w:val="0"/>
              <w:spacing w:line="360" w:lineRule="auto"/>
              <w:ind w:firstLine="420" w:firstLineChars="200"/>
              <w:rPr>
                <w:rFonts w:hint="default"/>
                <w:bCs/>
                <w:color w:val="000000"/>
                <w:szCs w:val="21"/>
                <w:lang w:val="en-US" w:eastAsia="zh-CN"/>
              </w:rPr>
            </w:pPr>
            <w:r>
              <w:rPr>
                <w:rFonts w:hint="eastAsia"/>
                <w:bCs/>
                <w:color w:val="000000"/>
                <w:szCs w:val="21"/>
                <w:lang w:val="en-US" w:eastAsia="zh-CN"/>
              </w:rPr>
              <w:t>经过干燥后的木料通过养生回潮进而消除内应力，之后利用重型四面刨光定基准面，最后形成半成品木料，根据类型暂时码放。</w:t>
            </w:r>
          </w:p>
          <w:p w14:paraId="49D6F9BD">
            <w:pPr>
              <w:snapToGrid w:val="0"/>
              <w:spacing w:line="360" w:lineRule="auto"/>
              <w:ind w:firstLine="420" w:firstLineChars="200"/>
              <w:rPr>
                <w:rFonts w:hint="eastAsia" w:eastAsia="宋体"/>
                <w:bCs/>
                <w:color w:val="000000"/>
                <w:szCs w:val="21"/>
                <w:lang w:eastAsia="zh-CN"/>
              </w:rPr>
            </w:pPr>
            <w:r>
              <w:rPr>
                <w:rFonts w:hint="eastAsia"/>
                <w:bCs/>
                <w:color w:val="000000"/>
                <w:szCs w:val="21"/>
                <w:lang w:val="en-US" w:eastAsia="zh-CN"/>
              </w:rPr>
              <w:t>木料初加工工序均在五车间内进行，初加工</w:t>
            </w:r>
            <w:r>
              <w:rPr>
                <w:rFonts w:hint="eastAsia"/>
                <w:bCs/>
                <w:color w:val="000000"/>
                <w:szCs w:val="21"/>
              </w:rPr>
              <w:t>过程会产生一定的粉尘</w:t>
            </w:r>
            <w:r>
              <w:rPr>
                <w:rFonts w:hint="eastAsia"/>
                <w:bCs/>
                <w:color w:val="000000"/>
                <w:szCs w:val="21"/>
                <w:lang w:eastAsia="zh-CN"/>
              </w:rPr>
              <w:t>、</w:t>
            </w:r>
            <w:r>
              <w:rPr>
                <w:rFonts w:hint="eastAsia"/>
                <w:bCs/>
                <w:color w:val="000000"/>
                <w:szCs w:val="21"/>
                <w:lang w:val="en-US" w:eastAsia="zh-CN"/>
              </w:rPr>
              <w:t>设备运行噪声等</w:t>
            </w:r>
            <w:r>
              <w:rPr>
                <w:rFonts w:hint="eastAsia"/>
                <w:bCs/>
                <w:color w:val="000000"/>
                <w:szCs w:val="21"/>
              </w:rPr>
              <w:t>，</w:t>
            </w:r>
            <w:r>
              <w:rPr>
                <w:rFonts w:hint="eastAsia"/>
                <w:bCs/>
                <w:color w:val="000000"/>
                <w:szCs w:val="21"/>
                <w:lang w:val="en-US" w:eastAsia="zh-CN"/>
              </w:rPr>
              <w:t>废气</w:t>
            </w:r>
            <w:r>
              <w:rPr>
                <w:rFonts w:hint="eastAsia"/>
                <w:bCs/>
                <w:color w:val="000000"/>
                <w:szCs w:val="21"/>
              </w:rPr>
              <w:t>主要为木质颗粒物</w:t>
            </w:r>
            <w:r>
              <w:rPr>
                <w:rFonts w:hint="eastAsia"/>
                <w:bCs/>
                <w:color w:val="000000"/>
                <w:szCs w:val="21"/>
                <w:lang w:eastAsia="zh-CN"/>
              </w:rPr>
              <w:t>。</w:t>
            </w:r>
          </w:p>
          <w:p w14:paraId="6137C40A">
            <w:pPr>
              <w:snapToGrid w:val="0"/>
              <w:spacing w:line="360" w:lineRule="auto"/>
              <w:ind w:firstLine="420" w:firstLineChars="200"/>
              <w:rPr>
                <w:rFonts w:hint="default" w:eastAsia="宋体"/>
                <w:bCs/>
                <w:color w:val="000000"/>
                <w:szCs w:val="21"/>
                <w:lang w:val="en-US" w:eastAsia="zh-CN"/>
              </w:rPr>
            </w:pPr>
            <w:r>
              <w:rPr>
                <w:rFonts w:hint="eastAsia"/>
                <w:bCs/>
                <w:color w:val="000000"/>
                <w:szCs w:val="21"/>
              </w:rPr>
              <w:t>c、</w:t>
            </w:r>
            <w:r>
              <w:rPr>
                <w:rFonts w:hint="eastAsia"/>
                <w:bCs/>
                <w:color w:val="000000"/>
                <w:szCs w:val="21"/>
                <w:lang w:val="en-US" w:eastAsia="zh-CN"/>
              </w:rPr>
              <w:t>深加工</w:t>
            </w:r>
          </w:p>
          <w:p w14:paraId="52325BFC">
            <w:pPr>
              <w:snapToGrid w:val="0"/>
              <w:spacing w:line="360" w:lineRule="auto"/>
              <w:ind w:firstLine="420" w:firstLineChars="200"/>
              <w:rPr>
                <w:rFonts w:hint="eastAsia"/>
                <w:bCs/>
                <w:color w:val="000000"/>
                <w:szCs w:val="21"/>
                <w:lang w:val="en-US" w:eastAsia="zh-CN"/>
              </w:rPr>
            </w:pPr>
            <w:r>
              <w:rPr>
                <w:rFonts w:hint="eastAsia"/>
                <w:bCs/>
                <w:color w:val="000000"/>
                <w:szCs w:val="21"/>
                <w:lang w:val="en-US" w:eastAsia="zh-CN"/>
              </w:rPr>
              <w:t>木料深加工主要针对订单要求，对初步加工后的木料进行深度加工，首先指接拼版，利用小板拼接成大板，之后进行砂光定厚，利用数控开榫机加工榫头、榫槽机加工卯眼；利用立轴铣床加工线条、型面等，之后将木料进行拼装，采用液压组框机拼装框架，主要为木门窗、木屋墙体等；做好的半成品经自动防腐涂装机淋涂防腐剂</w:t>
            </w:r>
            <w:r>
              <w:rPr>
                <w:rFonts w:hint="eastAsia"/>
                <w:bCs/>
                <w:color w:val="000000"/>
                <w:szCs w:val="21"/>
              </w:rPr>
              <w:t>；</w:t>
            </w:r>
            <w:r>
              <w:rPr>
                <w:rFonts w:hint="eastAsia"/>
                <w:bCs/>
                <w:color w:val="000000"/>
                <w:szCs w:val="21"/>
                <w:lang w:val="en-US" w:eastAsia="zh-CN"/>
              </w:rPr>
              <w:t>之后自然晾干，转运至三车间加工或包装待售。</w:t>
            </w:r>
          </w:p>
          <w:p w14:paraId="7BBBF510">
            <w:pPr>
              <w:snapToGrid w:val="0"/>
              <w:spacing w:line="360" w:lineRule="auto"/>
              <w:ind w:firstLine="420" w:firstLineChars="200"/>
              <w:rPr>
                <w:rFonts w:hint="default"/>
                <w:bCs/>
                <w:color w:val="000000"/>
                <w:szCs w:val="21"/>
                <w:lang w:val="en-US" w:eastAsia="zh-CN"/>
              </w:rPr>
            </w:pPr>
            <w:r>
              <w:rPr>
                <w:rFonts w:hint="eastAsia"/>
                <w:bCs/>
                <w:color w:val="000000"/>
                <w:szCs w:val="21"/>
                <w:lang w:val="en-US" w:eastAsia="zh-CN"/>
              </w:rPr>
              <w:t>木料深加工主要在四车间内进行，深加工过程中会产生一定的粉尘，主要为木质颗粒物，还伴有设备运行噪声。</w:t>
            </w:r>
          </w:p>
          <w:p w14:paraId="4FDB8778">
            <w:pPr>
              <w:snapToGrid w:val="0"/>
              <w:spacing w:line="360" w:lineRule="auto"/>
              <w:ind w:firstLine="420" w:firstLineChars="200"/>
              <w:rPr>
                <w:rFonts w:hint="default" w:eastAsia="宋体"/>
                <w:bCs/>
                <w:color w:val="000000"/>
                <w:szCs w:val="21"/>
                <w:lang w:val="en-US" w:eastAsia="zh-CN"/>
              </w:rPr>
            </w:pPr>
            <w:r>
              <w:rPr>
                <w:rFonts w:hint="eastAsia"/>
                <w:bCs/>
                <w:color w:val="000000"/>
                <w:szCs w:val="21"/>
              </w:rPr>
              <w:t>d、</w:t>
            </w:r>
            <w:r>
              <w:rPr>
                <w:rFonts w:hint="eastAsia"/>
                <w:bCs/>
                <w:color w:val="000000"/>
                <w:szCs w:val="21"/>
                <w:lang w:val="en-US" w:eastAsia="zh-CN"/>
              </w:rPr>
              <w:t>精加工</w:t>
            </w:r>
          </w:p>
          <w:p w14:paraId="3BD0F5A9">
            <w:pPr>
              <w:snapToGrid w:val="0"/>
              <w:spacing w:line="360" w:lineRule="auto"/>
              <w:ind w:firstLine="420" w:firstLineChars="200"/>
              <w:rPr>
                <w:rFonts w:hint="default" w:eastAsia="宋体"/>
                <w:bCs/>
                <w:color w:val="000000"/>
                <w:szCs w:val="21"/>
                <w:lang w:val="en-US" w:eastAsia="zh-CN"/>
              </w:rPr>
            </w:pPr>
            <w:r>
              <w:rPr>
                <w:rFonts w:hint="eastAsia"/>
                <w:bCs/>
                <w:color w:val="000000"/>
                <w:szCs w:val="21"/>
                <w:lang w:val="en-US" w:eastAsia="zh-CN"/>
              </w:rPr>
              <w:t>经四车间产出的榫卯半成品，进行数控精雕、花格加工、砂光打磨及油漆涂装，产出最终成品。主要利用CNC木工雕刻机精雕斗拱/雀替/花板等异形构件、花格数控加工中心加工花格棂条，之后进行手工精修打磨，去除毛刺等，利用宽带砂光机表面定厚砂光后，部分产品经检验后包装入库，部分产品需要进行喷漆，采用水帘式喷漆柜喷涂底漆（1遍），喷漆后在晾干室进行干燥，干燥完毕后由砂光机进行轻磨，之后喷涂面漆（2遍），喷漆后的成品经晾干、成品检验后包装入仓库待售。</w:t>
            </w:r>
          </w:p>
          <w:p w14:paraId="1682822C">
            <w:pPr>
              <w:snapToGrid w:val="0"/>
              <w:spacing w:line="360" w:lineRule="auto"/>
              <w:ind w:firstLine="420" w:firstLineChars="200"/>
              <w:rPr>
                <w:rFonts w:hint="eastAsia" w:eastAsia="宋体"/>
                <w:bCs/>
                <w:color w:val="000000"/>
                <w:szCs w:val="21"/>
                <w:lang w:val="en-US" w:eastAsia="zh-CN"/>
              </w:rPr>
            </w:pPr>
            <w:r>
              <w:rPr>
                <w:rFonts w:hint="eastAsia"/>
                <w:bCs/>
                <w:color w:val="000000"/>
                <w:szCs w:val="21"/>
                <w:lang w:val="en-US" w:eastAsia="zh-CN"/>
              </w:rPr>
              <w:t>雕刻、打磨、砂光过程均会产生一定的颗粒物，</w:t>
            </w:r>
            <w:r>
              <w:rPr>
                <w:rFonts w:hint="eastAsia"/>
                <w:bCs/>
                <w:color w:val="000000"/>
                <w:szCs w:val="21"/>
              </w:rPr>
              <w:t>喷涂油漆过程会产生一定的漆雾和VOCs废气。</w:t>
            </w:r>
          </w:p>
          <w:p w14:paraId="5DA86265">
            <w:pPr>
              <w:snapToGrid w:val="0"/>
              <w:spacing w:line="360" w:lineRule="auto"/>
              <w:ind w:firstLine="422" w:firstLineChars="200"/>
              <w:rPr>
                <w:b/>
                <w:bCs/>
                <w:color w:val="000000"/>
                <w:szCs w:val="21"/>
              </w:rPr>
            </w:pPr>
            <w:r>
              <w:rPr>
                <w:rFonts w:hint="eastAsia"/>
                <w:b/>
                <w:bCs/>
                <w:color w:val="000000"/>
                <w:szCs w:val="21"/>
              </w:rPr>
              <w:t>②石雕</w:t>
            </w:r>
          </w:p>
          <w:p w14:paraId="32E49090">
            <w:pPr>
              <w:snapToGrid w:val="0"/>
              <w:spacing w:line="360" w:lineRule="auto"/>
              <w:ind w:firstLine="420" w:firstLineChars="200"/>
              <w:rPr>
                <w:rFonts w:hint="eastAsia"/>
                <w:bCs/>
                <w:color w:val="000000"/>
                <w:szCs w:val="21"/>
                <w:lang w:val="en-US" w:eastAsia="zh-CN"/>
              </w:rPr>
            </w:pPr>
            <w:r>
              <w:rPr>
                <w:rFonts w:hint="eastAsia"/>
                <w:bCs/>
                <w:color w:val="000000"/>
                <w:szCs w:val="21"/>
                <w:lang w:val="en-US" w:eastAsia="zh-CN"/>
              </w:rPr>
              <w:t>石材荒料进厂→红外线石材切割机荒料分割（根据构件尺寸锯切成毛坯）→桥式石材切割机板材精切（加工基准面）→数控石材雕刻机粗雕/精雕（三维造型加工）→仿形雕刻机批量复制标准件→石材抛光机水磨抛光（使用不同目数磨料逐级抛光至设计要求）→手工精修打磨（角磨机局部细修、线条修整）→做旧处理（仿古效果）→成品检验→包装出厂。</w:t>
            </w:r>
          </w:p>
          <w:p w14:paraId="2FF62E33">
            <w:pPr>
              <w:snapToGrid w:val="0"/>
              <w:spacing w:line="360" w:lineRule="auto"/>
              <w:ind w:firstLine="422" w:firstLineChars="200"/>
              <w:rPr>
                <w:rFonts w:hint="eastAsia"/>
                <w:b/>
                <w:bCs/>
                <w:color w:val="000000"/>
                <w:szCs w:val="21"/>
              </w:rPr>
            </w:pPr>
            <w:r>
              <w:rPr>
                <w:rFonts w:hint="default"/>
                <w:b/>
                <w:bCs/>
                <w:color w:val="000000"/>
                <w:szCs w:val="21"/>
                <w:lang w:val="en-US" w:eastAsia="zh-CN"/>
              </w:rPr>
              <w:t>③</w:t>
            </w:r>
            <w:r>
              <w:rPr>
                <w:rFonts w:hint="eastAsia"/>
                <w:b/>
                <w:bCs/>
                <w:color w:val="000000"/>
                <w:szCs w:val="21"/>
              </w:rPr>
              <w:t>砖雕</w:t>
            </w:r>
          </w:p>
          <w:p w14:paraId="77116B3D">
            <w:pPr>
              <w:snapToGrid w:val="0"/>
              <w:spacing w:line="360" w:lineRule="auto"/>
              <w:ind w:firstLine="420" w:firstLineChars="200"/>
              <w:rPr>
                <w:rFonts w:hint="eastAsia"/>
                <w:bCs/>
                <w:color w:val="000000"/>
                <w:szCs w:val="21"/>
              </w:rPr>
            </w:pPr>
            <w:r>
              <w:rPr>
                <w:rFonts w:hint="eastAsia"/>
                <w:bCs/>
                <w:color w:val="000000"/>
                <w:szCs w:val="21"/>
              </w:rPr>
              <w:t>选取特定的</w:t>
            </w:r>
            <w:r>
              <w:rPr>
                <w:rFonts w:hint="eastAsia"/>
                <w:bCs/>
                <w:color w:val="000000"/>
                <w:szCs w:val="21"/>
                <w:lang w:val="en-US" w:eastAsia="zh-CN"/>
              </w:rPr>
              <w:t>砖材，取料后进行切割预成型</w:t>
            </w:r>
            <w:r>
              <w:rPr>
                <w:rFonts w:hint="eastAsia"/>
                <w:bCs/>
                <w:color w:val="000000"/>
                <w:szCs w:val="21"/>
              </w:rPr>
              <w:t>→</w:t>
            </w:r>
            <w:r>
              <w:rPr>
                <w:rFonts w:hint="eastAsia"/>
                <w:bCs/>
                <w:color w:val="000000"/>
                <w:szCs w:val="21"/>
                <w:lang w:val="en-US" w:eastAsia="zh-CN"/>
              </w:rPr>
              <w:t>放样划线（传统手工放样或模板拓印）</w:t>
            </w:r>
            <w:r>
              <w:rPr>
                <w:rFonts w:hint="eastAsia"/>
                <w:bCs/>
                <w:color w:val="000000"/>
                <w:szCs w:val="21"/>
              </w:rPr>
              <w:t>→</w:t>
            </w:r>
            <w:r>
              <w:rPr>
                <w:rFonts w:hint="eastAsia"/>
                <w:bCs/>
                <w:color w:val="000000"/>
                <w:szCs w:val="21"/>
                <w:lang w:val="en-US" w:eastAsia="zh-CN"/>
              </w:rPr>
              <w:t>人工粗雕</w:t>
            </w:r>
            <w:r>
              <w:rPr>
                <w:rFonts w:hint="eastAsia"/>
                <w:bCs/>
                <w:color w:val="000000"/>
                <w:szCs w:val="21"/>
              </w:rPr>
              <w:t>（电磨工具去除大块余料）→数控砖雕雕刻机精雕（细节纹样加工）→手工细修（传统刀具修整线条、恢复手工感）→打磨平整→做旧处理（物理做旧/化学做旧）→半成品缓存→（需烧制构件）装窑→隧道窑连续烧制（烧成温度950~1050℃）→出窑冷却→检验→包装出厂。</w:t>
            </w:r>
          </w:p>
          <w:p w14:paraId="5D5B52FF">
            <w:pPr>
              <w:snapToGrid w:val="0"/>
              <w:spacing w:line="360" w:lineRule="auto"/>
              <w:ind w:firstLine="308" w:firstLineChars="147"/>
              <w:rPr>
                <w:rFonts w:hint="eastAsia"/>
                <w:b/>
                <w:color w:val="auto"/>
                <w:szCs w:val="21"/>
                <w:lang w:val="en-US" w:eastAsia="zh-CN"/>
              </w:rPr>
            </w:pPr>
            <w:r>
              <w:rPr>
                <w:rFonts w:hint="eastAsia"/>
                <w:bCs/>
                <w:color w:val="000000"/>
                <w:szCs w:val="21"/>
              </w:rPr>
              <w:t>此过程会产生一定的粉尘，主要为砖粉颗粒物；</w:t>
            </w:r>
          </w:p>
          <w:p w14:paraId="74EE374E">
            <w:pPr>
              <w:snapToGrid w:val="0"/>
              <w:spacing w:line="360" w:lineRule="auto"/>
              <w:ind w:firstLine="521" w:firstLineChars="247"/>
              <w:rPr>
                <w:b/>
                <w:color w:val="auto"/>
                <w:szCs w:val="21"/>
              </w:rPr>
            </w:pPr>
            <w:r>
              <w:rPr>
                <w:rFonts w:hint="eastAsia"/>
                <w:b/>
                <w:color w:val="auto"/>
                <w:szCs w:val="21"/>
                <w:lang w:val="en-US" w:eastAsia="zh-CN"/>
              </w:rPr>
              <w:t>2.9</w:t>
            </w:r>
            <w:r>
              <w:rPr>
                <w:rFonts w:hint="eastAsia"/>
                <w:b/>
                <w:color w:val="auto"/>
                <w:szCs w:val="21"/>
              </w:rPr>
              <w:t>产排污</w:t>
            </w:r>
            <w:r>
              <w:rPr>
                <w:b/>
                <w:color w:val="auto"/>
                <w:szCs w:val="21"/>
              </w:rPr>
              <w:t>环节</w:t>
            </w:r>
          </w:p>
          <w:p w14:paraId="3298F3A0">
            <w:pPr>
              <w:snapToGrid w:val="0"/>
              <w:spacing w:line="360" w:lineRule="auto"/>
              <w:ind w:firstLine="422" w:firstLineChars="200"/>
              <w:rPr>
                <w:b/>
                <w:bCs/>
                <w:szCs w:val="21"/>
              </w:rPr>
            </w:pPr>
            <w:r>
              <w:rPr>
                <w:b/>
                <w:bCs/>
                <w:szCs w:val="21"/>
              </w:rPr>
              <w:t>施工期污染因素分析</w:t>
            </w:r>
          </w:p>
          <w:p w14:paraId="7D46389B">
            <w:pPr>
              <w:snapToGrid w:val="0"/>
              <w:spacing w:line="360" w:lineRule="auto"/>
              <w:ind w:firstLine="420" w:firstLineChars="200"/>
              <w:rPr>
                <w:bCs/>
                <w:szCs w:val="21"/>
              </w:rPr>
            </w:pPr>
            <w:r>
              <w:rPr>
                <w:bCs/>
                <w:szCs w:val="21"/>
              </w:rPr>
              <w:t>主要为施工扬尘、施工废水和施工人员生活污水、固体废物、施工机械噪声等。</w:t>
            </w:r>
          </w:p>
          <w:p w14:paraId="17D74CEC">
            <w:pPr>
              <w:snapToGrid w:val="0"/>
              <w:spacing w:line="360" w:lineRule="auto"/>
              <w:ind w:firstLine="422" w:firstLineChars="200"/>
              <w:rPr>
                <w:b/>
                <w:bCs/>
                <w:szCs w:val="21"/>
              </w:rPr>
            </w:pPr>
            <w:r>
              <w:rPr>
                <w:b/>
                <w:bCs/>
                <w:szCs w:val="21"/>
              </w:rPr>
              <w:t>运行期污染影响因素分析</w:t>
            </w:r>
          </w:p>
          <w:p w14:paraId="1406BC96">
            <w:pPr>
              <w:autoSpaceDE w:val="0"/>
              <w:autoSpaceDN w:val="0"/>
              <w:adjustRightInd w:val="0"/>
              <w:spacing w:line="360" w:lineRule="auto"/>
              <w:ind w:firstLine="420" w:firstLineChars="200"/>
              <w:jc w:val="left"/>
              <w:rPr>
                <w:color w:val="000000"/>
                <w:szCs w:val="21"/>
              </w:rPr>
            </w:pPr>
            <w:r>
              <w:rPr>
                <w:rFonts w:hint="eastAsia" w:ascii="宋体" w:hAnsi="宋体" w:cs="宋体"/>
                <w:color w:val="000000"/>
                <w:szCs w:val="21"/>
              </w:rPr>
              <w:t>①</w:t>
            </w:r>
            <w:r>
              <w:rPr>
                <w:color w:val="000000"/>
                <w:szCs w:val="21"/>
              </w:rPr>
              <w:t>大气污染影响因素</w:t>
            </w:r>
            <w:r>
              <w:rPr>
                <w:rFonts w:hint="eastAsia"/>
                <w:color w:val="000000"/>
                <w:szCs w:val="21"/>
              </w:rPr>
              <w:t>：木构件、木门窗、木屋等加工废气，主要污染物为颗粒物、VOCs等；砖雕、石雕加工废气，主要污染物为颗粒物</w:t>
            </w:r>
            <w:r>
              <w:rPr>
                <w:szCs w:val="21"/>
              </w:rPr>
              <w:t>。</w:t>
            </w:r>
          </w:p>
          <w:p w14:paraId="7C92CCB1">
            <w:pPr>
              <w:autoSpaceDE w:val="0"/>
              <w:autoSpaceDN w:val="0"/>
              <w:adjustRightInd w:val="0"/>
              <w:spacing w:line="360" w:lineRule="auto"/>
              <w:ind w:firstLine="420" w:firstLineChars="200"/>
              <w:jc w:val="left"/>
              <w:rPr>
                <w:color w:val="000000"/>
                <w:szCs w:val="21"/>
              </w:rPr>
            </w:pPr>
            <w:r>
              <w:rPr>
                <w:rFonts w:hint="eastAsia" w:ascii="宋体" w:hAnsi="宋体" w:cs="宋体"/>
                <w:color w:val="000000"/>
                <w:szCs w:val="21"/>
              </w:rPr>
              <w:t>②</w:t>
            </w:r>
            <w:r>
              <w:rPr>
                <w:color w:val="000000"/>
                <w:szCs w:val="21"/>
              </w:rPr>
              <w:t>水污染影响因素</w:t>
            </w:r>
            <w:r>
              <w:rPr>
                <w:rFonts w:hint="eastAsia"/>
                <w:color w:val="000000"/>
                <w:szCs w:val="21"/>
              </w:rPr>
              <w:t>：</w:t>
            </w:r>
            <w:r>
              <w:rPr>
                <w:szCs w:val="21"/>
              </w:rPr>
              <w:t>生活污水</w:t>
            </w:r>
            <w:r>
              <w:rPr>
                <w:rFonts w:hint="eastAsia"/>
                <w:szCs w:val="21"/>
              </w:rPr>
              <w:t>、车间地面冲洗废水</w:t>
            </w:r>
            <w:r>
              <w:rPr>
                <w:szCs w:val="21"/>
              </w:rPr>
              <w:t>等</w:t>
            </w:r>
            <w:r>
              <w:rPr>
                <w:rFonts w:hint="eastAsia"/>
                <w:szCs w:val="21"/>
              </w:rPr>
              <w:t>。</w:t>
            </w:r>
          </w:p>
          <w:p w14:paraId="6493FCFE">
            <w:pPr>
              <w:autoSpaceDE w:val="0"/>
              <w:autoSpaceDN w:val="0"/>
              <w:adjustRightInd w:val="0"/>
              <w:spacing w:line="360" w:lineRule="auto"/>
              <w:ind w:firstLine="420" w:firstLineChars="200"/>
              <w:jc w:val="left"/>
              <w:rPr>
                <w:color w:val="000000"/>
                <w:szCs w:val="21"/>
              </w:rPr>
            </w:pPr>
            <w:r>
              <w:rPr>
                <w:rFonts w:hint="eastAsia" w:ascii="宋体" w:hAnsi="宋体" w:cs="宋体"/>
                <w:color w:val="000000"/>
                <w:szCs w:val="21"/>
              </w:rPr>
              <w:t>③</w:t>
            </w:r>
            <w:r>
              <w:rPr>
                <w:color w:val="000000"/>
                <w:szCs w:val="21"/>
              </w:rPr>
              <w:t>固体废物污染影响因素</w:t>
            </w:r>
            <w:r>
              <w:rPr>
                <w:rFonts w:hint="eastAsia"/>
                <w:color w:val="000000"/>
                <w:szCs w:val="21"/>
              </w:rPr>
              <w:t>：边角料、废渣废屑、除尘灰、沉渣、废活性炭、</w:t>
            </w:r>
            <w:r>
              <w:rPr>
                <w:rFonts w:hint="eastAsia"/>
                <w:color w:val="000000"/>
                <w:szCs w:val="21"/>
                <w:lang w:val="en-US" w:eastAsia="zh-CN"/>
              </w:rPr>
              <w:t>废催化剂、</w:t>
            </w:r>
            <w:r>
              <w:rPr>
                <w:rFonts w:hint="eastAsia"/>
                <w:color w:val="000000"/>
                <w:szCs w:val="21"/>
              </w:rPr>
              <w:t>废过滤棉、废机油、漆渣</w:t>
            </w:r>
            <w:r>
              <w:rPr>
                <w:color w:val="000000"/>
                <w:szCs w:val="21"/>
              </w:rPr>
              <w:t>等。</w:t>
            </w:r>
          </w:p>
          <w:p w14:paraId="59D08288">
            <w:pPr>
              <w:spacing w:line="360" w:lineRule="auto"/>
              <w:ind w:left="420" w:leftChars="200" w:firstLine="0" w:firstLineChars="0"/>
              <w:rPr>
                <w:rFonts w:hint="eastAsia"/>
                <w:b/>
                <w:color w:val="auto"/>
                <w:szCs w:val="21"/>
                <w:lang w:val="en-US" w:eastAsia="zh-CN"/>
              </w:rPr>
            </w:pPr>
            <w:r>
              <w:rPr>
                <w:rFonts w:hint="eastAsia" w:ascii="宋体" w:hAnsi="宋体" w:cs="宋体"/>
                <w:color w:val="000000"/>
                <w:szCs w:val="21"/>
              </w:rPr>
              <w:t>④</w:t>
            </w:r>
            <w:r>
              <w:rPr>
                <w:color w:val="000000"/>
                <w:szCs w:val="21"/>
              </w:rPr>
              <w:t>噪声污染影响因素</w:t>
            </w:r>
            <w:r>
              <w:rPr>
                <w:rFonts w:hint="eastAsia"/>
                <w:color w:val="000000"/>
                <w:szCs w:val="21"/>
              </w:rPr>
              <w:t>：加工</w:t>
            </w:r>
            <w:r>
              <w:rPr>
                <w:bCs/>
                <w:color w:val="000000"/>
                <w:szCs w:val="21"/>
              </w:rPr>
              <w:t>设备运行</w:t>
            </w:r>
            <w:r>
              <w:rPr>
                <w:szCs w:val="21"/>
              </w:rPr>
              <w:t>时产生的噪声，噪声在75-95dB（A）之间。</w:t>
            </w:r>
            <w:r>
              <w:rPr>
                <w:rFonts w:hint="eastAsia"/>
                <w:b/>
                <w:color w:val="auto"/>
                <w:szCs w:val="21"/>
                <w:lang w:val="en-US" w:eastAsia="zh-CN"/>
              </w:rPr>
              <w:t>2.10运营期工艺流程和产排污环节图</w:t>
            </w:r>
          </w:p>
          <w:p w14:paraId="35D14587">
            <w:pPr>
              <w:spacing w:line="360" w:lineRule="auto"/>
              <w:ind w:left="420" w:leftChars="200" w:firstLine="0" w:firstLineChars="0"/>
              <w:rPr>
                <w:rFonts w:hint="eastAsia"/>
                <w:b/>
                <w:color w:val="auto"/>
                <w:szCs w:val="21"/>
                <w:lang w:val="en-US" w:eastAsia="zh-CN"/>
              </w:rPr>
            </w:pPr>
          </w:p>
          <w:p w14:paraId="683805F9">
            <w:pPr>
              <w:spacing w:line="360" w:lineRule="auto"/>
              <w:ind w:left="420" w:leftChars="200" w:firstLine="0" w:firstLineChars="0"/>
              <w:rPr>
                <w:rFonts w:hint="eastAsia"/>
                <w:b/>
                <w:color w:val="auto"/>
                <w:szCs w:val="21"/>
                <w:lang w:val="en-US" w:eastAsia="zh-CN"/>
              </w:rPr>
            </w:pPr>
          </w:p>
          <w:p w14:paraId="36ECE84E">
            <w:pPr>
              <w:tabs>
                <w:tab w:val="center" w:pos="4535"/>
              </w:tabs>
              <w:spacing w:beforeLines="20" w:line="500" w:lineRule="exact"/>
              <w:jc w:val="center"/>
              <w:rPr>
                <w:b/>
                <w:color w:val="auto"/>
                <w:sz w:val="24"/>
              </w:rPr>
            </w:pPr>
            <w:r>
              <w:rPr>
                <w:sz w:val="21"/>
              </w:rPr>
              <w:pict>
                <v:group id="_x0000_s2374" o:spid="_x0000_s2374" o:spt="203" style="position:absolute;left:0pt;margin-left:12pt;margin-top:9.3pt;height:158.85pt;width:355.95pt;z-index:251662336;mso-width-relative:page;mso-height-relative:page;" coordorigin="2929,380476" coordsize="7119,3177">
                  <o:lock v:ext="edit" aspectratio="f"/>
                  <v:shape id="_x0000_s2134" o:spid="_x0000_s2134" o:spt="109" type="#_x0000_t109" style="position:absolute;left:4525;top:381213;height:436;width:1203;" fillcolor="#FFFFFF" filled="t" stroked="t" coordsize="21600,21600">
                    <v:path/>
                    <v:fill on="t" color2="#FFFFFF" opacity="0f" focussize="0,0"/>
                    <v:stroke color="#000000" joinstyle="miter"/>
                    <v:imagedata o:title=""/>
                    <o:lock v:ext="edit" aspectratio="f"/>
                    <v:textbox>
                      <w:txbxContent>
                        <w:p w14:paraId="65167936">
                          <w:pPr>
                            <w:jc w:val="center"/>
                            <w:rPr>
                              <w:rFonts w:hint="default" w:eastAsia="宋体"/>
                              <w:szCs w:val="21"/>
                              <w:lang w:val="en-US" w:eastAsia="zh-CN"/>
                            </w:rPr>
                          </w:pPr>
                          <w:r>
                            <w:rPr>
                              <w:rFonts w:hint="eastAsia"/>
                              <w:szCs w:val="21"/>
                              <w:lang w:val="en-US" w:eastAsia="zh-CN"/>
                            </w:rPr>
                            <w:t>卸料堆存</w:t>
                          </w:r>
                        </w:p>
                      </w:txbxContent>
                    </v:textbox>
                  </v:shape>
                  <v:shape id="_x0000_s2136" o:spid="_x0000_s2136" o:spt="109" type="#_x0000_t109" style="position:absolute;left:2929;top:381212;height:437;width:1161;" fillcolor="#FFFFFF" filled="t" stroked="f" coordsize="21600,21600">
                    <v:path/>
                    <v:fill on="t" color2="#FFFFFF" opacity="0f" focussize="0,0"/>
                    <v:stroke on="f"/>
                    <v:imagedata o:title=""/>
                    <o:lock v:ext="edit" aspectratio="f"/>
                    <v:textbox>
                      <w:txbxContent>
                        <w:p w14:paraId="32C8A6A6">
                          <w:pPr>
                            <w:jc w:val="center"/>
                            <w:rPr>
                              <w:szCs w:val="21"/>
                            </w:rPr>
                          </w:pPr>
                          <w:r>
                            <w:rPr>
                              <w:rFonts w:hint="eastAsia"/>
                              <w:szCs w:val="21"/>
                            </w:rPr>
                            <w:t>木材料</w:t>
                          </w:r>
                        </w:p>
                      </w:txbxContent>
                    </v:textbox>
                  </v:shape>
                  <v:shape id="_x0000_s2137" o:spid="_x0000_s2137" o:spt="32" type="#_x0000_t32" style="position:absolute;left:3958;top:381451;height:0;width:567;" filled="f" stroked="t" coordsize="21600,21600">
                    <v:path arrowok="t"/>
                    <v:fill on="f" focussize="0,0"/>
                    <v:stroke color="#000000" endarrow="block"/>
                    <v:imagedata o:title=""/>
                    <o:lock v:ext="edit" aspectratio="f"/>
                  </v:shape>
                  <v:rect id="_x0000_s2140" o:spid="_x0000_s2140" o:spt="1" style="position:absolute;left:8104;top:380476;height:468;width:1945;" filled="f" stroked="f" coordsize="21600,21600">
                    <v:path/>
                    <v:fill on="f" focussize="0,0"/>
                    <v:stroke on="f"/>
                    <v:imagedata o:title=""/>
                    <o:lock v:ext="edit" aspectratio="f"/>
                    <v:textbox>
                      <w:txbxContent>
                        <w:p w14:paraId="36BB6BF9">
                          <w:pPr>
                            <w:jc w:val="center"/>
                            <w:rPr>
                              <w:rFonts w:eastAsia="楷体"/>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143" o:spid="_x0000_s2143" o:spt="109" type="#_x0000_t109" style="position:absolute;left:6405;top:381212;height:436;width:1278;" fillcolor="#FFFFFF" filled="t" stroked="t" coordsize="21600,21600">
                    <v:path/>
                    <v:fill on="t" color2="#FFFFFF" opacity="0f" focussize="0,0"/>
                    <v:stroke color="#000000" joinstyle="miter"/>
                    <v:imagedata o:title=""/>
                    <o:lock v:ext="edit" aspectratio="f"/>
                    <v:textbox>
                      <w:txbxContent>
                        <w:p w14:paraId="58DAFC4D">
                          <w:pPr>
                            <w:jc w:val="center"/>
                            <w:rPr>
                              <w:rFonts w:hint="default" w:eastAsia="宋体"/>
                              <w:szCs w:val="21"/>
                              <w:lang w:val="en-US" w:eastAsia="zh-CN"/>
                            </w:rPr>
                          </w:pPr>
                          <w:r>
                            <w:rPr>
                              <w:rFonts w:hint="eastAsia"/>
                              <w:szCs w:val="21"/>
                              <w:lang w:val="en-US" w:eastAsia="zh-CN"/>
                            </w:rPr>
                            <w:t>自然养生</w:t>
                          </w:r>
                        </w:p>
                      </w:txbxContent>
                    </v:textbox>
                  </v:shape>
                  <v:shape id="_x0000_s2144" o:spid="_x0000_s2144" o:spt="32" type="#_x0000_t32" style="position:absolute;left:5788;top:381426;height:0;width:567;" filled="f" stroked="t" coordsize="21600,21600">
                    <v:path arrowok="t"/>
                    <v:fill on="f" focussize="0,0"/>
                    <v:stroke color="#000000" endarrow="block"/>
                    <v:imagedata o:title=""/>
                    <o:lock v:ext="edit" aspectratio="f"/>
                  </v:shape>
                  <v:shape id="_x0000_s2145" o:spid="_x0000_s2145" o:spt="109" type="#_x0000_t109" style="position:absolute;left:8272;top:381211;height:436;width:1650;" fillcolor="#FFFFFF" filled="t" stroked="t" coordsize="21600,21600">
                    <v:path/>
                    <v:fill on="t" color2="#FFFFFF" opacity="0f" focussize="0,0"/>
                    <v:stroke color="#000000" joinstyle="miter"/>
                    <v:imagedata o:title=""/>
                    <o:lock v:ext="edit" aspectratio="f"/>
                    <v:textbox>
                      <w:txbxContent>
                        <w:p w14:paraId="343889CE">
                          <w:pPr>
                            <w:jc w:val="center"/>
                            <w:rPr>
                              <w:rFonts w:hint="default" w:eastAsia="宋体"/>
                              <w:szCs w:val="21"/>
                              <w:lang w:val="en-US" w:eastAsia="zh-CN"/>
                            </w:rPr>
                          </w:pPr>
                          <w:r>
                            <w:rPr>
                              <w:rFonts w:hint="eastAsia"/>
                              <w:szCs w:val="21"/>
                              <w:lang w:val="en-US" w:eastAsia="zh-CN"/>
                            </w:rPr>
                            <w:t>带锯纵向解料</w:t>
                          </w:r>
                        </w:p>
                      </w:txbxContent>
                    </v:textbox>
                  </v:shape>
                  <v:shape id="_x0000_s2146" o:spid="_x0000_s2146" o:spt="32" type="#_x0000_t32" style="position:absolute;left:7704;top:381449;height:0;width:567;" filled="f" stroked="t" coordsize="21600,21600">
                    <v:path arrowok="t"/>
                    <v:fill on="f" focussize="0,0"/>
                    <v:stroke color="#000000" endarrow="block"/>
                    <v:imagedata o:title=""/>
                    <o:lock v:ext="edit" aspectratio="f"/>
                  </v:shape>
                  <v:shape id="_x0000_s2147" o:spid="_x0000_s2147" o:spt="32" type="#_x0000_t32" style="position:absolute;left:9060;top:381672;height:567;width:0;" filled="f" stroked="t" coordsize="21600,21600">
                    <v:path arrowok="t"/>
                    <v:fill on="f" focussize="0,0"/>
                    <v:stroke color="#000000" endarrow="block"/>
                    <v:imagedata o:title=""/>
                    <o:lock v:ext="edit" aspectratio="f"/>
                  </v:shape>
                  <v:shape id="_x0000_s2148" o:spid="_x0000_s2148" o:spt="109" type="#_x0000_t109" style="position:absolute;left:8272;top:382214;height:436;width:1528;" fillcolor="#FFFFFF" filled="t" stroked="t" coordsize="21600,21600">
                    <v:path/>
                    <v:fill on="t" color2="#FFFFFF" opacity="0f" focussize="0,0"/>
                    <v:stroke color="#000000" joinstyle="miter"/>
                    <v:imagedata o:title=""/>
                    <o:lock v:ext="edit" aspectratio="f"/>
                    <v:textbox>
                      <w:txbxContent>
                        <w:p w14:paraId="348FD2F5">
                          <w:pPr>
                            <w:jc w:val="center"/>
                            <w:rPr>
                              <w:rFonts w:hint="default" w:eastAsia="宋体"/>
                              <w:szCs w:val="21"/>
                              <w:lang w:val="en-US" w:eastAsia="zh-CN"/>
                            </w:rPr>
                          </w:pPr>
                          <w:r>
                            <w:rPr>
                              <w:rFonts w:hint="eastAsia"/>
                              <w:szCs w:val="21"/>
                              <w:lang w:val="en-US" w:eastAsia="zh-CN"/>
                            </w:rPr>
                            <w:t>干燥窑烘干</w:t>
                          </w:r>
                        </w:p>
                      </w:txbxContent>
                    </v:textbox>
                  </v:shape>
                  <v:shape id="_x0000_s2151" o:spid="_x0000_s2151" o:spt="109" type="#_x0000_t109" style="position:absolute;left:6135;top:382214;height:436;width:1497;" fillcolor="#FFFFFF" filled="t" stroked="t" coordsize="21600,21600">
                    <v:path/>
                    <v:fill on="t" color2="#FFFFFF" opacity="0f" focussize="0,0"/>
                    <v:stroke color="#000000" joinstyle="miter"/>
                    <v:imagedata o:title=""/>
                    <o:lock v:ext="edit" aspectratio="f"/>
                    <v:textbox>
                      <w:txbxContent>
                        <w:p w14:paraId="53C44A52">
                          <w:pPr>
                            <w:jc w:val="center"/>
                            <w:rPr>
                              <w:rFonts w:hint="default" w:eastAsia="宋体"/>
                              <w:szCs w:val="21"/>
                              <w:lang w:val="en-US" w:eastAsia="zh-CN"/>
                            </w:rPr>
                          </w:pPr>
                          <w:r>
                            <w:rPr>
                              <w:rFonts w:hint="eastAsia"/>
                              <w:szCs w:val="21"/>
                              <w:lang w:val="en-US" w:eastAsia="zh-CN"/>
                            </w:rPr>
                            <w:t>养生回潮</w:t>
                          </w:r>
                        </w:p>
                      </w:txbxContent>
                    </v:textbox>
                  </v:shape>
                  <v:shape id="_x0000_s2152" o:spid="_x0000_s2152" o:spt="32" type="#_x0000_t32" style="position:absolute;left:7665;top:382451;height:0;width:567;" filled="f" stroked="t" coordsize="21600,21600">
                    <v:path arrowok="t"/>
                    <v:fill on="f" focussize="0,0"/>
                    <v:stroke color="#000000" startarrow="block"/>
                    <v:imagedata o:title=""/>
                    <o:lock v:ext="edit" aspectratio="f"/>
                  </v:shape>
                  <v:shape id="_x0000_s2153" o:spid="_x0000_s2153" o:spt="32" type="#_x0000_t32" style="position:absolute;left:5568;top:382426;height:0;width:567;" filled="f" stroked="t" coordsize="21600,21600">
                    <v:path arrowok="t"/>
                    <v:fill on="f" focussize="0,0"/>
                    <v:stroke color="#000000" startarrow="block"/>
                    <v:imagedata o:title=""/>
                    <o:lock v:ext="edit" aspectratio="f"/>
                  </v:shape>
                  <v:shape id="_x0000_s2154" o:spid="_x0000_s2154" o:spt="109" type="#_x0000_t109" style="position:absolute;left:3699;top:382189;height:436;width:1866;" fillcolor="#FFFFFF" filled="t" stroked="t" coordsize="21600,21600">
                    <v:path/>
                    <v:fill on="t" color2="#FFFFFF" opacity="0f" focussize="0,0"/>
                    <v:stroke color="#000000" joinstyle="miter"/>
                    <v:imagedata o:title=""/>
                    <o:lock v:ext="edit" aspectratio="f"/>
                    <v:textbox>
                      <w:txbxContent>
                        <w:p w14:paraId="3C5F9149">
                          <w:pPr>
                            <w:jc w:val="center"/>
                            <w:rPr>
                              <w:rFonts w:hint="default" w:eastAsia="宋体"/>
                              <w:szCs w:val="21"/>
                              <w:lang w:val="en-US" w:eastAsia="zh-CN"/>
                            </w:rPr>
                          </w:pPr>
                          <w:r>
                            <w:rPr>
                              <w:rFonts w:hint="eastAsia"/>
                              <w:szCs w:val="21"/>
                              <w:lang w:val="en-US" w:eastAsia="zh-CN"/>
                            </w:rPr>
                            <w:t>刨光定基准面</w:t>
                          </w:r>
                        </w:p>
                      </w:txbxContent>
                    </v:textbox>
                  </v:shape>
                  <v:shape id="_x0000_s2155" o:spid="_x0000_s2155" o:spt="32" type="#_x0000_t32" style="position:absolute;left:4633;top:382650;height:567;width:0;" filled="f" stroked="t" coordsize="21600,21600">
                    <v:path arrowok="t"/>
                    <v:fill on="f" focussize="0,0"/>
                    <v:stroke color="#000000" endarrow="block"/>
                    <v:imagedata o:title=""/>
                    <o:lock v:ext="edit" aspectratio="f"/>
                  </v:shape>
                  <v:shape id="_x0000_s2163" o:spid="_x0000_s2163" o:spt="109" type="#_x0000_t109" style="position:absolute;left:4101;top:383217;height:436;width:1066;" fillcolor="#FFFFFF" filled="t" stroked="t" coordsize="21600,21600">
                    <v:path/>
                    <v:fill on="t" color2="#FFFFFF" opacity="0f" focussize="0,0"/>
                    <v:stroke color="#000000" joinstyle="miter"/>
                    <v:imagedata o:title=""/>
                    <o:lock v:ext="edit" aspectratio="f"/>
                    <v:textbox>
                      <w:txbxContent>
                        <w:p w14:paraId="752E646E">
                          <w:pPr>
                            <w:jc w:val="center"/>
                            <w:rPr>
                              <w:rFonts w:hint="eastAsia" w:eastAsia="宋体"/>
                              <w:szCs w:val="21"/>
                              <w:lang w:val="en-US" w:eastAsia="zh-CN"/>
                            </w:rPr>
                          </w:pPr>
                          <w:r>
                            <w:rPr>
                              <w:rFonts w:hint="eastAsia"/>
                              <w:szCs w:val="21"/>
                              <w:lang w:val="en-US" w:eastAsia="zh-CN"/>
                            </w:rPr>
                            <w:t>半成品</w:t>
                          </w:r>
                        </w:p>
                      </w:txbxContent>
                    </v:textbox>
                  </v:shape>
                  <v:shape id="_x0000_s2164" o:spid="_x0000_s2164" o:spt="32" type="#_x0000_t32" style="position:absolute;left:5186;top:383426;height:9;width:435;" filled="f" stroked="t" coordsize="21600,21600">
                    <v:path arrowok="t"/>
                    <v:fill on="f" focussize="0,0"/>
                    <v:stroke color="#000000" endarrow="block"/>
                    <v:imagedata o:title=""/>
                    <o:lock v:ext="edit" aspectratio="f"/>
                  </v:shape>
                  <v:shape id="_x0000_s2171" o:spid="_x0000_s2171" o:spt="109" type="#_x0000_t109" style="position:absolute;left:5621;top:383217;height:436;width:1509;" fillcolor="#FFFFFF" filled="t" stroked="t" coordsize="21600,21600">
                    <v:path/>
                    <v:fill on="t" color2="#FFFFFF" opacity="0f" focussize="0,0"/>
                    <v:stroke color="#000000" joinstyle="miter"/>
                    <v:imagedata o:title=""/>
                    <o:lock v:ext="edit" aspectratio="f"/>
                    <v:textbox>
                      <w:txbxContent>
                        <w:p w14:paraId="74BEC990">
                          <w:pPr>
                            <w:jc w:val="center"/>
                            <w:rPr>
                              <w:rFonts w:hint="default" w:eastAsia="宋体"/>
                              <w:szCs w:val="21"/>
                              <w:lang w:val="en-US" w:eastAsia="zh-CN"/>
                            </w:rPr>
                          </w:pPr>
                          <w:r>
                            <w:rPr>
                              <w:rFonts w:hint="eastAsia"/>
                              <w:szCs w:val="21"/>
                              <w:lang w:val="en-US" w:eastAsia="zh-CN"/>
                            </w:rPr>
                            <w:t>三/四车间</w:t>
                          </w:r>
                        </w:p>
                      </w:txbxContent>
                    </v:textbox>
                  </v:shape>
                  <v:shape id="_x0000_s2172" o:spid="_x0000_s2172" o:spt="32" type="#_x0000_t32" style="position:absolute;left:9057;top:380786;flip:y;height:417;width:3;" filled="f" stroked="t" coordsize="21600,21600">
                    <v:path arrowok="t"/>
                    <v:fill on="f" focussize="0,0"/>
                    <v:stroke color="#000000" dashstyle="dash" endarrow="block"/>
                    <v:imagedata o:title=""/>
                    <o:lock v:ext="edit" aspectratio="f"/>
                  </v:shape>
                  <v:rect id="_x0000_s2177" o:spid="_x0000_s2177" o:spt="1" style="position:absolute;left:8215;top:382897;height:480;width:1759;" filled="f" stroked="f" coordsize="21600,21600">
                    <v:path/>
                    <v:fill on="f" focussize="0,0"/>
                    <v:stroke on="f"/>
                    <v:imagedata o:title=""/>
                    <o:lock v:ext="edit" aspectratio="f"/>
                    <v:textbox>
                      <w:txbxContent>
                        <w:p w14:paraId="436C88A0">
                          <w:pPr>
                            <w:jc w:val="center"/>
                            <w:rPr>
                              <w:rFonts w:hint="default" w:hAnsi="楷体"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r>
                            <w:rPr>
                              <w:rFonts w:hint="eastAsia" w:hAnsi="楷体" w:eastAsia="楷体"/>
                              <w:lang w:val="en-US" w:eastAsia="zh-CN"/>
                            </w:rPr>
                            <w:t>N噪声</w:t>
                          </w:r>
                        </w:p>
                        <w:p w14:paraId="6C32887A">
                          <w:pPr>
                            <w:jc w:val="center"/>
                            <w:rPr>
                              <w:rFonts w:hint="eastAsia" w:hAnsi="楷体" w:eastAsia="楷体"/>
                            </w:rPr>
                          </w:pPr>
                        </w:p>
                      </w:txbxContent>
                    </v:textbox>
                  </v:rect>
                  <v:shape id="_x0000_s2178" o:spid="_x0000_s2178" o:spt="32" type="#_x0000_t32" style="position:absolute;left:9057;top:382675;flip:x;height:337;width:3;" filled="f" stroked="t" coordsize="21600,21600">
                    <v:path arrowok="t"/>
                    <v:fill on="f" focussize="0,0"/>
                    <v:stroke color="#000000" dashstyle="dash" endarrow="block"/>
                    <v:imagedata o:title=""/>
                    <o:lock v:ext="edit" aspectratio="f"/>
                  </v:shape>
                  <v:rect id="_x0000_s2184" o:spid="_x0000_s2184" o:spt="1" style="position:absolute;left:3547;top:381623;height:468;width:1769;" filled="f" stroked="f" coordsize="21600,21600">
                    <v:path/>
                    <v:fill on="f" focussize="0,0"/>
                    <v:stroke on="f"/>
                    <v:imagedata o:title=""/>
                    <o:lock v:ext="edit" aspectratio="f"/>
                    <v:textbox>
                      <w:txbxContent>
                        <w:p w14:paraId="5795D1BA">
                          <w:pPr>
                            <w:jc w:val="center"/>
                            <w:rPr>
                              <w:rFonts w:hint="default" w:hAnsi="楷体"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7AE72E06"/>
                      </w:txbxContent>
                    </v:textbox>
                  </v:rect>
                  <v:shape id="_x0000_s2192" o:spid="_x0000_s2192" o:spt="32" type="#_x0000_t32" style="position:absolute;left:4083;top:381876;flip:y;height:325;width:2;" filled="f" stroked="t" coordsize="21600,21600">
                    <v:path arrowok="t"/>
                    <v:fill on="f" focussize="0,0"/>
                    <v:stroke color="#000000" dashstyle="dash" endarrow="block"/>
                    <v:imagedata o:title=""/>
                    <o:lock v:ext="edit" aspectratio="f"/>
                  </v:shape>
                  <v:rect id="_x0000_s2232" o:spid="_x0000_s2232" o:spt="1" style="position:absolute;left:4567;top:380476;height:468;width:1134;" filled="f" stroked="f" coordsize="21600,21600">
                    <v:path/>
                    <v:fill on="f" focussize="0,0"/>
                    <v:stroke on="f"/>
                    <v:imagedata o:title=""/>
                    <o:lock v:ext="edit" aspectratio="f"/>
                    <v:textbox>
                      <w:txbxContent>
                        <w:p w14:paraId="005CDC6B">
                          <w:pPr>
                            <w:jc w:val="center"/>
                            <w:rPr>
                              <w:rFonts w:eastAsia="楷体"/>
                            </w:rPr>
                          </w:pP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233" o:spid="_x0000_s2233" o:spt="32" type="#_x0000_t32" style="position:absolute;left:5183;top:380799;flip:y;height:417;width:3;" filled="f" stroked="t" coordsize="21600,21600">
                    <v:path arrowok="t"/>
                    <v:fill on="f" focussize="0,0"/>
                    <v:stroke color="#000000" dashstyle="dash" endarrow="block"/>
                    <v:imagedata o:title=""/>
                    <o:lock v:ext="edit" aspectratio="f"/>
                  </v:shape>
                </v:group>
              </w:pict>
            </w:r>
          </w:p>
          <w:p w14:paraId="33029753">
            <w:pPr>
              <w:tabs>
                <w:tab w:val="center" w:pos="4535"/>
              </w:tabs>
              <w:spacing w:beforeLines="20" w:line="500" w:lineRule="exact"/>
              <w:jc w:val="center"/>
              <w:rPr>
                <w:b/>
                <w:color w:val="auto"/>
                <w:sz w:val="24"/>
              </w:rPr>
            </w:pPr>
          </w:p>
          <w:p w14:paraId="5457AB5C">
            <w:pPr>
              <w:tabs>
                <w:tab w:val="center" w:pos="4535"/>
              </w:tabs>
              <w:spacing w:beforeLines="20" w:line="500" w:lineRule="exact"/>
              <w:jc w:val="center"/>
              <w:rPr>
                <w:b/>
                <w:color w:val="auto"/>
                <w:sz w:val="24"/>
              </w:rPr>
            </w:pPr>
          </w:p>
          <w:p w14:paraId="69A043BD">
            <w:pPr>
              <w:tabs>
                <w:tab w:val="center" w:pos="4535"/>
              </w:tabs>
              <w:spacing w:beforeLines="20" w:line="500" w:lineRule="exact"/>
              <w:jc w:val="center"/>
              <w:rPr>
                <w:b/>
                <w:color w:val="auto"/>
                <w:sz w:val="24"/>
              </w:rPr>
            </w:pPr>
          </w:p>
          <w:p w14:paraId="4E8BB1A6">
            <w:pPr>
              <w:tabs>
                <w:tab w:val="center" w:pos="4535"/>
              </w:tabs>
              <w:spacing w:beforeLines="20" w:line="500" w:lineRule="exact"/>
              <w:jc w:val="center"/>
              <w:rPr>
                <w:b/>
                <w:color w:val="auto"/>
                <w:sz w:val="24"/>
              </w:rPr>
            </w:pPr>
          </w:p>
          <w:p w14:paraId="5798892E">
            <w:pPr>
              <w:tabs>
                <w:tab w:val="center" w:pos="4535"/>
              </w:tabs>
              <w:spacing w:beforeLines="20" w:line="500" w:lineRule="exact"/>
              <w:jc w:val="center"/>
              <w:rPr>
                <w:b/>
                <w:color w:val="auto"/>
                <w:sz w:val="24"/>
              </w:rPr>
            </w:pPr>
          </w:p>
          <w:p w14:paraId="090308F7">
            <w:pPr>
              <w:tabs>
                <w:tab w:val="center" w:pos="4535"/>
              </w:tabs>
              <w:spacing w:beforeLines="20" w:line="500" w:lineRule="exact"/>
              <w:jc w:val="center"/>
              <w:rPr>
                <w:b/>
                <w:color w:val="auto"/>
                <w:sz w:val="24"/>
              </w:rPr>
            </w:pPr>
            <w:r>
              <w:rPr>
                <w:rFonts w:hAnsi="宋体"/>
                <w:b/>
                <w:bCs/>
                <w:color w:val="auto"/>
                <w:sz w:val="18"/>
                <w:szCs w:val="18"/>
              </w:rPr>
              <w:t>图</w:t>
            </w:r>
            <w:r>
              <w:rPr>
                <w:rFonts w:hint="eastAsia"/>
                <w:b/>
                <w:bCs/>
                <w:color w:val="auto"/>
                <w:sz w:val="18"/>
                <w:szCs w:val="18"/>
              </w:rPr>
              <w:t>2</w:t>
            </w:r>
            <w:r>
              <w:rPr>
                <w:b/>
                <w:bCs/>
                <w:color w:val="auto"/>
                <w:sz w:val="18"/>
                <w:szCs w:val="18"/>
              </w:rPr>
              <w:t>-</w:t>
            </w:r>
            <w:r>
              <w:rPr>
                <w:rFonts w:hint="eastAsia"/>
                <w:b/>
                <w:bCs/>
                <w:color w:val="auto"/>
                <w:sz w:val="18"/>
                <w:szCs w:val="18"/>
                <w:lang w:val="en-US" w:eastAsia="zh-CN"/>
              </w:rPr>
              <w:t>2</w:t>
            </w:r>
            <w:r>
              <w:rPr>
                <w:b/>
                <w:bCs/>
                <w:color w:val="auto"/>
                <w:sz w:val="18"/>
                <w:szCs w:val="18"/>
              </w:rPr>
              <w:t xml:space="preserve">    </w:t>
            </w:r>
            <w:r>
              <w:rPr>
                <w:rFonts w:hAnsi="宋体"/>
                <w:b/>
                <w:bCs/>
                <w:color w:val="auto"/>
                <w:sz w:val="18"/>
                <w:szCs w:val="18"/>
              </w:rPr>
              <w:t>运营期</w:t>
            </w:r>
            <w:r>
              <w:rPr>
                <w:rFonts w:hint="eastAsia" w:hAnsi="宋体"/>
                <w:b/>
                <w:bCs/>
                <w:color w:val="auto"/>
                <w:sz w:val="18"/>
                <w:szCs w:val="18"/>
                <w:lang w:val="en-US" w:eastAsia="zh-CN"/>
              </w:rPr>
              <w:t>木材初加工（五车间）</w:t>
            </w:r>
            <w:r>
              <w:rPr>
                <w:rFonts w:hAnsi="宋体"/>
                <w:b/>
                <w:bCs/>
                <w:color w:val="auto"/>
                <w:sz w:val="18"/>
                <w:szCs w:val="18"/>
              </w:rPr>
              <w:t>工艺流程及排污节点图</w:t>
            </w:r>
          </w:p>
          <w:p w14:paraId="013A8216">
            <w:pPr>
              <w:tabs>
                <w:tab w:val="center" w:pos="4535"/>
              </w:tabs>
              <w:spacing w:beforeLines="20" w:line="500" w:lineRule="exact"/>
              <w:jc w:val="center"/>
              <w:rPr>
                <w:b/>
                <w:color w:val="auto"/>
                <w:sz w:val="24"/>
              </w:rPr>
            </w:pPr>
            <w:r>
              <w:rPr>
                <w:sz w:val="21"/>
              </w:rPr>
              <w:pict>
                <v:group id="_x0000_s2375" o:spid="_x0000_s2375" o:spt="203" style="position:absolute;left:0pt;margin-left:9.8pt;margin-top:23.15pt;height:163.85pt;width:366.25pt;z-index:251665408;mso-width-relative:page;mso-height-relative:page;" coordorigin="2885,384589" coordsize="7325,3277">
                  <o:lock v:ext="edit" aspectratio="f"/>
                  <v:shape id="_x0000_s2246" o:spid="_x0000_s2246" o:spt="109" type="#_x0000_t109" style="position:absolute;left:4550;top:385338;height:436;width:1203;" fillcolor="#FFFFFF" filled="t" stroked="t" coordsize="21600,21600">
                    <v:path/>
                    <v:fill on="t" color2="#FFFFFF" opacity="0f" focussize="0,0"/>
                    <v:stroke color="#000000" joinstyle="miter"/>
                    <v:imagedata o:title=""/>
                    <o:lock v:ext="edit" aspectratio="f"/>
                    <v:textbox>
                      <w:txbxContent>
                        <w:p w14:paraId="00E9AD4D">
                          <w:pPr>
                            <w:jc w:val="center"/>
                            <w:rPr>
                              <w:rFonts w:hint="default" w:eastAsia="宋体"/>
                              <w:szCs w:val="21"/>
                              <w:lang w:val="en-US" w:eastAsia="zh-CN"/>
                            </w:rPr>
                          </w:pPr>
                          <w:r>
                            <w:rPr>
                              <w:rFonts w:hint="eastAsia"/>
                              <w:szCs w:val="21"/>
                              <w:lang w:val="en-US" w:eastAsia="zh-CN"/>
                            </w:rPr>
                            <w:t>指接拼版</w:t>
                          </w:r>
                        </w:p>
                      </w:txbxContent>
                    </v:textbox>
                  </v:shape>
                  <v:shape id="_x0000_s2249" o:spid="_x0000_s2249" o:spt="32" type="#_x0000_t32" style="position:absolute;left:3983;top:385576;height:0;width:567;" filled="f" stroked="t" coordsize="21600,21600">
                    <v:path arrowok="t"/>
                    <v:fill on="f" focussize="0,0"/>
                    <v:stroke color="#000000" endarrow="block"/>
                    <v:imagedata o:title=""/>
                    <o:lock v:ext="edit" aspectratio="f"/>
                  </v:shape>
                  <v:rect id="_x0000_s2240" o:spid="_x0000_s2240" o:spt="1" style="position:absolute;left:8129;top:384601;height:468;width:1945;" filled="f" stroked="f" coordsize="21600,21600">
                    <v:path/>
                    <v:fill on="f" focussize="0,0"/>
                    <v:stroke on="f"/>
                    <v:imagedata o:title=""/>
                    <o:lock v:ext="edit" aspectratio="f"/>
                    <v:textbox>
                      <w:txbxContent>
                        <w:p w14:paraId="19AA5396">
                          <w:pPr>
                            <w:jc w:val="center"/>
                            <w:rPr>
                              <w:rFonts w:eastAsia="楷体"/>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245" o:spid="_x0000_s2245" o:spt="109" type="#_x0000_t109" style="position:absolute;left:6430;top:385337;height:436;width:1278;" fillcolor="#FFFFFF" filled="t" stroked="t" coordsize="21600,21600">
                    <v:path/>
                    <v:fill on="t" color2="#FFFFFF" opacity="0f" focussize="0,0"/>
                    <v:stroke color="#000000" joinstyle="miter"/>
                    <v:imagedata o:title=""/>
                    <o:lock v:ext="edit" aspectratio="f"/>
                    <v:textbox>
                      <w:txbxContent>
                        <w:p w14:paraId="2DA93C12">
                          <w:pPr>
                            <w:jc w:val="center"/>
                            <w:rPr>
                              <w:rFonts w:hint="default" w:eastAsia="宋体"/>
                              <w:szCs w:val="21"/>
                              <w:lang w:val="en-US" w:eastAsia="zh-CN"/>
                            </w:rPr>
                          </w:pPr>
                          <w:r>
                            <w:rPr>
                              <w:rFonts w:hint="eastAsia"/>
                              <w:szCs w:val="21"/>
                              <w:lang w:val="en-US" w:eastAsia="zh-CN"/>
                            </w:rPr>
                            <w:t>加工榫头</w:t>
                          </w:r>
                        </w:p>
                      </w:txbxContent>
                    </v:textbox>
                  </v:shape>
                  <v:shape id="_x0000_s2248" o:spid="_x0000_s2248" o:spt="32" type="#_x0000_t32" style="position:absolute;left:5813;top:385551;height:0;width:567;" filled="f" stroked="t" coordsize="21600,21600">
                    <v:path arrowok="t"/>
                    <v:fill on="f" focussize="0,0"/>
                    <v:stroke color="#000000" endarrow="block"/>
                    <v:imagedata o:title=""/>
                    <o:lock v:ext="edit" aspectratio="f"/>
                  </v:shape>
                  <v:shape id="_x0000_s2244" o:spid="_x0000_s2244" o:spt="109" type="#_x0000_t109" style="position:absolute;left:8297;top:385336;height:436;width:1450;" fillcolor="#FFFFFF" filled="t" stroked="t" coordsize="21600,21600">
                    <v:path/>
                    <v:fill on="t" color2="#FFFFFF" opacity="0f" focussize="0,0"/>
                    <v:stroke color="#000000" joinstyle="miter"/>
                    <v:imagedata o:title=""/>
                    <o:lock v:ext="edit" aspectratio="f"/>
                    <v:textbox>
                      <w:txbxContent>
                        <w:p w14:paraId="39B981E8">
                          <w:pPr>
                            <w:jc w:val="center"/>
                            <w:rPr>
                              <w:rFonts w:hint="default" w:eastAsia="宋体"/>
                              <w:szCs w:val="21"/>
                              <w:lang w:val="en-US" w:eastAsia="zh-CN"/>
                            </w:rPr>
                          </w:pPr>
                          <w:r>
                            <w:rPr>
                              <w:rFonts w:hint="eastAsia"/>
                              <w:szCs w:val="21"/>
                              <w:lang w:val="en-US" w:eastAsia="zh-CN"/>
                            </w:rPr>
                            <w:t>加工卯眼</w:t>
                          </w:r>
                        </w:p>
                      </w:txbxContent>
                    </v:textbox>
                  </v:shape>
                  <v:shape id="_x0000_s2247" o:spid="_x0000_s2247" o:spt="32" type="#_x0000_t32" style="position:absolute;left:7729;top:385574;height:0;width:567;" filled="f" stroked="t" coordsize="21600,21600">
                    <v:path arrowok="t"/>
                    <v:fill on="f" focussize="0,0"/>
                    <v:stroke color="#000000" endarrow="block"/>
                    <v:imagedata o:title=""/>
                    <o:lock v:ext="edit" aspectratio="f"/>
                  </v:shape>
                  <v:shape id="_x0000_s2241" o:spid="_x0000_s2241" o:spt="32" type="#_x0000_t32" style="position:absolute;left:9046;top:384911;flip:y;height:417;width:3;" filled="f" stroked="t" coordsize="21600,21600">
                    <v:path arrowok="t"/>
                    <v:fill on="f" focussize="0,0"/>
                    <v:stroke color="#000000" dashstyle="dash" endarrow="block"/>
                    <v:imagedata o:title=""/>
                    <o:lock v:ext="edit" aspectratio="f"/>
                  </v:shape>
                  <v:rect id="_x0000_s2242" o:spid="_x0000_s2242" o:spt="1" style="position:absolute;left:6138;top:384589;height:468;width:1920;" filled="f" stroked="f" coordsize="21600,21600">
                    <v:path/>
                    <v:fill on="f" focussize="0,0"/>
                    <v:stroke on="f"/>
                    <v:imagedata o:title=""/>
                    <o:lock v:ext="edit" aspectratio="f"/>
                    <v:textbox>
                      <w:txbxContent>
                        <w:p w14:paraId="6EC5D663">
                          <w:pPr>
                            <w:jc w:val="center"/>
                            <w:rPr>
                              <w:rFonts w:eastAsia="楷体"/>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243" o:spid="_x0000_s2243" o:spt="32" type="#_x0000_t32" style="position:absolute;left:7108;top:384912;flip:y;height:417;width:3;" filled="f" stroked="t" coordsize="21600,21600">
                    <v:path arrowok="t"/>
                    <v:fill on="f" focussize="0,0"/>
                    <v:stroke color="#000000" dashstyle="dash" endarrow="block"/>
                    <v:imagedata o:title=""/>
                    <o:lock v:ext="edit" aspectratio="f"/>
                  </v:shape>
                  <v:shape id="_x0000_s2250" o:spid="_x0000_s2250" o:spt="109" type="#_x0000_t109" style="position:absolute;left:2943;top:385235;height:762;width:1159;" fillcolor="#FFFFFF" filled="t" stroked="f" coordsize="21600,21600">
                    <v:path/>
                    <v:fill on="t" color2="#FFFFFF" opacity="0f" focussize="0,0"/>
                    <v:stroke on="f"/>
                    <v:imagedata o:title=""/>
                    <o:lock v:ext="edit" aspectratio="f"/>
                    <v:textbox>
                      <w:txbxContent>
                        <w:p w14:paraId="59A5C764">
                          <w:pPr>
                            <w:jc w:val="center"/>
                            <w:rPr>
                              <w:rFonts w:hint="eastAsia"/>
                              <w:szCs w:val="21"/>
                              <w:lang w:val="en-US" w:eastAsia="zh-CN"/>
                            </w:rPr>
                          </w:pPr>
                          <w:r>
                            <w:rPr>
                              <w:rFonts w:hint="eastAsia"/>
                              <w:szCs w:val="21"/>
                              <w:lang w:val="en-US" w:eastAsia="zh-CN"/>
                            </w:rPr>
                            <w:t>五车间</w:t>
                          </w:r>
                        </w:p>
                        <w:p w14:paraId="47B41DE4">
                          <w:pPr>
                            <w:jc w:val="center"/>
                            <w:rPr>
                              <w:rFonts w:hint="default" w:eastAsia="宋体"/>
                              <w:szCs w:val="21"/>
                              <w:lang w:val="en-US" w:eastAsia="zh-CN"/>
                            </w:rPr>
                          </w:pPr>
                          <w:r>
                            <w:rPr>
                              <w:rFonts w:hint="eastAsia"/>
                              <w:szCs w:val="21"/>
                              <w:lang w:val="en-US" w:eastAsia="zh-CN"/>
                            </w:rPr>
                            <w:t>半成品</w:t>
                          </w:r>
                        </w:p>
                      </w:txbxContent>
                    </v:textbox>
                  </v:shape>
                  <v:shape id="_x0000_s2251" o:spid="_x0000_s2251" o:spt="32" type="#_x0000_t32" style="position:absolute;left:9035;top:385797;height:567;width:0;" filled="f" stroked="t" coordsize="21600,21600">
                    <v:path arrowok="t"/>
                    <v:fill on="f" focussize="0,0"/>
                    <v:stroke color="#000000" endarrow="block"/>
                    <v:imagedata o:title=""/>
                    <o:lock v:ext="edit" aspectratio="f"/>
                  </v:shape>
                  <v:shape id="_x0000_s2252" o:spid="_x0000_s2252" o:spt="109" type="#_x0000_t109" style="position:absolute;left:7850;top:386339;height:436;width:2360;" fillcolor="#FFFFFF" filled="t" stroked="t" coordsize="21600,21600">
                    <v:path/>
                    <v:fill on="t" color2="#FFFFFF" opacity="0f" focussize="0,0"/>
                    <v:stroke color="#000000" joinstyle="miter"/>
                    <v:imagedata o:title=""/>
                    <o:lock v:ext="edit" aspectratio="f"/>
                    <v:textbox>
                      <w:txbxContent>
                        <w:p w14:paraId="6E961CB6">
                          <w:pPr>
                            <w:jc w:val="center"/>
                            <w:rPr>
                              <w:rFonts w:hint="default" w:eastAsia="宋体"/>
                              <w:szCs w:val="21"/>
                              <w:lang w:val="en-US" w:eastAsia="zh-CN"/>
                            </w:rPr>
                          </w:pPr>
                          <w:r>
                            <w:rPr>
                              <w:rFonts w:hint="eastAsia"/>
                              <w:szCs w:val="21"/>
                              <w:lang w:val="en-US" w:eastAsia="zh-CN"/>
                            </w:rPr>
                            <w:t>加工线条型面（铣床）</w:t>
                          </w:r>
                        </w:p>
                      </w:txbxContent>
                    </v:textbox>
                  </v:shape>
                  <v:rect id="_x0000_s2253" o:spid="_x0000_s2253" o:spt="1" style="position:absolute;left:8203;top:387059;height:480;width:1759;" filled="f" stroked="f" coordsize="21600,21600">
                    <v:path/>
                    <v:fill on="f" focussize="0,0"/>
                    <v:stroke on="f"/>
                    <v:imagedata o:title=""/>
                    <o:lock v:ext="edit" aspectratio="f"/>
                    <v:textbox>
                      <w:txbxContent>
                        <w:p w14:paraId="197B65D4">
                          <w:pPr>
                            <w:jc w:val="center"/>
                            <w:rPr>
                              <w:rFonts w:hint="default" w:hAnsi="楷体"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r>
                            <w:rPr>
                              <w:rFonts w:hint="eastAsia" w:hAnsi="楷体" w:eastAsia="楷体"/>
                              <w:lang w:val="en-US" w:eastAsia="zh-CN"/>
                            </w:rPr>
                            <w:t>N噪声</w:t>
                          </w:r>
                        </w:p>
                        <w:p w14:paraId="0DFD6AD7">
                          <w:pPr>
                            <w:jc w:val="center"/>
                            <w:rPr>
                              <w:rFonts w:hint="eastAsia" w:hAnsi="楷体" w:eastAsia="楷体"/>
                            </w:rPr>
                          </w:pPr>
                        </w:p>
                      </w:txbxContent>
                    </v:textbox>
                  </v:rect>
                  <v:shape id="_x0000_s2254" o:spid="_x0000_s2254" o:spt="32" type="#_x0000_t32" style="position:absolute;left:9045;top:386837;flip:x;height:337;width:3;" filled="f" stroked="t" coordsize="21600,21600">
                    <v:path arrowok="t"/>
                    <v:fill on="f" focussize="0,0"/>
                    <v:stroke color="#000000" dashstyle="dash" endarrow="block"/>
                    <v:imagedata o:title=""/>
                    <o:lock v:ext="edit" aspectratio="f"/>
                  </v:shape>
                  <v:shape id="_x0000_s2256" o:spid="_x0000_s2256" o:spt="109" type="#_x0000_t109" style="position:absolute;left:5000;top:386350;height:436;width:2195;" fillcolor="#FFFFFF" filled="t" stroked="t" coordsize="21600,21600">
                    <v:path/>
                    <v:fill on="t" color2="#FFFFFF" opacity="0f" focussize="0,0"/>
                    <v:stroke color="#000000" joinstyle="miter"/>
                    <v:imagedata o:title=""/>
                    <o:lock v:ext="edit" aspectratio="f"/>
                    <v:textbox>
                      <w:txbxContent>
                        <w:p w14:paraId="6B324CF7">
                          <w:pPr>
                            <w:jc w:val="center"/>
                            <w:rPr>
                              <w:rFonts w:hint="default" w:eastAsia="宋体"/>
                              <w:szCs w:val="21"/>
                              <w:lang w:val="en-US" w:eastAsia="zh-CN"/>
                            </w:rPr>
                          </w:pPr>
                          <w:r>
                            <w:rPr>
                              <w:rFonts w:hint="eastAsia"/>
                              <w:szCs w:val="21"/>
                              <w:lang w:val="en-US" w:eastAsia="zh-CN"/>
                            </w:rPr>
                            <w:t>拼装框架（组框机）</w:t>
                          </w:r>
                        </w:p>
                      </w:txbxContent>
                    </v:textbox>
                  </v:shape>
                  <v:shape id="_x0000_s2255" o:spid="_x0000_s2255" o:spt="32" type="#_x0000_t32" style="position:absolute;left:7228;top:386563;height:0;width:567;" filled="f" stroked="t" coordsize="21600,21600">
                    <v:path arrowok="t"/>
                    <v:fill on="f" focussize="0,0"/>
                    <v:stroke color="#000000" startarrow="block"/>
                    <v:imagedata o:title=""/>
                    <o:lock v:ext="edit" aspectratio="f"/>
                  </v:shape>
                  <v:rect id="_x0000_s2258" o:spid="_x0000_s2258" o:spt="1" style="position:absolute;left:5215;top:387059;height:480;width:1759;" filled="f" stroked="f" coordsize="21600,21600">
                    <v:path/>
                    <v:fill on="f" focussize="0,0"/>
                    <v:stroke on="f"/>
                    <v:imagedata o:title=""/>
                    <o:lock v:ext="edit" aspectratio="f"/>
                    <v:textbox>
                      <w:txbxContent>
                        <w:p w14:paraId="23BF0FC9">
                          <w:pPr>
                            <w:jc w:val="center"/>
                            <w:rPr>
                              <w:rFonts w:hint="default" w:hAnsi="楷体" w:eastAsia="楷体"/>
                              <w:lang w:val="en-US" w:eastAsia="zh-CN"/>
                            </w:rPr>
                          </w:pPr>
                          <w:r>
                            <w:rPr>
                              <w:rFonts w:hint="eastAsia" w:hAnsi="楷体" w:eastAsia="楷体"/>
                              <w:lang w:val="en-US" w:eastAsia="zh-CN"/>
                            </w:rPr>
                            <w:t>N噪声</w:t>
                          </w:r>
                        </w:p>
                        <w:p w14:paraId="6D8C8E5C">
                          <w:pPr>
                            <w:jc w:val="center"/>
                            <w:rPr>
                              <w:rFonts w:hint="eastAsia" w:hAnsi="楷体" w:eastAsia="楷体"/>
                            </w:rPr>
                          </w:pPr>
                        </w:p>
                      </w:txbxContent>
                    </v:textbox>
                  </v:rect>
                  <v:shape id="_x0000_s2257" o:spid="_x0000_s2257" o:spt="32" type="#_x0000_t32" style="position:absolute;left:6057;top:386837;flip:x;height:337;width:3;" filled="f" stroked="t" coordsize="21600,21600">
                    <v:path arrowok="t"/>
                    <v:fill on="f" focussize="0,0"/>
                    <v:stroke color="#000000" dashstyle="dash" endarrow="block"/>
                    <v:imagedata o:title=""/>
                    <o:lock v:ext="edit" aspectratio="f"/>
                  </v:shape>
                  <v:shape id="_x0000_s2260" o:spid="_x0000_s2260" o:spt="109" type="#_x0000_t109" style="position:absolute;left:2885;top:386364;height:436;width:1497;" fillcolor="#FFFFFF" filled="t" stroked="t" coordsize="21600,21600">
                    <v:path/>
                    <v:fill on="t" color2="#FFFFFF" opacity="0f" focussize="0,0"/>
                    <v:stroke color="#000000" joinstyle="miter"/>
                    <v:imagedata o:title=""/>
                    <o:lock v:ext="edit" aspectratio="f"/>
                    <v:textbox>
                      <w:txbxContent>
                        <w:p w14:paraId="70A8FC5B">
                          <w:pPr>
                            <w:jc w:val="center"/>
                            <w:rPr>
                              <w:rFonts w:hint="default" w:eastAsia="宋体"/>
                              <w:szCs w:val="21"/>
                              <w:lang w:val="en-US" w:eastAsia="zh-CN"/>
                            </w:rPr>
                          </w:pPr>
                          <w:r>
                            <w:rPr>
                              <w:rFonts w:hint="eastAsia"/>
                              <w:szCs w:val="21"/>
                              <w:lang w:val="en-US" w:eastAsia="zh-CN"/>
                            </w:rPr>
                            <w:t>涂装防腐</w:t>
                          </w:r>
                        </w:p>
                      </w:txbxContent>
                    </v:textbox>
                  </v:shape>
                  <v:shape id="_x0000_s2259" o:spid="_x0000_s2259" o:spt="32" type="#_x0000_t32" style="position:absolute;left:4415;top:386601;height:0;width:567;" filled="f" stroked="t" coordsize="21600,21600">
                    <v:path arrowok="t"/>
                    <v:fill on="f" focussize="0,0"/>
                    <v:stroke color="#000000" startarrow="block"/>
                    <v:imagedata o:title=""/>
                    <o:lock v:ext="edit" aspectratio="f"/>
                  </v:shape>
                  <v:shape id="_x0000_s2261" o:spid="_x0000_s2261" o:spt="32" type="#_x0000_t32" style="position:absolute;left:3695;top:386838;height:567;width:0;" filled="f" stroked="t" coordsize="21600,21600">
                    <v:path arrowok="t"/>
                    <v:fill on="f" focussize="0,0"/>
                    <v:stroke color="#000000" endarrow="block"/>
                    <v:imagedata o:title=""/>
                    <o:lock v:ext="edit" aspectratio="f"/>
                  </v:shape>
                  <v:shape id="_x0000_s2262" o:spid="_x0000_s2262" o:spt="109" type="#_x0000_t109" style="position:absolute;left:3076;top:387405;height:436;width:1153;" fillcolor="#FFFFFF" filled="t" stroked="t" coordsize="21600,21600">
                    <v:path/>
                    <v:fill on="t" color2="#FFFFFF" opacity="0f" focussize="0,0"/>
                    <v:stroke color="#000000" joinstyle="miter"/>
                    <v:imagedata o:title=""/>
                    <o:lock v:ext="edit" aspectratio="f"/>
                    <v:textbox>
                      <w:txbxContent>
                        <w:p w14:paraId="4C0F02B3">
                          <w:pPr>
                            <w:jc w:val="center"/>
                            <w:rPr>
                              <w:rFonts w:hint="default" w:eastAsia="宋体"/>
                              <w:szCs w:val="21"/>
                              <w:lang w:val="en-US" w:eastAsia="zh-CN"/>
                            </w:rPr>
                          </w:pPr>
                          <w:r>
                            <w:rPr>
                              <w:rFonts w:hint="eastAsia"/>
                              <w:szCs w:val="21"/>
                              <w:lang w:val="en-US" w:eastAsia="zh-CN"/>
                            </w:rPr>
                            <w:t>自然晾干</w:t>
                          </w:r>
                        </w:p>
                      </w:txbxContent>
                    </v:textbox>
                  </v:shape>
                  <v:shape id="_x0000_s2263" o:spid="_x0000_s2263" o:spt="32" type="#_x0000_t32" style="position:absolute;left:4248;top:387614;height:9;width:435;" filled="f" stroked="t" coordsize="21600,21600">
                    <v:path arrowok="t"/>
                    <v:fill on="f" focussize="0,0"/>
                    <v:stroke color="#000000" endarrow="block"/>
                    <v:imagedata o:title=""/>
                    <o:lock v:ext="edit" aspectratio="f"/>
                  </v:shape>
                  <v:shape id="_x0000_s2264" o:spid="_x0000_s2264" o:spt="109" type="#_x0000_t109" style="position:absolute;left:4683;top:387405;height:436;width:1509;" fillcolor="#FFFFFF" filled="t" stroked="t" coordsize="21600,21600">
                    <v:path/>
                    <v:fill on="t" color2="#FFFFFF" opacity="0f" focussize="0,0"/>
                    <v:stroke color="#000000" joinstyle="miter"/>
                    <v:imagedata o:title=""/>
                    <o:lock v:ext="edit" aspectratio="f"/>
                    <v:textbox>
                      <w:txbxContent>
                        <w:p w14:paraId="6989A501">
                          <w:pPr>
                            <w:jc w:val="center"/>
                            <w:rPr>
                              <w:rFonts w:hint="default" w:eastAsia="宋体"/>
                              <w:szCs w:val="21"/>
                              <w:lang w:val="en-US" w:eastAsia="zh-CN"/>
                            </w:rPr>
                          </w:pPr>
                          <w:r>
                            <w:rPr>
                              <w:rFonts w:hint="eastAsia"/>
                              <w:szCs w:val="21"/>
                              <w:lang w:val="en-US" w:eastAsia="zh-CN"/>
                            </w:rPr>
                            <w:t>半成品</w:t>
                          </w:r>
                        </w:p>
                      </w:txbxContent>
                    </v:textbox>
                  </v:shape>
                  <v:shape id="_x0000_s2266" o:spid="_x0000_s2266" o:spt="32" type="#_x0000_t32" style="position:absolute;left:6235;top:387639;height:9;width:435;" filled="f" stroked="t" coordsize="21600,21600">
                    <v:path arrowok="t"/>
                    <v:fill on="f" focussize="0,0"/>
                    <v:stroke color="#000000" endarrow="block"/>
                    <v:imagedata o:title=""/>
                    <o:lock v:ext="edit" aspectratio="f"/>
                  </v:shape>
                  <v:shape id="_x0000_s2265" o:spid="_x0000_s2265" o:spt="109" type="#_x0000_t109" style="position:absolute;left:6670;top:387430;height:436;width:2709;" fillcolor="#FFFFFF" filled="t" stroked="t" coordsize="21600,21600">
                    <v:path/>
                    <v:fill on="t" color2="#FFFFFF" opacity="0f" focussize="0,0"/>
                    <v:stroke color="#000000" joinstyle="miter"/>
                    <v:imagedata o:title=""/>
                    <o:lock v:ext="edit" aspectratio="f"/>
                    <v:textbox>
                      <w:txbxContent>
                        <w:p w14:paraId="33A13A99">
                          <w:pPr>
                            <w:jc w:val="center"/>
                            <w:rPr>
                              <w:rFonts w:hint="default" w:eastAsia="宋体"/>
                              <w:szCs w:val="21"/>
                              <w:lang w:val="en-US" w:eastAsia="zh-CN"/>
                            </w:rPr>
                          </w:pPr>
                          <w:r>
                            <w:rPr>
                              <w:rFonts w:hint="eastAsia"/>
                              <w:szCs w:val="21"/>
                              <w:lang w:val="en-US" w:eastAsia="zh-CN"/>
                            </w:rPr>
                            <w:t>三车间或仓库包装待售</w:t>
                          </w:r>
                        </w:p>
                      </w:txbxContent>
                    </v:textbox>
                  </v:shape>
                </v:group>
              </w:pict>
            </w:r>
          </w:p>
          <w:p w14:paraId="2B630FBB">
            <w:pPr>
              <w:tabs>
                <w:tab w:val="center" w:pos="4535"/>
              </w:tabs>
              <w:spacing w:beforeLines="20" w:line="500" w:lineRule="exact"/>
              <w:jc w:val="center"/>
              <w:rPr>
                <w:b/>
                <w:color w:val="auto"/>
                <w:sz w:val="24"/>
              </w:rPr>
            </w:pPr>
          </w:p>
          <w:p w14:paraId="4A7F06EE">
            <w:pPr>
              <w:tabs>
                <w:tab w:val="center" w:pos="4535"/>
              </w:tabs>
              <w:spacing w:beforeLines="20" w:line="500" w:lineRule="exact"/>
              <w:jc w:val="center"/>
              <w:rPr>
                <w:b/>
                <w:color w:val="auto"/>
                <w:sz w:val="24"/>
              </w:rPr>
            </w:pPr>
          </w:p>
          <w:p w14:paraId="6C6090DE">
            <w:pPr>
              <w:tabs>
                <w:tab w:val="center" w:pos="4535"/>
              </w:tabs>
              <w:spacing w:beforeLines="20" w:line="500" w:lineRule="exact"/>
              <w:jc w:val="center"/>
              <w:rPr>
                <w:b/>
                <w:color w:val="auto"/>
                <w:sz w:val="24"/>
              </w:rPr>
            </w:pPr>
          </w:p>
          <w:p w14:paraId="475B0263">
            <w:pPr>
              <w:tabs>
                <w:tab w:val="center" w:pos="4535"/>
              </w:tabs>
              <w:spacing w:beforeLines="20" w:line="500" w:lineRule="exact"/>
              <w:jc w:val="center"/>
              <w:rPr>
                <w:b/>
                <w:color w:val="auto"/>
                <w:sz w:val="24"/>
              </w:rPr>
            </w:pPr>
          </w:p>
          <w:p w14:paraId="653FED82">
            <w:pPr>
              <w:tabs>
                <w:tab w:val="center" w:pos="4535"/>
              </w:tabs>
              <w:spacing w:beforeLines="20" w:line="500" w:lineRule="exact"/>
              <w:jc w:val="center"/>
              <w:rPr>
                <w:b/>
                <w:color w:val="auto"/>
                <w:sz w:val="24"/>
              </w:rPr>
            </w:pPr>
          </w:p>
          <w:p w14:paraId="5D06C7E6">
            <w:pPr>
              <w:tabs>
                <w:tab w:val="center" w:pos="4535"/>
              </w:tabs>
              <w:spacing w:beforeLines="20" w:line="500" w:lineRule="exact"/>
              <w:jc w:val="center"/>
              <w:rPr>
                <w:b/>
                <w:color w:val="auto"/>
                <w:sz w:val="24"/>
              </w:rPr>
            </w:pPr>
          </w:p>
          <w:p w14:paraId="2C769CC2">
            <w:pPr>
              <w:spacing w:line="360" w:lineRule="auto"/>
              <w:jc w:val="center"/>
              <w:rPr>
                <w:rFonts w:hAnsi="宋体"/>
                <w:b/>
                <w:bCs/>
                <w:color w:val="auto"/>
                <w:sz w:val="18"/>
                <w:szCs w:val="18"/>
              </w:rPr>
            </w:pPr>
            <w:r>
              <w:rPr>
                <w:rFonts w:hAnsi="宋体"/>
                <w:b/>
                <w:bCs/>
                <w:color w:val="auto"/>
                <w:sz w:val="18"/>
                <w:szCs w:val="18"/>
              </w:rPr>
              <w:t>图</w:t>
            </w:r>
            <w:r>
              <w:rPr>
                <w:rFonts w:hint="eastAsia"/>
                <w:b/>
                <w:bCs/>
                <w:color w:val="auto"/>
                <w:sz w:val="18"/>
                <w:szCs w:val="18"/>
              </w:rPr>
              <w:t>2</w:t>
            </w:r>
            <w:r>
              <w:rPr>
                <w:b/>
                <w:bCs/>
                <w:color w:val="auto"/>
                <w:sz w:val="18"/>
                <w:szCs w:val="18"/>
              </w:rPr>
              <w:t>-</w:t>
            </w:r>
            <w:r>
              <w:rPr>
                <w:rFonts w:hint="eastAsia"/>
                <w:b/>
                <w:bCs/>
                <w:color w:val="auto"/>
                <w:sz w:val="18"/>
                <w:szCs w:val="18"/>
                <w:lang w:val="en-US" w:eastAsia="zh-CN"/>
              </w:rPr>
              <w:t>3</w:t>
            </w:r>
            <w:r>
              <w:rPr>
                <w:b/>
                <w:bCs/>
                <w:color w:val="auto"/>
                <w:sz w:val="18"/>
                <w:szCs w:val="18"/>
              </w:rPr>
              <w:t xml:space="preserve">    </w:t>
            </w:r>
            <w:r>
              <w:rPr>
                <w:rFonts w:hAnsi="宋体"/>
                <w:b/>
                <w:bCs/>
                <w:color w:val="auto"/>
                <w:sz w:val="18"/>
                <w:szCs w:val="18"/>
              </w:rPr>
              <w:t>运营期</w:t>
            </w:r>
            <w:r>
              <w:rPr>
                <w:rFonts w:hint="eastAsia" w:hAnsi="宋体"/>
                <w:b/>
                <w:bCs/>
                <w:color w:val="auto"/>
                <w:sz w:val="18"/>
                <w:szCs w:val="18"/>
                <w:lang w:val="en-US" w:eastAsia="zh-CN"/>
              </w:rPr>
              <w:t>木材深加工（四车间）</w:t>
            </w:r>
            <w:r>
              <w:rPr>
                <w:rFonts w:hAnsi="宋体"/>
                <w:b/>
                <w:bCs/>
                <w:color w:val="auto"/>
                <w:sz w:val="18"/>
                <w:szCs w:val="18"/>
              </w:rPr>
              <w:t>工艺流程及排污节点图</w:t>
            </w:r>
          </w:p>
          <w:p w14:paraId="4DD346E2">
            <w:pPr>
              <w:spacing w:line="360" w:lineRule="auto"/>
              <w:jc w:val="center"/>
              <w:rPr>
                <w:rFonts w:hAnsi="宋体"/>
                <w:b/>
                <w:bCs/>
                <w:color w:val="auto"/>
                <w:sz w:val="18"/>
                <w:szCs w:val="18"/>
              </w:rPr>
            </w:pPr>
            <w:r>
              <w:rPr>
                <w:sz w:val="21"/>
              </w:rPr>
              <w:pict>
                <v:group id="_x0000_s2128" o:spid="_x0000_s2128" o:spt="203" style="position:absolute;left:0pt;margin-left:-1.2pt;margin-top:10.6pt;height:214.45pt;width:381.6pt;z-index:251664384;mso-width-relative:page;mso-height-relative:page;" coordorigin="5664,523858" coordsize="7632,4289">
                  <o:lock v:ext="edit" aspectratio="f"/>
                  <v:shape id="_x0000_s2273" o:spid="_x0000_s2273" o:spt="109" type="#_x0000_t109" style="position:absolute;left:7574;top:524607;height:436;width:1203;" fillcolor="#FFFFFF" filled="t" stroked="t" coordsize="21600,21600">
                    <v:path/>
                    <v:fill on="t" color2="#FFFFFF" opacity="0f" focussize="0,0"/>
                    <v:stroke color="#000000" joinstyle="miter"/>
                    <v:imagedata o:title=""/>
                    <o:lock v:ext="edit" aspectratio="f"/>
                    <v:textbox>
                      <w:txbxContent>
                        <w:p w14:paraId="60009B94">
                          <w:pPr>
                            <w:jc w:val="center"/>
                            <w:rPr>
                              <w:rFonts w:hint="default" w:eastAsia="宋体"/>
                              <w:szCs w:val="21"/>
                              <w:lang w:val="en-US" w:eastAsia="zh-CN"/>
                            </w:rPr>
                          </w:pPr>
                          <w:r>
                            <w:rPr>
                              <w:rFonts w:hint="eastAsia"/>
                              <w:szCs w:val="21"/>
                              <w:lang w:val="en-US" w:eastAsia="zh-CN"/>
                            </w:rPr>
                            <w:t>木雕机</w:t>
                          </w:r>
                        </w:p>
                      </w:txbxContent>
                    </v:textbox>
                  </v:shape>
                  <v:shape id="_x0000_s2276" o:spid="_x0000_s2276" o:spt="32" type="#_x0000_t32" style="position:absolute;left:7007;top:524845;height:0;width:567;" filled="f" stroked="t" coordsize="21600,21600">
                    <v:path arrowok="t"/>
                    <v:fill on="f" focussize="0,0"/>
                    <v:stroke color="#000000" endarrow="block"/>
                    <v:imagedata o:title=""/>
                    <o:lock v:ext="edit" aspectratio="f"/>
                  </v:shape>
                  <v:rect id="_x0000_s2268" o:spid="_x0000_s2268" o:spt="1" style="position:absolute;left:11153;top:523870;height:468;width:1945;" filled="f" stroked="f" coordsize="21600,21600">
                    <v:path/>
                    <v:fill on="f" focussize="0,0"/>
                    <v:stroke on="f"/>
                    <v:imagedata o:title=""/>
                    <o:lock v:ext="edit" aspectratio="f"/>
                    <v:textbox>
                      <w:txbxContent>
                        <w:p w14:paraId="5E7F94CC">
                          <w:pPr>
                            <w:jc w:val="center"/>
                            <w:rPr>
                              <w:rFonts w:hint="eastAsia"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272" o:spid="_x0000_s2272" o:spt="109" type="#_x0000_t109" style="position:absolute;left:9454;top:524606;height:436;width:1278;" fillcolor="#FFFFFF" filled="t" stroked="t" coordsize="21600,21600">
                    <v:path/>
                    <v:fill on="t" color2="#FFFFFF" opacity="0f" focussize="0,0"/>
                    <v:stroke color="#000000" joinstyle="miter"/>
                    <v:imagedata o:title=""/>
                    <o:lock v:ext="edit" aspectratio="f"/>
                    <v:textbox>
                      <w:txbxContent>
                        <w:p w14:paraId="0681EBED">
                          <w:pPr>
                            <w:jc w:val="center"/>
                            <w:rPr>
                              <w:rFonts w:hint="default" w:eastAsia="宋体"/>
                              <w:szCs w:val="21"/>
                              <w:lang w:val="en-US" w:eastAsia="zh-CN"/>
                            </w:rPr>
                          </w:pPr>
                          <w:r>
                            <w:rPr>
                              <w:rFonts w:hint="eastAsia"/>
                              <w:szCs w:val="21"/>
                              <w:lang w:val="en-US" w:eastAsia="zh-CN"/>
                            </w:rPr>
                            <w:t>数控加工</w:t>
                          </w:r>
                        </w:p>
                      </w:txbxContent>
                    </v:textbox>
                  </v:shape>
                  <v:shape id="_x0000_s2275" o:spid="_x0000_s2275" o:spt="32" type="#_x0000_t32" style="position:absolute;left:8837;top:524820;height:0;width:567;" filled="f" stroked="t" coordsize="21600,21600">
                    <v:path arrowok="t"/>
                    <v:fill on="f" focussize="0,0"/>
                    <v:stroke color="#000000" endarrow="block"/>
                    <v:imagedata o:title=""/>
                    <o:lock v:ext="edit" aspectratio="f"/>
                  </v:shape>
                  <v:shape id="_x0000_s2277" o:spid="_x0000_s2277" o:spt="109" type="#_x0000_t109" style="position:absolute;left:11321;top:524605;height:436;width:1624;" fillcolor="#FFFFFF" filled="t" stroked="t" coordsize="21600,21600">
                    <v:path/>
                    <v:fill on="t" color2="#FFFFFF" opacity="0f" focussize="0,0"/>
                    <v:stroke color="#000000" joinstyle="miter"/>
                    <v:imagedata o:title=""/>
                    <o:lock v:ext="edit" aspectratio="f"/>
                    <v:textbox>
                      <w:txbxContent>
                        <w:p w14:paraId="18801D50">
                          <w:pPr>
                            <w:jc w:val="center"/>
                            <w:rPr>
                              <w:rFonts w:hint="default" w:eastAsia="宋体"/>
                              <w:szCs w:val="21"/>
                              <w:lang w:val="en-US" w:eastAsia="zh-CN"/>
                            </w:rPr>
                          </w:pPr>
                          <w:r>
                            <w:rPr>
                              <w:rFonts w:hint="eastAsia"/>
                              <w:szCs w:val="21"/>
                              <w:lang w:val="en-US" w:eastAsia="zh-CN"/>
                            </w:rPr>
                            <w:t>手工精修打磨</w:t>
                          </w:r>
                        </w:p>
                      </w:txbxContent>
                    </v:textbox>
                  </v:shape>
                  <v:shape id="_x0000_s2274" o:spid="_x0000_s2274" o:spt="32" type="#_x0000_t32" style="position:absolute;left:10753;top:524843;height:0;width:567;" filled="f" stroked="t" coordsize="21600,21600">
                    <v:path arrowok="t"/>
                    <v:fill on="f" focussize="0,0"/>
                    <v:stroke color="#000000" endarrow="block"/>
                    <v:imagedata o:title=""/>
                    <o:lock v:ext="edit" aspectratio="f"/>
                  </v:shape>
                  <v:shape id="_x0000_s2269" o:spid="_x0000_s2269" o:spt="32" type="#_x0000_t32" style="position:absolute;left:12070;top:524180;flip:y;height:417;width:3;" filled="f" stroked="t" coordsize="21600,21600">
                    <v:path arrowok="t"/>
                    <v:fill on="f" focussize="0,0"/>
                    <v:stroke color="#000000" dashstyle="dash" endarrow="block"/>
                    <v:imagedata o:title=""/>
                    <o:lock v:ext="edit" aspectratio="f"/>
                  </v:shape>
                  <v:rect id="_x0000_s2267" o:spid="_x0000_s2267" o:spt="1" style="position:absolute;left:9337;top:523858;height:468;width:1645;" filled="f" stroked="f" coordsize="21600,21600">
                    <v:path/>
                    <v:fill on="f" focussize="0,0"/>
                    <v:stroke on="f"/>
                    <v:imagedata o:title=""/>
                    <o:lock v:ext="edit" aspectratio="f"/>
                    <v:textbox>
                      <w:txbxContent>
                        <w:p w14:paraId="7F63EDE4">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4F6227C5">
                          <w:pPr>
                            <w:jc w:val="center"/>
                            <w:rPr>
                              <w:rFonts w:eastAsia="楷体"/>
                            </w:rPr>
                          </w:pPr>
                        </w:p>
                      </w:txbxContent>
                    </v:textbox>
                  </v:rect>
                  <v:shape id="_x0000_s2270" o:spid="_x0000_s2270" o:spt="32" type="#_x0000_t32" style="position:absolute;left:10132;top:524181;flip:y;height:417;width:3;" filled="f" stroked="t" coordsize="21600,21600">
                    <v:path arrowok="t"/>
                    <v:fill on="f" focussize="0,0"/>
                    <v:stroke color="#000000" dashstyle="dash" endarrow="block"/>
                    <v:imagedata o:title=""/>
                    <o:lock v:ext="edit" aspectratio="f"/>
                  </v:shape>
                  <v:shape id="_x0000_s2271" o:spid="_x0000_s2271" o:spt="109" type="#_x0000_t109" style="position:absolute;left:5967;top:524504;height:762;width:1159;" fillcolor="#FFFFFF" filled="t" stroked="f" coordsize="21600,21600">
                    <v:path/>
                    <v:fill on="t" color2="#FFFFFF" opacity="0f" focussize="0,0"/>
                    <v:stroke on="f"/>
                    <v:imagedata o:title=""/>
                    <o:lock v:ext="edit" aspectratio="f"/>
                    <v:textbox>
                      <w:txbxContent>
                        <w:p w14:paraId="4A42189A">
                          <w:pPr>
                            <w:jc w:val="center"/>
                            <w:rPr>
                              <w:rFonts w:hint="eastAsia"/>
                              <w:szCs w:val="21"/>
                              <w:lang w:val="en-US" w:eastAsia="zh-CN"/>
                            </w:rPr>
                          </w:pPr>
                          <w:r>
                            <w:rPr>
                              <w:rFonts w:hint="eastAsia"/>
                              <w:szCs w:val="21"/>
                              <w:lang w:val="en-US" w:eastAsia="zh-CN"/>
                            </w:rPr>
                            <w:t>五车间</w:t>
                          </w:r>
                        </w:p>
                        <w:p w14:paraId="3DD851E0">
                          <w:pPr>
                            <w:jc w:val="center"/>
                            <w:rPr>
                              <w:rFonts w:hint="default" w:eastAsia="宋体"/>
                              <w:szCs w:val="21"/>
                              <w:lang w:val="en-US" w:eastAsia="zh-CN"/>
                            </w:rPr>
                          </w:pPr>
                          <w:r>
                            <w:rPr>
                              <w:rFonts w:hint="eastAsia"/>
                              <w:szCs w:val="21"/>
                              <w:lang w:val="en-US" w:eastAsia="zh-CN"/>
                            </w:rPr>
                            <w:t>半成品</w:t>
                          </w:r>
                        </w:p>
                      </w:txbxContent>
                    </v:textbox>
                  </v:shape>
                  <v:shape id="_x0000_s2278" o:spid="_x0000_s2278" o:spt="32" type="#_x0000_t32" style="position:absolute;left:12059;top:525066;height:567;width:0;" filled="f" stroked="t" coordsize="21600,21600">
                    <v:path arrowok="t"/>
                    <v:fill on="f" focussize="0,0"/>
                    <v:stroke color="#000000" endarrow="block"/>
                    <v:imagedata o:title=""/>
                    <o:lock v:ext="edit" aspectratio="f"/>
                  </v:shape>
                  <v:shape id="_x0000_s2285" o:spid="_x0000_s2285" o:spt="109" type="#_x0000_t109" style="position:absolute;left:10874;top:525608;height:436;width:2360;" fillcolor="#FFFFFF" filled="t" stroked="t" coordsize="21600,21600">
                    <v:path/>
                    <v:fill on="t" color2="#FFFFFF" opacity="0f" focussize="0,0"/>
                    <v:stroke color="#000000" joinstyle="miter"/>
                    <v:imagedata o:title=""/>
                    <o:lock v:ext="edit" aspectratio="f"/>
                    <v:textbox>
                      <w:txbxContent>
                        <w:p w14:paraId="22CE1A2D">
                          <w:pPr>
                            <w:jc w:val="center"/>
                            <w:rPr>
                              <w:rFonts w:hint="default" w:eastAsia="宋体"/>
                              <w:szCs w:val="21"/>
                              <w:lang w:val="en-US" w:eastAsia="zh-CN"/>
                            </w:rPr>
                          </w:pPr>
                          <w:r>
                            <w:rPr>
                              <w:rFonts w:hint="eastAsia"/>
                              <w:szCs w:val="21"/>
                              <w:lang w:val="en-US" w:eastAsia="zh-CN"/>
                            </w:rPr>
                            <w:t>砂光（砂光机）</w:t>
                          </w:r>
                        </w:p>
                      </w:txbxContent>
                    </v:textbox>
                  </v:shape>
                  <v:rect id="_x0000_s2291" o:spid="_x0000_s2291" o:spt="1" style="position:absolute;left:10567;top:526308;height:480;width:1759;" filled="f" stroked="f" coordsize="21600,21600">
                    <v:path/>
                    <v:fill on="f" focussize="0,0"/>
                    <v:stroke on="f"/>
                    <v:imagedata o:title=""/>
                    <o:lock v:ext="edit" aspectratio="f"/>
                    <v:textbox>
                      <w:txbxContent>
                        <w:p w14:paraId="7ACAD060">
                          <w:pPr>
                            <w:jc w:val="center"/>
                            <w:rPr>
                              <w:rFonts w:hint="default" w:hAnsi="楷体"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r>
                            <w:rPr>
                              <w:rFonts w:hint="eastAsia" w:hAnsi="楷体" w:eastAsia="楷体"/>
                              <w:lang w:val="en-US" w:eastAsia="zh-CN"/>
                            </w:rPr>
                            <w:t>N噪声</w:t>
                          </w:r>
                        </w:p>
                        <w:p w14:paraId="2E521845">
                          <w:pPr>
                            <w:jc w:val="center"/>
                            <w:rPr>
                              <w:rFonts w:hint="eastAsia" w:hAnsi="楷体" w:eastAsia="楷体"/>
                            </w:rPr>
                          </w:pPr>
                        </w:p>
                      </w:txbxContent>
                    </v:textbox>
                  </v:rect>
                  <v:shape id="_x0000_s2286" o:spid="_x0000_s2286" o:spt="32" type="#_x0000_t32" style="position:absolute;left:11519;top:526096;flip:x;height:337;width:3;" filled="f" stroked="t" coordsize="21600,21600">
                    <v:path arrowok="t"/>
                    <v:fill on="f" focussize="0,0"/>
                    <v:stroke color="#000000" dashstyle="dash" endarrow="block"/>
                    <v:imagedata o:title=""/>
                    <o:lock v:ext="edit" aspectratio="f"/>
                  </v:shape>
                  <v:shape id="_x0000_s2283" o:spid="_x0000_s2283" o:spt="109" type="#_x0000_t109" style="position:absolute;left:8024;top:525619;height:436;width:2195;" fillcolor="#FFFFFF" filled="t" stroked="t" coordsize="21600,21600">
                    <v:path/>
                    <v:fill on="t" color2="#FFFFFF" opacity="0f" focussize="0,0"/>
                    <v:stroke color="#000000" joinstyle="miter"/>
                    <v:imagedata o:title=""/>
                    <o:lock v:ext="edit" aspectratio="f"/>
                    <v:textbox>
                      <w:txbxContent>
                        <w:p w14:paraId="60FED628">
                          <w:pPr>
                            <w:jc w:val="center"/>
                            <w:rPr>
                              <w:rFonts w:hint="default" w:eastAsia="宋体"/>
                              <w:szCs w:val="21"/>
                              <w:lang w:val="en-US" w:eastAsia="zh-CN"/>
                            </w:rPr>
                          </w:pPr>
                          <w:r>
                            <w:rPr>
                              <w:rFonts w:hint="eastAsia"/>
                              <w:szCs w:val="21"/>
                              <w:lang w:val="en-US" w:eastAsia="zh-CN"/>
                            </w:rPr>
                            <w:t>喷漆（底漆1次）</w:t>
                          </w:r>
                        </w:p>
                      </w:txbxContent>
                    </v:textbox>
                  </v:shape>
                  <v:shape id="_x0000_s2284" o:spid="_x0000_s2284" o:spt="32" type="#_x0000_t32" style="position:absolute;left:10252;top:525832;height:0;width:567;" filled="f" stroked="t" coordsize="21600,21600">
                    <v:path arrowok="t"/>
                    <v:fill on="f" focussize="0,0"/>
                    <v:stroke color="#000000" startarrow="block"/>
                    <v:imagedata o:title=""/>
                    <o:lock v:ext="edit" aspectratio="f"/>
                  </v:shape>
                  <v:rect id="_x0000_s2290" o:spid="_x0000_s2290" o:spt="1" style="position:absolute;left:8239;top:526328;height:480;width:1759;" filled="f" stroked="f" coordsize="21600,21600">
                    <v:path/>
                    <v:fill on="f" focussize="0,0"/>
                    <v:stroke on="f"/>
                    <v:imagedata o:title=""/>
                    <o:lock v:ext="edit" aspectratio="f"/>
                    <v:textbox>
                      <w:txbxContent>
                        <w:p w14:paraId="10C21D79">
                          <w:pPr>
                            <w:jc w:val="center"/>
                            <w:rPr>
                              <w:rFonts w:hint="default" w:hAnsi="楷体" w:eastAsia="楷体"/>
                              <w:lang w:val="en-US" w:eastAsia="zh-CN"/>
                            </w:rPr>
                          </w:pPr>
                          <w:r>
                            <w:rPr>
                              <w:rFonts w:hint="eastAsia" w:hAnsi="楷体" w:eastAsia="楷体"/>
                              <w:lang w:val="en-US" w:eastAsia="zh-CN"/>
                            </w:rPr>
                            <w:t>N噪声G</w:t>
                          </w:r>
                          <w:r>
                            <w:rPr>
                              <w:rFonts w:hint="eastAsia" w:hAnsi="楷体" w:eastAsia="楷体"/>
                              <w:vertAlign w:val="subscript"/>
                              <w:lang w:val="en-US" w:eastAsia="zh-CN"/>
                            </w:rPr>
                            <w:t>2</w:t>
                          </w:r>
                          <w:r>
                            <w:rPr>
                              <w:rFonts w:hint="eastAsia" w:hAnsi="楷体" w:eastAsia="楷体"/>
                              <w:lang w:val="en-US" w:eastAsia="zh-CN"/>
                            </w:rPr>
                            <w:t>VOCs</w:t>
                          </w:r>
                        </w:p>
                        <w:p w14:paraId="4DF4922E">
                          <w:pPr>
                            <w:jc w:val="center"/>
                            <w:rPr>
                              <w:rFonts w:hint="eastAsia" w:hAnsi="楷体" w:eastAsia="楷体"/>
                            </w:rPr>
                          </w:pPr>
                        </w:p>
                      </w:txbxContent>
                    </v:textbox>
                  </v:rect>
                  <v:shape id="_x0000_s2282" o:spid="_x0000_s2282" o:spt="32" type="#_x0000_t32" style="position:absolute;left:9081;top:526106;flip:x;height:337;width:3;" filled="f" stroked="t" coordsize="21600,21600">
                    <v:path arrowok="t"/>
                    <v:fill on="f" focussize="0,0"/>
                    <v:stroke color="#000000" dashstyle="dash" endarrow="block"/>
                    <v:imagedata o:title=""/>
                    <o:lock v:ext="edit" aspectratio="f"/>
                  </v:shape>
                  <v:shape id="_x0000_s2280" o:spid="_x0000_s2280" o:spt="109" type="#_x0000_t109" style="position:absolute;left:5909;top:525633;height:436;width:1497;" fillcolor="#FFFFFF" filled="t" stroked="t" coordsize="21600,21600">
                    <v:path/>
                    <v:fill on="t" color2="#FFFFFF" opacity="0f" focussize="0,0"/>
                    <v:stroke color="#000000" joinstyle="miter"/>
                    <v:imagedata o:title=""/>
                    <o:lock v:ext="edit" aspectratio="f"/>
                    <v:textbox>
                      <w:txbxContent>
                        <w:p w14:paraId="1C77CE33">
                          <w:pPr>
                            <w:jc w:val="center"/>
                            <w:rPr>
                              <w:rFonts w:hint="default" w:eastAsia="宋体"/>
                              <w:szCs w:val="21"/>
                              <w:lang w:val="en-US" w:eastAsia="zh-CN"/>
                            </w:rPr>
                          </w:pPr>
                          <w:r>
                            <w:rPr>
                              <w:rFonts w:hint="eastAsia"/>
                              <w:szCs w:val="21"/>
                              <w:lang w:val="en-US" w:eastAsia="zh-CN"/>
                            </w:rPr>
                            <w:t>晾干室干燥</w:t>
                          </w:r>
                        </w:p>
                      </w:txbxContent>
                    </v:textbox>
                  </v:shape>
                  <v:shape id="_x0000_s2281" o:spid="_x0000_s2281" o:spt="32" type="#_x0000_t32" style="position:absolute;left:7439;top:525870;height:0;width:567;" filled="f" stroked="t" coordsize="21600,21600">
                    <v:path arrowok="t"/>
                    <v:fill on="f" focussize="0,0"/>
                    <v:stroke color="#000000" startarrow="block"/>
                    <v:imagedata o:title=""/>
                    <o:lock v:ext="edit" aspectratio="f"/>
                  </v:shape>
                  <v:shape id="_x0000_s2279" o:spid="_x0000_s2279" o:spt="32" type="#_x0000_t32" style="position:absolute;left:6719;top:526107;height:567;width:0;" filled="f" stroked="t" coordsize="21600,21600">
                    <v:path arrowok="t"/>
                    <v:fill on="f" focussize="0,0"/>
                    <v:stroke color="#000000" endarrow="block"/>
                    <v:imagedata o:title=""/>
                    <o:lock v:ext="edit" aspectratio="f"/>
                  </v:shape>
                  <v:shape id="_x0000_s2287" o:spid="_x0000_s2287" o:spt="109" type="#_x0000_t109" style="position:absolute;left:5664;top:526674;height:436;width:1589;" fillcolor="#FFFFFF" filled="t" stroked="t" coordsize="21600,21600">
                    <v:path/>
                    <v:fill on="t" color2="#FFFFFF" opacity="0f" focussize="0,0"/>
                    <v:stroke color="#000000" joinstyle="miter"/>
                    <v:imagedata o:title=""/>
                    <o:lock v:ext="edit" aspectratio="f"/>
                    <v:textbox>
                      <w:txbxContent>
                        <w:p w14:paraId="5C6DD8FE">
                          <w:pPr>
                            <w:jc w:val="center"/>
                            <w:rPr>
                              <w:rFonts w:hint="default" w:eastAsia="宋体"/>
                              <w:szCs w:val="21"/>
                              <w:lang w:val="en-US" w:eastAsia="zh-CN"/>
                            </w:rPr>
                          </w:pPr>
                          <w:r>
                            <w:rPr>
                              <w:rFonts w:hint="eastAsia"/>
                              <w:szCs w:val="21"/>
                              <w:lang w:val="en-US" w:eastAsia="zh-CN"/>
                            </w:rPr>
                            <w:t>轻磨（砂光机）</w:t>
                          </w:r>
                        </w:p>
                      </w:txbxContent>
                    </v:textbox>
                  </v:shape>
                  <v:shape id="_x0000_s2289" o:spid="_x0000_s2289" o:spt="32" type="#_x0000_t32" style="position:absolute;left:7272;top:526883;height:9;width:435;" filled="f" stroked="t" coordsize="21600,21600">
                    <v:path arrowok="t"/>
                    <v:fill on="f" focussize="0,0"/>
                    <v:stroke color="#000000" endarrow="block"/>
                    <v:imagedata o:title=""/>
                    <o:lock v:ext="edit" aspectratio="f"/>
                  </v:shape>
                  <v:shape id="_x0000_s2288" o:spid="_x0000_s2288" o:spt="109" type="#_x0000_t109" style="position:absolute;left:7707;top:526674;height:436;width:2008;" fillcolor="#FFFFFF" filled="t" stroked="t" coordsize="21600,21600">
                    <v:path/>
                    <v:fill on="t" color2="#FFFFFF" opacity="0f" focussize="0,0"/>
                    <v:stroke color="#000000" joinstyle="miter"/>
                    <v:imagedata o:title=""/>
                    <o:lock v:ext="edit" aspectratio="f"/>
                    <v:textbox>
                      <w:txbxContent>
                        <w:p w14:paraId="333A1EC1">
                          <w:pPr>
                            <w:jc w:val="center"/>
                            <w:rPr>
                              <w:rFonts w:hint="default" w:eastAsia="宋体"/>
                              <w:szCs w:val="21"/>
                              <w:lang w:val="en-US" w:eastAsia="zh-CN"/>
                            </w:rPr>
                          </w:pPr>
                          <w:r>
                            <w:rPr>
                              <w:rFonts w:hint="eastAsia"/>
                              <w:szCs w:val="21"/>
                              <w:lang w:val="en-US" w:eastAsia="zh-CN"/>
                            </w:rPr>
                            <w:t>喷漆（面漆2次）</w:t>
                          </w:r>
                        </w:p>
                      </w:txbxContent>
                    </v:textbox>
                  </v:shape>
                  <v:shape id="_x0000_s2292" o:spid="_x0000_s2292" o:spt="109" type="#_x0000_t109" style="position:absolute;left:7855;top:527711;height:436;width:1785;" fillcolor="#FFFFFF" filled="t" stroked="t" coordsize="21600,21600">
                    <v:path/>
                    <v:fill on="t" color2="#FFFFFF" opacity="0f" focussize="0,0"/>
                    <v:stroke color="#000000" joinstyle="miter"/>
                    <v:imagedata o:title=""/>
                    <o:lock v:ext="edit" aspectratio="f"/>
                    <v:textbox>
                      <w:txbxContent>
                        <w:p w14:paraId="7074D44C">
                          <w:pPr>
                            <w:jc w:val="center"/>
                            <w:rPr>
                              <w:rFonts w:hint="default" w:eastAsia="宋体"/>
                              <w:szCs w:val="21"/>
                              <w:lang w:val="en-US" w:eastAsia="zh-CN"/>
                            </w:rPr>
                          </w:pPr>
                          <w:r>
                            <w:rPr>
                              <w:rFonts w:hint="eastAsia"/>
                              <w:szCs w:val="21"/>
                              <w:lang w:val="en-US" w:eastAsia="zh-CN"/>
                            </w:rPr>
                            <w:t>仓库包装待售</w:t>
                          </w:r>
                        </w:p>
                      </w:txbxContent>
                    </v:textbox>
                  </v:shape>
                  <v:shape id="_x0000_s2294" o:spid="_x0000_s2294" o:spt="32" type="#_x0000_t32" style="position:absolute;left:8207;top:524218;flip:y;height:417;width:3;" filled="f" stroked="t" coordsize="21600,21600">
                    <v:path arrowok="t"/>
                    <v:fill on="f" focussize="0,0"/>
                    <v:stroke color="#000000" dashstyle="dash" endarrow="block"/>
                    <v:imagedata o:title=""/>
                    <o:lock v:ext="edit" aspectratio="f"/>
                  </v:shape>
                  <v:rect id="_x0000_s2295" o:spid="_x0000_s2295" o:spt="1" style="position:absolute;left:7401;top:523883;height:468;width:1691;" filled="f" stroked="f" coordsize="21600,21600">
                    <v:path/>
                    <v:fill on="f" focussize="0,0"/>
                    <v:stroke on="f"/>
                    <v:imagedata o:title=""/>
                    <o:lock v:ext="edit" aspectratio="f"/>
                    <v:textbox>
                      <w:txbxContent>
                        <w:p w14:paraId="5F8AF5D5">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31A7C3D8">
                          <w:pPr>
                            <w:jc w:val="center"/>
                            <w:rPr>
                              <w:rFonts w:eastAsia="楷体"/>
                            </w:rPr>
                          </w:pPr>
                        </w:p>
                      </w:txbxContent>
                    </v:textbox>
                  </v:rect>
                  <v:shape id="_x0000_s2296" o:spid="_x0000_s2296" o:spt="32" type="#_x0000_t32" style="position:absolute;left:9721;top:526883;height:9;width:435;" filled="f" stroked="t" coordsize="21600,21600">
                    <v:path arrowok="t"/>
                    <v:fill on="f" focussize="0,0"/>
                    <v:stroke color="#000000" endarrow="block"/>
                    <v:imagedata o:title=""/>
                    <o:lock v:ext="edit" aspectratio="f"/>
                  </v:shape>
                  <v:shape id="_x0000_s2297" o:spid="_x0000_s2297" o:spt="109" type="#_x0000_t109" style="position:absolute;left:10174;top:526682;height:436;width:1203;" fillcolor="#FFFFFF" filled="t" stroked="t" coordsize="21600,21600">
                    <v:path/>
                    <v:fill on="t" color2="#FFFFFF" opacity="0f" focussize="0,0"/>
                    <v:stroke color="#000000" joinstyle="miter"/>
                    <v:imagedata o:title=""/>
                    <o:lock v:ext="edit" aspectratio="f"/>
                    <v:textbox>
                      <w:txbxContent>
                        <w:p w14:paraId="3455AC7B">
                          <w:pPr>
                            <w:jc w:val="center"/>
                            <w:rPr>
                              <w:rFonts w:hint="default" w:eastAsia="宋体"/>
                              <w:szCs w:val="21"/>
                              <w:lang w:val="en-US" w:eastAsia="zh-CN"/>
                            </w:rPr>
                          </w:pPr>
                          <w:r>
                            <w:rPr>
                              <w:rFonts w:hint="eastAsia"/>
                              <w:szCs w:val="21"/>
                              <w:lang w:val="en-US" w:eastAsia="zh-CN"/>
                            </w:rPr>
                            <w:t>晾干</w:t>
                          </w:r>
                        </w:p>
                      </w:txbxContent>
                    </v:textbox>
                  </v:shape>
                  <v:shape id="_x0000_s2298" o:spid="_x0000_s2298" o:spt="32" type="#_x0000_t32" style="position:absolute;left:10822;top:527153;height:567;width:0;" filled="f" stroked="t" coordsize="21600,21600">
                    <v:path arrowok="t"/>
                    <v:fill on="f" focussize="0,0"/>
                    <v:stroke color="#000000" endarrow="block"/>
                    <v:imagedata o:title=""/>
                    <o:lock v:ext="edit" aspectratio="f"/>
                  </v:shape>
                  <v:shape id="_x0000_s2299" o:spid="_x0000_s2299" o:spt="109" type="#_x0000_t109" style="position:absolute;left:10249;top:527694;height:436;width:1128;" fillcolor="#FFFFFF" filled="t" stroked="t" coordsize="21600,21600">
                    <v:path/>
                    <v:fill on="t" color2="#FFFFFF" opacity="0f" focussize="0,0"/>
                    <v:stroke color="#000000" joinstyle="miter"/>
                    <v:imagedata o:title=""/>
                    <o:lock v:ext="edit" aspectratio="f"/>
                    <v:textbox>
                      <w:txbxContent>
                        <w:p w14:paraId="26C9B6A5">
                          <w:pPr>
                            <w:jc w:val="center"/>
                            <w:rPr>
                              <w:rFonts w:hint="default" w:eastAsia="宋体"/>
                              <w:szCs w:val="21"/>
                              <w:lang w:val="en-US" w:eastAsia="zh-CN"/>
                            </w:rPr>
                          </w:pPr>
                          <w:r>
                            <w:rPr>
                              <w:rFonts w:hint="eastAsia"/>
                              <w:szCs w:val="21"/>
                              <w:lang w:val="en-US" w:eastAsia="zh-CN"/>
                            </w:rPr>
                            <w:t>检验</w:t>
                          </w:r>
                        </w:p>
                      </w:txbxContent>
                    </v:textbox>
                  </v:shape>
                  <v:shape id="_x0000_s2300" o:spid="_x0000_s2300" o:spt="32" type="#_x0000_t32" style="position:absolute;left:9665;top:527907;height:0;width:567;" filled="f" stroked="t" coordsize="21600,21600">
                    <v:path arrowok="t"/>
                    <v:fill on="f" focussize="0,0"/>
                    <v:stroke color="#000000" startarrow="block"/>
                    <v:imagedata o:title=""/>
                    <o:lock v:ext="edit" aspectratio="f"/>
                  </v:shape>
                  <v:rect id="_x0000_s2302" o:spid="_x0000_s2302" o:spt="1" style="position:absolute;left:7876;top:527378;height:480;width:1759;" filled="f" stroked="f" coordsize="21600,21600">
                    <v:path/>
                    <v:fill on="f" focussize="0,0"/>
                    <v:stroke on="f"/>
                    <v:imagedata o:title=""/>
                    <o:lock v:ext="edit" aspectratio="f"/>
                    <v:textbox>
                      <w:txbxContent>
                        <w:p w14:paraId="575C3CE8">
                          <w:pPr>
                            <w:jc w:val="center"/>
                            <w:rPr>
                              <w:rFonts w:hint="default" w:hAnsi="楷体" w:eastAsia="楷体"/>
                              <w:lang w:val="en-US" w:eastAsia="zh-CN"/>
                            </w:rPr>
                          </w:pPr>
                          <w:r>
                            <w:rPr>
                              <w:rFonts w:hint="eastAsia" w:hAnsi="楷体" w:eastAsia="楷体"/>
                              <w:lang w:val="en-US" w:eastAsia="zh-CN"/>
                            </w:rPr>
                            <w:t>N噪声G</w:t>
                          </w:r>
                          <w:r>
                            <w:rPr>
                              <w:rFonts w:hint="eastAsia" w:hAnsi="楷体" w:eastAsia="楷体"/>
                              <w:vertAlign w:val="subscript"/>
                              <w:lang w:val="en-US" w:eastAsia="zh-CN"/>
                            </w:rPr>
                            <w:t>2</w:t>
                          </w:r>
                          <w:r>
                            <w:rPr>
                              <w:rFonts w:hint="eastAsia" w:hAnsi="楷体" w:eastAsia="楷体"/>
                              <w:lang w:val="en-US" w:eastAsia="zh-CN"/>
                            </w:rPr>
                            <w:t>VOCs</w:t>
                          </w:r>
                        </w:p>
                        <w:p w14:paraId="4F1A372D">
                          <w:pPr>
                            <w:jc w:val="center"/>
                            <w:rPr>
                              <w:rFonts w:hint="eastAsia" w:hAnsi="楷体" w:eastAsia="楷体"/>
                            </w:rPr>
                          </w:pPr>
                        </w:p>
                      </w:txbxContent>
                    </v:textbox>
                  </v:rect>
                  <v:shape id="_x0000_s2301" o:spid="_x0000_s2301" o:spt="32" type="#_x0000_t32" style="position:absolute;left:8718;top:527156;flip:x;height:337;width:3;" filled="f" stroked="t" coordsize="21600,21600">
                    <v:path arrowok="t"/>
                    <v:fill on="f" focussize="0,0"/>
                    <v:stroke color="#000000" dashstyle="dash" endarrow="block"/>
                    <v:imagedata o:title=""/>
                    <o:lock v:ext="edit" aspectratio="f"/>
                  </v:shape>
                  <v:rect id="_x0000_s2303" o:spid="_x0000_s2303" o:spt="1" style="position:absolute;left:5699;top:527458;height:468;width:1645;" filled="f" stroked="f" coordsize="21600,21600">
                    <v:path/>
                    <v:fill on="f" focussize="0,0"/>
                    <v:stroke on="f"/>
                    <v:imagedata o:title=""/>
                    <o:lock v:ext="edit" aspectratio="f"/>
                    <v:textbox>
                      <w:txbxContent>
                        <w:p w14:paraId="6600DCA9">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5E726195">
                          <w:pPr>
                            <w:jc w:val="center"/>
                            <w:rPr>
                              <w:rFonts w:eastAsia="楷体"/>
                            </w:rPr>
                          </w:pPr>
                        </w:p>
                      </w:txbxContent>
                    </v:textbox>
                  </v:rect>
                  <v:shape id="_x0000_s2304" o:spid="_x0000_s2304" o:spt="32" type="#_x0000_t32" style="position:absolute;left:6494;top:527181;flip:x;height:337;width:3;" filled="f" stroked="t" coordsize="21600,21600">
                    <v:path arrowok="t"/>
                    <v:fill on="f" focussize="0,0"/>
                    <v:stroke color="#000000" dashstyle="dash" endarrow="block"/>
                    <v:imagedata o:title=""/>
                    <o:lock v:ext="edit" aspectratio="f"/>
                  </v:shape>
                  <v:shape id="_x0000_s2067" o:spid="_x0000_s2067" o:spt="32" type="#_x0000_t32" style="position:absolute;left:12230;top:526067;flip:x;height:1859;width:9;" filled="f" stroked="t" coordsize="21600,21600">
                    <v:path arrowok="t"/>
                    <v:fill on="f" focussize="0,0"/>
                    <v:stroke color="#000000"/>
                    <v:imagedata o:title=""/>
                    <o:lock v:ext="edit" aspectratio="f"/>
                  </v:shape>
                  <v:shape id="_x0000_s2122" o:spid="_x0000_s2122" o:spt="32" type="#_x0000_t32" style="position:absolute;left:11345;top:527937;height:9;width:895;" filled="f" stroked="t" coordsize="21600,21600">
                    <v:path arrowok="t"/>
                    <v:fill on="f" focussize="0,0"/>
                    <v:stroke color="#000000" startarrow="block"/>
                    <v:imagedata o:title=""/>
                    <o:lock v:ext="edit" aspectratio="f"/>
                  </v:shape>
                  <v:rect id="_x0000_s2126" o:spid="_x0000_s2126" o:spt="1" style="position:absolute;left:10016;top:525458;height:480;width:1271;" filled="f" stroked="f" coordsize="21600,21600">
                    <v:path/>
                    <v:fill on="f" focussize="0,0"/>
                    <v:stroke on="f"/>
                    <v:imagedata o:title=""/>
                    <o:lock v:ext="edit" aspectratio="f"/>
                    <v:textbox>
                      <w:txbxContent>
                        <w:p w14:paraId="6D8BF380">
                          <w:pPr>
                            <w:jc w:val="center"/>
                            <w:rPr>
                              <w:rFonts w:hint="default" w:hAnsi="楷体" w:eastAsia="楷体"/>
                              <w:lang w:val="en-US" w:eastAsia="zh-CN"/>
                            </w:rPr>
                          </w:pPr>
                          <w:r>
                            <w:rPr>
                              <w:rFonts w:hint="eastAsia" w:hAnsi="楷体" w:eastAsia="楷体"/>
                              <w:lang w:val="en-US" w:eastAsia="zh-CN"/>
                            </w:rPr>
                            <w:t>部分产品</w:t>
                          </w:r>
                        </w:p>
                      </w:txbxContent>
                    </v:textbox>
                  </v:rect>
                  <v:rect id="_x0000_s2127" o:spid="_x0000_s2127" o:spt="1" style="position:absolute;left:12026;top:526048;height:480;width:1271;" filled="f" stroked="f" coordsize="21600,21600">
                    <v:path/>
                    <v:fill on="f" focussize="0,0"/>
                    <v:stroke on="f"/>
                    <v:imagedata o:title=""/>
                    <o:lock v:ext="edit" aspectratio="f"/>
                    <v:textbox>
                      <w:txbxContent>
                        <w:p w14:paraId="6BDD38DC">
                          <w:pPr>
                            <w:jc w:val="center"/>
                            <w:rPr>
                              <w:rFonts w:hint="default" w:hAnsi="楷体" w:eastAsia="楷体"/>
                              <w:lang w:val="en-US" w:eastAsia="zh-CN"/>
                            </w:rPr>
                          </w:pPr>
                          <w:r>
                            <w:rPr>
                              <w:rFonts w:hint="eastAsia" w:hAnsi="楷体" w:eastAsia="楷体"/>
                              <w:lang w:val="en-US" w:eastAsia="zh-CN"/>
                            </w:rPr>
                            <w:t>部分产品</w:t>
                          </w:r>
                        </w:p>
                      </w:txbxContent>
                    </v:textbox>
                  </v:rect>
                </v:group>
              </w:pict>
            </w:r>
          </w:p>
          <w:p w14:paraId="7C1C87BF">
            <w:pPr>
              <w:spacing w:line="360" w:lineRule="auto"/>
              <w:jc w:val="center"/>
              <w:rPr>
                <w:rFonts w:hAnsi="宋体"/>
                <w:b/>
                <w:bCs/>
                <w:color w:val="auto"/>
                <w:sz w:val="18"/>
                <w:szCs w:val="18"/>
              </w:rPr>
            </w:pPr>
          </w:p>
          <w:p w14:paraId="5B5B23CB">
            <w:pPr>
              <w:spacing w:line="360" w:lineRule="auto"/>
              <w:jc w:val="center"/>
              <w:rPr>
                <w:rFonts w:hAnsi="宋体"/>
                <w:b/>
                <w:bCs/>
                <w:color w:val="auto"/>
                <w:sz w:val="18"/>
                <w:szCs w:val="18"/>
              </w:rPr>
            </w:pPr>
          </w:p>
          <w:p w14:paraId="292914B5">
            <w:pPr>
              <w:spacing w:line="360" w:lineRule="auto"/>
              <w:jc w:val="center"/>
              <w:rPr>
                <w:rFonts w:hAnsi="宋体"/>
                <w:b/>
                <w:bCs/>
                <w:color w:val="auto"/>
                <w:sz w:val="18"/>
                <w:szCs w:val="18"/>
              </w:rPr>
            </w:pPr>
          </w:p>
          <w:p w14:paraId="2997C933">
            <w:pPr>
              <w:spacing w:line="360" w:lineRule="auto"/>
              <w:jc w:val="center"/>
              <w:rPr>
                <w:rFonts w:hAnsi="宋体"/>
                <w:b/>
                <w:bCs/>
                <w:color w:val="auto"/>
                <w:sz w:val="18"/>
                <w:szCs w:val="18"/>
              </w:rPr>
            </w:pPr>
          </w:p>
          <w:p w14:paraId="550C45DE">
            <w:pPr>
              <w:spacing w:line="360" w:lineRule="auto"/>
              <w:jc w:val="center"/>
              <w:rPr>
                <w:rFonts w:hAnsi="宋体"/>
                <w:b/>
                <w:bCs/>
                <w:color w:val="auto"/>
                <w:sz w:val="18"/>
                <w:szCs w:val="18"/>
              </w:rPr>
            </w:pPr>
          </w:p>
          <w:p w14:paraId="67673D35">
            <w:pPr>
              <w:spacing w:line="360" w:lineRule="auto"/>
              <w:jc w:val="center"/>
              <w:rPr>
                <w:rFonts w:hAnsi="宋体"/>
                <w:b/>
                <w:bCs/>
                <w:color w:val="auto"/>
                <w:sz w:val="18"/>
                <w:szCs w:val="18"/>
              </w:rPr>
            </w:pPr>
          </w:p>
          <w:p w14:paraId="03D80BF0">
            <w:pPr>
              <w:spacing w:line="360" w:lineRule="auto"/>
              <w:jc w:val="center"/>
              <w:rPr>
                <w:rFonts w:hAnsi="宋体"/>
                <w:b/>
                <w:bCs/>
                <w:color w:val="auto"/>
                <w:sz w:val="18"/>
                <w:szCs w:val="18"/>
              </w:rPr>
            </w:pPr>
          </w:p>
          <w:p w14:paraId="2B91D5C9">
            <w:pPr>
              <w:spacing w:line="360" w:lineRule="auto"/>
              <w:jc w:val="center"/>
              <w:rPr>
                <w:rFonts w:hAnsi="宋体"/>
                <w:b/>
                <w:bCs/>
                <w:color w:val="auto"/>
                <w:sz w:val="18"/>
                <w:szCs w:val="18"/>
              </w:rPr>
            </w:pPr>
          </w:p>
          <w:p w14:paraId="121F8833">
            <w:pPr>
              <w:spacing w:line="360" w:lineRule="auto"/>
              <w:jc w:val="center"/>
              <w:rPr>
                <w:rFonts w:hAnsi="宋体"/>
                <w:b/>
                <w:bCs/>
                <w:color w:val="auto"/>
                <w:sz w:val="18"/>
                <w:szCs w:val="18"/>
              </w:rPr>
            </w:pPr>
          </w:p>
          <w:p w14:paraId="43CA7C8E">
            <w:pPr>
              <w:spacing w:line="360" w:lineRule="auto"/>
              <w:jc w:val="center"/>
              <w:rPr>
                <w:rFonts w:hAnsi="宋体"/>
                <w:b/>
                <w:bCs/>
                <w:color w:val="auto"/>
                <w:sz w:val="18"/>
                <w:szCs w:val="18"/>
              </w:rPr>
            </w:pPr>
          </w:p>
          <w:p w14:paraId="11DFBC56">
            <w:pPr>
              <w:spacing w:line="360" w:lineRule="auto"/>
              <w:jc w:val="center"/>
              <w:rPr>
                <w:rFonts w:hAnsi="宋体"/>
                <w:b/>
                <w:bCs/>
                <w:color w:val="auto"/>
                <w:sz w:val="18"/>
                <w:szCs w:val="18"/>
              </w:rPr>
            </w:pPr>
          </w:p>
          <w:p w14:paraId="73F4D49F">
            <w:pPr>
              <w:spacing w:line="360" w:lineRule="auto"/>
              <w:jc w:val="center"/>
              <w:rPr>
                <w:rFonts w:hAnsi="宋体"/>
                <w:b/>
                <w:bCs/>
                <w:color w:val="auto"/>
                <w:sz w:val="18"/>
                <w:szCs w:val="18"/>
              </w:rPr>
            </w:pPr>
          </w:p>
          <w:p w14:paraId="58B8F8CE">
            <w:pPr>
              <w:spacing w:line="360" w:lineRule="auto"/>
              <w:jc w:val="center"/>
              <w:rPr>
                <w:rFonts w:hAnsi="宋体"/>
                <w:b/>
                <w:bCs/>
                <w:color w:val="auto"/>
                <w:sz w:val="18"/>
                <w:szCs w:val="18"/>
              </w:rPr>
            </w:pPr>
          </w:p>
          <w:p w14:paraId="04D5A629">
            <w:pPr>
              <w:spacing w:line="360" w:lineRule="auto"/>
              <w:jc w:val="center"/>
              <w:rPr>
                <w:rFonts w:hAnsi="宋体"/>
                <w:b/>
                <w:bCs/>
                <w:color w:val="auto"/>
                <w:sz w:val="18"/>
                <w:szCs w:val="18"/>
              </w:rPr>
            </w:pPr>
          </w:p>
          <w:p w14:paraId="51A784CA">
            <w:pPr>
              <w:spacing w:line="360" w:lineRule="auto"/>
              <w:jc w:val="center"/>
              <w:rPr>
                <w:rFonts w:hAnsi="宋体"/>
                <w:b/>
                <w:bCs/>
                <w:color w:val="auto"/>
                <w:sz w:val="18"/>
                <w:szCs w:val="18"/>
              </w:rPr>
            </w:pPr>
            <w:r>
              <w:rPr>
                <w:rFonts w:hAnsi="宋体"/>
                <w:b/>
                <w:bCs/>
                <w:color w:val="auto"/>
                <w:sz w:val="18"/>
                <w:szCs w:val="18"/>
              </w:rPr>
              <w:t>图</w:t>
            </w:r>
            <w:r>
              <w:rPr>
                <w:rFonts w:hint="eastAsia"/>
                <w:b/>
                <w:bCs/>
                <w:color w:val="auto"/>
                <w:sz w:val="18"/>
                <w:szCs w:val="18"/>
              </w:rPr>
              <w:t>2</w:t>
            </w:r>
            <w:r>
              <w:rPr>
                <w:b/>
                <w:bCs/>
                <w:color w:val="auto"/>
                <w:sz w:val="18"/>
                <w:szCs w:val="18"/>
              </w:rPr>
              <w:t>-</w:t>
            </w:r>
            <w:r>
              <w:rPr>
                <w:rFonts w:hint="eastAsia"/>
                <w:b/>
                <w:bCs/>
                <w:color w:val="auto"/>
                <w:sz w:val="18"/>
                <w:szCs w:val="18"/>
                <w:lang w:val="en-US" w:eastAsia="zh-CN"/>
              </w:rPr>
              <w:t>4</w:t>
            </w:r>
            <w:r>
              <w:rPr>
                <w:b/>
                <w:bCs/>
                <w:color w:val="auto"/>
                <w:sz w:val="18"/>
                <w:szCs w:val="18"/>
              </w:rPr>
              <w:t xml:space="preserve">    </w:t>
            </w:r>
            <w:r>
              <w:rPr>
                <w:rFonts w:hAnsi="宋体"/>
                <w:b/>
                <w:bCs/>
                <w:color w:val="auto"/>
                <w:sz w:val="18"/>
                <w:szCs w:val="18"/>
              </w:rPr>
              <w:t>运营期</w:t>
            </w:r>
            <w:r>
              <w:rPr>
                <w:rFonts w:hint="eastAsia" w:hAnsi="宋体"/>
                <w:b/>
                <w:bCs/>
                <w:color w:val="auto"/>
                <w:sz w:val="18"/>
                <w:szCs w:val="18"/>
                <w:lang w:val="en-US" w:eastAsia="zh-CN"/>
              </w:rPr>
              <w:t>木雕精加工（三车间）</w:t>
            </w:r>
            <w:r>
              <w:rPr>
                <w:rFonts w:hAnsi="宋体"/>
                <w:b/>
                <w:bCs/>
                <w:color w:val="auto"/>
                <w:sz w:val="18"/>
                <w:szCs w:val="18"/>
              </w:rPr>
              <w:t>工艺流程及排污节点图</w:t>
            </w:r>
          </w:p>
          <w:p w14:paraId="75040FD5">
            <w:pPr>
              <w:spacing w:line="360" w:lineRule="auto"/>
              <w:jc w:val="center"/>
              <w:rPr>
                <w:rFonts w:hAnsi="宋体"/>
                <w:b/>
                <w:bCs/>
                <w:color w:val="auto"/>
                <w:sz w:val="18"/>
                <w:szCs w:val="18"/>
              </w:rPr>
            </w:pPr>
          </w:p>
          <w:p w14:paraId="29C46591">
            <w:pPr>
              <w:spacing w:line="360" w:lineRule="auto"/>
              <w:jc w:val="center"/>
              <w:rPr>
                <w:rFonts w:hAnsi="宋体"/>
                <w:b/>
                <w:bCs/>
                <w:color w:val="auto"/>
                <w:sz w:val="18"/>
                <w:szCs w:val="18"/>
              </w:rPr>
            </w:pPr>
            <w:r>
              <w:rPr>
                <w:sz w:val="21"/>
              </w:rPr>
              <w:pict>
                <v:group id="_x0000_s2377" o:spid="_x0000_s2377" o:spt="203" style="position:absolute;left:0pt;margin-left:17.9pt;margin-top:3.4pt;height:162.6pt;width:366.25pt;z-index:251660288;mso-width-relative:page;mso-height-relative:page;" coordorigin="3047,400852" coordsize="7325,3252">
                  <o:lock v:ext="edit" aspectratio="f"/>
                  <v:shape id="_x0000_s2313" o:spid="_x0000_s2313" o:spt="109" type="#_x0000_t109" style="position:absolute;left:4712;top:401601;height:436;width:1203;" fillcolor="#FFFFFF" filled="t" stroked="t" coordsize="21600,21600">
                    <v:path/>
                    <v:fill on="t" color2="#FFFFFF" opacity="0f" focussize="0,0"/>
                    <v:stroke color="#000000" joinstyle="miter"/>
                    <v:imagedata o:title=""/>
                    <o:lock v:ext="edit" aspectratio="f"/>
                    <v:textbox>
                      <w:txbxContent>
                        <w:p w14:paraId="7C55F8F4">
                          <w:pPr>
                            <w:jc w:val="center"/>
                            <w:rPr>
                              <w:rFonts w:hint="default" w:eastAsia="宋体"/>
                              <w:szCs w:val="21"/>
                              <w:lang w:val="en-US" w:eastAsia="zh-CN"/>
                            </w:rPr>
                          </w:pPr>
                          <w:r>
                            <w:rPr>
                              <w:rFonts w:hint="eastAsia"/>
                              <w:szCs w:val="21"/>
                              <w:lang w:val="en-US" w:eastAsia="zh-CN"/>
                            </w:rPr>
                            <w:t>分割</w:t>
                          </w:r>
                        </w:p>
                      </w:txbxContent>
                    </v:textbox>
                  </v:shape>
                  <v:shape id="_x0000_s2317" o:spid="_x0000_s2317" o:spt="32" type="#_x0000_t32" style="position:absolute;left:4145;top:401839;height:0;width:567;" filled="f" stroked="t" coordsize="21600,21600">
                    <v:path arrowok="t"/>
                    <v:fill on="f" focussize="0,0"/>
                    <v:stroke color="#000000" endarrow="block"/>
                    <v:imagedata o:title=""/>
                    <o:lock v:ext="edit" aspectratio="f"/>
                  </v:shape>
                  <v:rect id="_x0000_s2307" o:spid="_x0000_s2307" o:spt="1" style="position:absolute;left:8291;top:400864;height:468;width:1945;" filled="f" stroked="f" coordsize="21600,21600">
                    <v:path/>
                    <v:fill on="f" focussize="0,0"/>
                    <v:stroke on="f"/>
                    <v:imagedata o:title=""/>
                    <o:lock v:ext="edit" aspectratio="f"/>
                    <v:textbox>
                      <w:txbxContent>
                        <w:p w14:paraId="70FF7259">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312" o:spid="_x0000_s2312" o:spt="109" type="#_x0000_t109" style="position:absolute;left:6592;top:401600;height:436;width:1278;" fillcolor="#FFFFFF" filled="t" stroked="t" coordsize="21600,21600">
                    <v:path/>
                    <v:fill on="t" color2="#FFFFFF" opacity="0f" focussize="0,0"/>
                    <v:stroke color="#000000" joinstyle="miter"/>
                    <v:imagedata o:title=""/>
                    <o:lock v:ext="edit" aspectratio="f"/>
                    <v:textbox>
                      <w:txbxContent>
                        <w:p w14:paraId="6703F141">
                          <w:pPr>
                            <w:jc w:val="center"/>
                            <w:rPr>
                              <w:rFonts w:hint="default" w:eastAsia="宋体"/>
                              <w:szCs w:val="21"/>
                              <w:lang w:val="en-US" w:eastAsia="zh-CN"/>
                            </w:rPr>
                          </w:pPr>
                          <w:r>
                            <w:rPr>
                              <w:rFonts w:hint="eastAsia"/>
                              <w:szCs w:val="21"/>
                              <w:lang w:val="en-US" w:eastAsia="zh-CN"/>
                            </w:rPr>
                            <w:t>精切</w:t>
                          </w:r>
                        </w:p>
                      </w:txbxContent>
                    </v:textbox>
                  </v:shape>
                  <v:shape id="_x0000_s2316" o:spid="_x0000_s2316" o:spt="32" type="#_x0000_t32" style="position:absolute;left:5975;top:401814;height:0;width:567;" filled="f" stroked="t" coordsize="21600,21600">
                    <v:path arrowok="t"/>
                    <v:fill on="f" focussize="0,0"/>
                    <v:stroke color="#000000" endarrow="block"/>
                    <v:imagedata o:title=""/>
                    <o:lock v:ext="edit" aspectratio="f"/>
                  </v:shape>
                  <v:shape id="_x0000_s2314" o:spid="_x0000_s2314" o:spt="109" type="#_x0000_t109" style="position:absolute;left:8459;top:401599;height:436;width:1624;" fillcolor="#FFFFFF" filled="t" stroked="t" coordsize="21600,21600">
                    <v:path/>
                    <v:fill on="t" color2="#FFFFFF" opacity="0f" focussize="0,0"/>
                    <v:stroke color="#000000" joinstyle="miter"/>
                    <v:imagedata o:title=""/>
                    <o:lock v:ext="edit" aspectratio="f"/>
                    <v:textbox>
                      <w:txbxContent>
                        <w:p w14:paraId="478EEEC4">
                          <w:pPr>
                            <w:jc w:val="center"/>
                            <w:rPr>
                              <w:rFonts w:hint="default" w:eastAsia="宋体"/>
                              <w:szCs w:val="21"/>
                              <w:lang w:val="en-US" w:eastAsia="zh-CN"/>
                            </w:rPr>
                          </w:pPr>
                          <w:r>
                            <w:rPr>
                              <w:rFonts w:hint="eastAsia"/>
                              <w:szCs w:val="21"/>
                              <w:lang w:val="en-US" w:eastAsia="zh-CN"/>
                            </w:rPr>
                            <w:t>数控粗雕/精雕</w:t>
                          </w:r>
                        </w:p>
                      </w:txbxContent>
                    </v:textbox>
                  </v:shape>
                  <v:shape id="_x0000_s2315" o:spid="_x0000_s2315" o:spt="32" type="#_x0000_t32" style="position:absolute;left:7891;top:401837;height:0;width:567;" filled="f" stroked="t" coordsize="21600,21600">
                    <v:path arrowok="t"/>
                    <v:fill on="f" focussize="0,0"/>
                    <v:stroke color="#000000" endarrow="block"/>
                    <v:imagedata o:title=""/>
                    <o:lock v:ext="edit" aspectratio="f"/>
                  </v:shape>
                  <v:shape id="_x0000_s2309" o:spid="_x0000_s2309" o:spt="32" type="#_x0000_t32" style="position:absolute;left:9208;top:401174;flip:y;height:417;width:3;" filled="f" stroked="t" coordsize="21600,21600">
                    <v:path arrowok="t"/>
                    <v:fill on="f" focussize="0,0"/>
                    <v:stroke color="#000000" dashstyle="dash" endarrow="block"/>
                    <v:imagedata o:title=""/>
                    <o:lock v:ext="edit" aspectratio="f"/>
                  </v:shape>
                  <v:rect id="_x0000_s2305" o:spid="_x0000_s2305" o:spt="1" style="position:absolute;left:6475;top:400852;height:468;width:1645;" filled="f" stroked="f" coordsize="21600,21600">
                    <v:path/>
                    <v:fill on="f" focussize="0,0"/>
                    <v:stroke on="f"/>
                    <v:imagedata o:title=""/>
                    <o:lock v:ext="edit" aspectratio="f"/>
                    <v:textbox>
                      <w:txbxContent>
                        <w:p w14:paraId="2C336AC0">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06D29C87">
                          <w:pPr>
                            <w:jc w:val="center"/>
                            <w:rPr>
                              <w:rFonts w:eastAsia="楷体"/>
                            </w:rPr>
                          </w:pPr>
                        </w:p>
                      </w:txbxContent>
                    </v:textbox>
                  </v:rect>
                  <v:shape id="_x0000_s2310" o:spid="_x0000_s2310" o:spt="32" type="#_x0000_t32" style="position:absolute;left:7270;top:401175;flip:y;height:417;width:3;" filled="f" stroked="t" coordsize="21600,21600">
                    <v:path arrowok="t"/>
                    <v:fill on="f" focussize="0,0"/>
                    <v:stroke color="#000000" dashstyle="dash" endarrow="block"/>
                    <v:imagedata o:title=""/>
                    <o:lock v:ext="edit" aspectratio="f"/>
                  </v:shape>
                  <v:shape id="_x0000_s2311" o:spid="_x0000_s2311" o:spt="109" type="#_x0000_t109" style="position:absolute;left:3279;top:401648;height:451;width:849;" fillcolor="#FFFFFF" filled="t" stroked="f" coordsize="21600,21600">
                    <v:path/>
                    <v:fill on="t" color2="#FFFFFF" opacity="0f" focussize="0,0"/>
                    <v:stroke on="f"/>
                    <v:imagedata o:title=""/>
                    <o:lock v:ext="edit" aspectratio="f"/>
                    <v:textbox>
                      <w:txbxContent>
                        <w:p w14:paraId="3E6BD553">
                          <w:pPr>
                            <w:jc w:val="center"/>
                            <w:rPr>
                              <w:rFonts w:hint="default" w:eastAsia="宋体"/>
                              <w:szCs w:val="21"/>
                              <w:lang w:val="en-US" w:eastAsia="zh-CN"/>
                            </w:rPr>
                          </w:pPr>
                          <w:r>
                            <w:rPr>
                              <w:rFonts w:hint="eastAsia"/>
                              <w:szCs w:val="21"/>
                              <w:lang w:val="en-US" w:eastAsia="zh-CN"/>
                            </w:rPr>
                            <w:t>石材</w:t>
                          </w:r>
                        </w:p>
                      </w:txbxContent>
                    </v:textbox>
                  </v:shape>
                  <v:shape id="_x0000_s2318" o:spid="_x0000_s2318" o:spt="32" type="#_x0000_t32" style="position:absolute;left:9197;top:402060;height:567;width:0;" filled="f" stroked="t" coordsize="21600,21600">
                    <v:path arrowok="t"/>
                    <v:fill on="f" focussize="0,0"/>
                    <v:stroke color="#000000" endarrow="block"/>
                    <v:imagedata o:title=""/>
                    <o:lock v:ext="edit" aspectratio="f"/>
                  </v:shape>
                  <v:shape id="_x0000_s2323" o:spid="_x0000_s2323" o:spt="109" type="#_x0000_t109" style="position:absolute;left:8012;top:402602;height:436;width:2360;" fillcolor="#FFFFFF" filled="t" stroked="t" coordsize="21600,21600">
                    <v:path/>
                    <v:fill on="t" color2="#FFFFFF" opacity="0f" focussize="0,0"/>
                    <v:stroke color="#000000" joinstyle="miter"/>
                    <v:imagedata o:title=""/>
                    <o:lock v:ext="edit" aspectratio="f"/>
                    <v:textbox>
                      <w:txbxContent>
                        <w:p w14:paraId="74CE48BD">
                          <w:pPr>
                            <w:jc w:val="center"/>
                            <w:rPr>
                              <w:rFonts w:hint="default" w:eastAsia="宋体"/>
                              <w:szCs w:val="21"/>
                              <w:lang w:val="en-US" w:eastAsia="zh-CN"/>
                            </w:rPr>
                          </w:pPr>
                          <w:r>
                            <w:rPr>
                              <w:rFonts w:hint="eastAsia"/>
                              <w:szCs w:val="21"/>
                              <w:lang w:val="en-US" w:eastAsia="zh-CN"/>
                            </w:rPr>
                            <w:t>水磨抛光（抛光机）</w:t>
                          </w:r>
                        </w:p>
                      </w:txbxContent>
                    </v:textbox>
                  </v:shape>
                  <v:rect id="_x0000_s2328" o:spid="_x0000_s2328" o:spt="1" style="position:absolute;left:8365;top:403322;height:480;width:1759;" filled="f" stroked="f" coordsize="21600,21600">
                    <v:path/>
                    <v:fill on="f" focussize="0,0"/>
                    <v:stroke on="f"/>
                    <v:imagedata o:title=""/>
                    <o:lock v:ext="edit" aspectratio="f"/>
                    <v:textbox>
                      <w:txbxContent>
                        <w:p w14:paraId="470D7520">
                          <w:pPr>
                            <w:jc w:val="center"/>
                            <w:rPr>
                              <w:rFonts w:hint="default" w:hAnsi="楷体"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r>
                            <w:rPr>
                              <w:rFonts w:hint="eastAsia" w:hAnsi="楷体" w:eastAsia="楷体"/>
                              <w:lang w:val="en-US" w:eastAsia="zh-CN"/>
                            </w:rPr>
                            <w:t>N噪声</w:t>
                          </w:r>
                        </w:p>
                        <w:p w14:paraId="576A4E76">
                          <w:pPr>
                            <w:jc w:val="center"/>
                            <w:rPr>
                              <w:rFonts w:hint="eastAsia" w:hAnsi="楷体" w:eastAsia="楷体"/>
                            </w:rPr>
                          </w:pPr>
                        </w:p>
                      </w:txbxContent>
                    </v:textbox>
                  </v:rect>
                  <v:shape id="_x0000_s2326" o:spid="_x0000_s2326" o:spt="32" type="#_x0000_t32" style="position:absolute;left:9207;top:403100;flip:x;height:337;width:3;" filled="f" stroked="t" coordsize="21600,21600">
                    <v:path arrowok="t"/>
                    <v:fill on="f" focussize="0,0"/>
                    <v:stroke color="#000000" dashstyle="dash" endarrow="block"/>
                    <v:imagedata o:title=""/>
                    <o:lock v:ext="edit" aspectratio="f"/>
                  </v:shape>
                  <v:shape id="_x0000_s2321" o:spid="_x0000_s2321" o:spt="109" type="#_x0000_t109" style="position:absolute;left:5162;top:402613;height:436;width:2195;" fillcolor="#FFFFFF" filled="t" stroked="t" coordsize="21600,21600">
                    <v:path/>
                    <v:fill on="t" color2="#FFFFFF" opacity="0f" focussize="0,0"/>
                    <v:stroke color="#000000" joinstyle="miter"/>
                    <v:imagedata o:title=""/>
                    <o:lock v:ext="edit" aspectratio="f"/>
                    <v:textbox>
                      <w:txbxContent>
                        <w:p w14:paraId="5E076A15">
                          <w:pPr>
                            <w:jc w:val="center"/>
                            <w:rPr>
                              <w:rFonts w:hint="default" w:eastAsia="宋体"/>
                              <w:szCs w:val="21"/>
                              <w:lang w:val="en-US" w:eastAsia="zh-CN"/>
                            </w:rPr>
                          </w:pPr>
                          <w:r>
                            <w:rPr>
                              <w:rFonts w:hint="eastAsia"/>
                              <w:szCs w:val="21"/>
                              <w:lang w:val="en-US" w:eastAsia="zh-CN"/>
                            </w:rPr>
                            <w:t>手工精修打磨</w:t>
                          </w:r>
                        </w:p>
                      </w:txbxContent>
                    </v:textbox>
                  </v:shape>
                  <v:shape id="_x0000_s2322" o:spid="_x0000_s2322" o:spt="32" type="#_x0000_t32" style="position:absolute;left:7390;top:402826;height:0;width:567;" filled="f" stroked="t" coordsize="21600,21600">
                    <v:path arrowok="t"/>
                    <v:fill on="f" focussize="0,0"/>
                    <v:stroke color="#000000" startarrow="block"/>
                    <v:imagedata o:title=""/>
                    <o:lock v:ext="edit" aspectratio="f"/>
                  </v:shape>
                  <v:rect id="_x0000_s2327" o:spid="_x0000_s2327" o:spt="1" style="position:absolute;left:5377;top:403322;height:480;width:1759;" filled="f" stroked="f" coordsize="21600,21600">
                    <v:path/>
                    <v:fill on="f" focussize="0,0"/>
                    <v:stroke on="f"/>
                    <v:imagedata o:title=""/>
                    <o:lock v:ext="edit" aspectratio="f"/>
                    <v:textbox>
                      <w:txbxContent>
                        <w:p w14:paraId="5331F571">
                          <w:pPr>
                            <w:jc w:val="center"/>
                            <w:rPr>
                              <w:rFonts w:hint="default" w:hAnsi="楷体" w:eastAsia="楷体"/>
                              <w:lang w:val="en-US" w:eastAsia="zh-CN"/>
                            </w:rPr>
                          </w:pPr>
                          <w:r>
                            <w:rPr>
                              <w:rFonts w:hint="eastAsia" w:hAnsi="楷体" w:eastAsia="楷体"/>
                              <w:lang w:val="en-US" w:eastAsia="zh-CN"/>
                            </w:rPr>
                            <w:t>G</w:t>
                          </w:r>
                          <w:r>
                            <w:rPr>
                              <w:rFonts w:hint="eastAsia" w:hAnsi="楷体" w:eastAsia="楷体"/>
                              <w:vertAlign w:val="subscript"/>
                            </w:rPr>
                            <w:t>1</w:t>
                          </w:r>
                          <w:r>
                            <w:rPr>
                              <w:rFonts w:hint="eastAsia" w:hAnsi="楷体" w:eastAsia="楷体"/>
                            </w:rPr>
                            <w:t>粉尘</w:t>
                          </w:r>
                        </w:p>
                        <w:p w14:paraId="2B7D1045">
                          <w:pPr>
                            <w:jc w:val="center"/>
                            <w:rPr>
                              <w:rFonts w:hint="eastAsia" w:hAnsi="楷体" w:eastAsia="楷体"/>
                            </w:rPr>
                          </w:pPr>
                        </w:p>
                      </w:txbxContent>
                    </v:textbox>
                  </v:rect>
                  <v:shape id="_x0000_s2325" o:spid="_x0000_s2325" o:spt="32" type="#_x0000_t32" style="position:absolute;left:6219;top:403100;flip:x;height:337;width:3;" filled="f" stroked="t" coordsize="21600,21600">
                    <v:path arrowok="t"/>
                    <v:fill on="f" focussize="0,0"/>
                    <v:stroke color="#000000" dashstyle="dash" endarrow="block"/>
                    <v:imagedata o:title=""/>
                    <o:lock v:ext="edit" aspectratio="f"/>
                  </v:shape>
                  <v:shape id="_x0000_s2319" o:spid="_x0000_s2319" o:spt="109" type="#_x0000_t109" style="position:absolute;left:3047;top:402627;height:436;width:1497;" fillcolor="#FFFFFF" filled="t" stroked="t" coordsize="21600,21600">
                    <v:path/>
                    <v:fill on="t" color2="#FFFFFF" opacity="0f" focussize="0,0"/>
                    <v:stroke color="#000000" joinstyle="miter"/>
                    <v:imagedata o:title=""/>
                    <o:lock v:ext="edit" aspectratio="f"/>
                    <v:textbox>
                      <w:txbxContent>
                        <w:p w14:paraId="720EE0B7">
                          <w:pPr>
                            <w:jc w:val="center"/>
                            <w:rPr>
                              <w:rFonts w:hint="default" w:eastAsia="宋体"/>
                              <w:szCs w:val="21"/>
                              <w:lang w:val="en-US" w:eastAsia="zh-CN"/>
                            </w:rPr>
                          </w:pPr>
                          <w:r>
                            <w:rPr>
                              <w:rFonts w:hint="eastAsia"/>
                              <w:szCs w:val="21"/>
                              <w:lang w:val="en-US" w:eastAsia="zh-CN"/>
                            </w:rPr>
                            <w:t>做旧处理</w:t>
                          </w:r>
                        </w:p>
                      </w:txbxContent>
                    </v:textbox>
                  </v:shape>
                  <v:shape id="_x0000_s2320" o:spid="_x0000_s2320" o:spt="32" type="#_x0000_t32" style="position:absolute;left:4577;top:402864;height:0;width:567;" filled="f" stroked="t" coordsize="21600,21600">
                    <v:path arrowok="t"/>
                    <v:fill on="f" focussize="0,0"/>
                    <v:stroke color="#000000" startarrow="block"/>
                    <v:imagedata o:title=""/>
                    <o:lock v:ext="edit" aspectratio="f"/>
                  </v:shape>
                  <v:shape id="_x0000_s2324" o:spid="_x0000_s2324" o:spt="32" type="#_x0000_t32" style="position:absolute;left:3857;top:403101;height:567;width:0;" filled="f" stroked="t" coordsize="21600,21600">
                    <v:path arrowok="t"/>
                    <v:fill on="f" focussize="0,0"/>
                    <v:stroke color="#000000" endarrow="block"/>
                    <v:imagedata o:title=""/>
                    <o:lock v:ext="edit" aspectratio="f"/>
                  </v:shape>
                  <v:shape id="_x0000_s2332" o:spid="_x0000_s2332" o:spt="32" type="#_x0000_t32" style="position:absolute;left:4410;top:403877;height:9;width:435;" filled="f" stroked="t" coordsize="21600,21600">
                    <v:path arrowok="t"/>
                    <v:fill on="f" focussize="0,0"/>
                    <v:stroke color="#000000" endarrow="block"/>
                    <v:imagedata o:title=""/>
                    <o:lock v:ext="edit" aspectratio="f"/>
                  </v:shape>
                  <v:shape id="_x0000_s2330" o:spid="_x0000_s2330" o:spt="109" type="#_x0000_t109" style="position:absolute;left:4845;top:403668;height:436;width:2008;" fillcolor="#FFFFFF" filled="t" stroked="t" coordsize="21600,21600">
                    <v:path/>
                    <v:fill on="t" color2="#FFFFFF" opacity="0f" focussize="0,0"/>
                    <v:stroke color="#000000" joinstyle="miter"/>
                    <v:imagedata o:title=""/>
                    <o:lock v:ext="edit" aspectratio="f"/>
                    <v:textbox>
                      <w:txbxContent>
                        <w:p w14:paraId="5982DCEA">
                          <w:pPr>
                            <w:jc w:val="center"/>
                            <w:rPr>
                              <w:rFonts w:hint="default" w:eastAsia="宋体"/>
                              <w:szCs w:val="21"/>
                              <w:lang w:val="en-US" w:eastAsia="zh-CN"/>
                            </w:rPr>
                          </w:pPr>
                          <w:r>
                            <w:rPr>
                              <w:rFonts w:hint="eastAsia"/>
                              <w:szCs w:val="21"/>
                              <w:lang w:val="en-US" w:eastAsia="zh-CN"/>
                            </w:rPr>
                            <w:t>仓库包装待售</w:t>
                          </w:r>
                        </w:p>
                        <w:p w14:paraId="42E00FCC">
                          <w:pPr>
                            <w:rPr>
                              <w:rFonts w:hint="default"/>
                              <w:lang w:val="en-US" w:eastAsia="zh-CN"/>
                            </w:rPr>
                          </w:pPr>
                        </w:p>
                      </w:txbxContent>
                    </v:textbox>
                  </v:shape>
                  <v:shape id="_x0000_s2308" o:spid="_x0000_s2308" o:spt="32" type="#_x0000_t32" style="position:absolute;left:5345;top:401212;flip:y;height:417;width:3;" filled="f" stroked="t" coordsize="21600,21600">
                    <v:path arrowok="t"/>
                    <v:fill on="f" focussize="0,0"/>
                    <v:stroke color="#000000" dashstyle="dash" endarrow="block"/>
                    <v:imagedata o:title=""/>
                    <o:lock v:ext="edit" aspectratio="f"/>
                  </v:shape>
                  <v:rect id="_x0000_s2306" o:spid="_x0000_s2306" o:spt="1" style="position:absolute;left:4539;top:400877;height:468;width:1691;" filled="f" stroked="f" coordsize="21600,21600">
                    <v:path/>
                    <v:fill on="f" focussize="0,0"/>
                    <v:stroke on="f"/>
                    <v:imagedata o:title=""/>
                    <o:lock v:ext="edit" aspectratio="f"/>
                    <v:textbox>
                      <w:txbxContent>
                        <w:p w14:paraId="4C471328">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374ABB30">
                          <w:pPr>
                            <w:jc w:val="center"/>
                            <w:rPr>
                              <w:rFonts w:eastAsia="楷体"/>
                            </w:rPr>
                          </w:pPr>
                        </w:p>
                      </w:txbxContent>
                    </v:textbox>
                  </v:rect>
                  <v:shape id="_x0000_s2339" o:spid="_x0000_s2339" o:spt="109" type="#_x0000_t109" style="position:absolute;left:3252;top:403665;height:436;width:1128;" fillcolor="#FFFFFF" filled="t" stroked="t" coordsize="21600,21600">
                    <v:path/>
                    <v:fill on="t" color2="#FFFFFF" opacity="0f" focussize="0,0"/>
                    <v:stroke color="#000000" joinstyle="miter"/>
                    <v:imagedata o:title=""/>
                    <o:lock v:ext="edit" aspectratio="f"/>
                    <v:textbox>
                      <w:txbxContent>
                        <w:p w14:paraId="4C356B97">
                          <w:pPr>
                            <w:jc w:val="center"/>
                            <w:rPr>
                              <w:rFonts w:hint="default" w:eastAsia="宋体"/>
                              <w:szCs w:val="21"/>
                              <w:lang w:val="en-US" w:eastAsia="zh-CN"/>
                            </w:rPr>
                          </w:pPr>
                          <w:r>
                            <w:rPr>
                              <w:rFonts w:hint="eastAsia"/>
                              <w:szCs w:val="21"/>
                              <w:lang w:val="en-US" w:eastAsia="zh-CN"/>
                            </w:rPr>
                            <w:t>检验</w:t>
                          </w:r>
                        </w:p>
                      </w:txbxContent>
                    </v:textbox>
                  </v:shape>
                </v:group>
              </w:pict>
            </w:r>
          </w:p>
          <w:p w14:paraId="3A448F05">
            <w:pPr>
              <w:spacing w:line="360" w:lineRule="auto"/>
              <w:jc w:val="center"/>
              <w:rPr>
                <w:rFonts w:hAnsi="宋体"/>
                <w:b/>
                <w:bCs/>
                <w:color w:val="auto"/>
                <w:sz w:val="18"/>
                <w:szCs w:val="18"/>
              </w:rPr>
            </w:pPr>
          </w:p>
          <w:p w14:paraId="7CD0531A">
            <w:pPr>
              <w:spacing w:line="360" w:lineRule="auto"/>
              <w:jc w:val="center"/>
              <w:rPr>
                <w:rFonts w:hAnsi="宋体"/>
                <w:b/>
                <w:bCs/>
                <w:color w:val="auto"/>
                <w:sz w:val="18"/>
                <w:szCs w:val="18"/>
              </w:rPr>
            </w:pPr>
          </w:p>
          <w:p w14:paraId="63D8E55E">
            <w:pPr>
              <w:spacing w:line="360" w:lineRule="auto"/>
              <w:jc w:val="center"/>
              <w:rPr>
                <w:rFonts w:hAnsi="宋体"/>
                <w:b/>
                <w:bCs/>
                <w:color w:val="auto"/>
                <w:sz w:val="18"/>
                <w:szCs w:val="18"/>
              </w:rPr>
            </w:pPr>
          </w:p>
          <w:p w14:paraId="2711A694">
            <w:pPr>
              <w:spacing w:line="360" w:lineRule="auto"/>
              <w:jc w:val="center"/>
              <w:rPr>
                <w:rFonts w:hAnsi="宋体"/>
                <w:b/>
                <w:bCs/>
                <w:color w:val="auto"/>
                <w:sz w:val="18"/>
                <w:szCs w:val="18"/>
              </w:rPr>
            </w:pPr>
          </w:p>
          <w:p w14:paraId="253258F6">
            <w:pPr>
              <w:spacing w:line="360" w:lineRule="auto"/>
              <w:jc w:val="center"/>
              <w:rPr>
                <w:rFonts w:hAnsi="宋体"/>
                <w:b/>
                <w:bCs/>
                <w:color w:val="auto"/>
                <w:sz w:val="18"/>
                <w:szCs w:val="18"/>
              </w:rPr>
            </w:pPr>
          </w:p>
          <w:p w14:paraId="74A3457D">
            <w:pPr>
              <w:spacing w:line="360" w:lineRule="auto"/>
              <w:jc w:val="center"/>
              <w:rPr>
                <w:rFonts w:hAnsi="宋体"/>
                <w:b/>
                <w:bCs/>
                <w:color w:val="auto"/>
                <w:sz w:val="18"/>
                <w:szCs w:val="18"/>
              </w:rPr>
            </w:pPr>
          </w:p>
          <w:p w14:paraId="63C9F9ED">
            <w:pPr>
              <w:spacing w:line="360" w:lineRule="auto"/>
              <w:jc w:val="center"/>
              <w:rPr>
                <w:rFonts w:hAnsi="宋体"/>
                <w:b/>
                <w:bCs/>
                <w:color w:val="auto"/>
                <w:sz w:val="18"/>
                <w:szCs w:val="18"/>
              </w:rPr>
            </w:pPr>
          </w:p>
          <w:p w14:paraId="798DC74D">
            <w:pPr>
              <w:spacing w:line="360" w:lineRule="auto"/>
              <w:jc w:val="center"/>
              <w:rPr>
                <w:rFonts w:hAnsi="宋体"/>
                <w:b/>
                <w:bCs/>
                <w:color w:val="auto"/>
                <w:sz w:val="18"/>
                <w:szCs w:val="18"/>
              </w:rPr>
            </w:pPr>
          </w:p>
          <w:p w14:paraId="32A1643E">
            <w:pPr>
              <w:spacing w:line="360" w:lineRule="auto"/>
              <w:jc w:val="center"/>
              <w:rPr>
                <w:rFonts w:hAnsi="宋体"/>
                <w:b/>
                <w:bCs/>
                <w:color w:val="auto"/>
                <w:sz w:val="18"/>
                <w:szCs w:val="18"/>
              </w:rPr>
            </w:pPr>
          </w:p>
          <w:p w14:paraId="69837BE7">
            <w:pPr>
              <w:spacing w:line="360" w:lineRule="auto"/>
              <w:jc w:val="center"/>
              <w:rPr>
                <w:rFonts w:hAnsi="宋体"/>
                <w:b/>
                <w:bCs/>
                <w:color w:val="auto"/>
                <w:sz w:val="18"/>
                <w:szCs w:val="18"/>
              </w:rPr>
            </w:pPr>
          </w:p>
          <w:p w14:paraId="6826EFCF">
            <w:pPr>
              <w:spacing w:line="360" w:lineRule="auto"/>
              <w:jc w:val="center"/>
              <w:rPr>
                <w:rFonts w:hAnsi="宋体"/>
                <w:b/>
                <w:bCs/>
                <w:color w:val="auto"/>
                <w:sz w:val="18"/>
                <w:szCs w:val="18"/>
              </w:rPr>
            </w:pPr>
            <w:r>
              <w:rPr>
                <w:rFonts w:hAnsi="宋体"/>
                <w:b/>
                <w:bCs/>
                <w:color w:val="auto"/>
                <w:sz w:val="18"/>
                <w:szCs w:val="18"/>
              </w:rPr>
              <w:t>图</w:t>
            </w:r>
            <w:r>
              <w:rPr>
                <w:rFonts w:hint="eastAsia"/>
                <w:b/>
                <w:bCs/>
                <w:color w:val="auto"/>
                <w:sz w:val="18"/>
                <w:szCs w:val="18"/>
              </w:rPr>
              <w:t>2</w:t>
            </w:r>
            <w:r>
              <w:rPr>
                <w:b/>
                <w:bCs/>
                <w:color w:val="auto"/>
                <w:sz w:val="18"/>
                <w:szCs w:val="18"/>
              </w:rPr>
              <w:t>-</w:t>
            </w:r>
            <w:r>
              <w:rPr>
                <w:rFonts w:hint="eastAsia"/>
                <w:b/>
                <w:bCs/>
                <w:color w:val="auto"/>
                <w:sz w:val="18"/>
                <w:szCs w:val="18"/>
                <w:lang w:val="en-US" w:eastAsia="zh-CN"/>
              </w:rPr>
              <w:t>5</w:t>
            </w:r>
            <w:r>
              <w:rPr>
                <w:b/>
                <w:bCs/>
                <w:color w:val="auto"/>
                <w:sz w:val="18"/>
                <w:szCs w:val="18"/>
              </w:rPr>
              <w:t xml:space="preserve">    </w:t>
            </w:r>
            <w:r>
              <w:rPr>
                <w:rFonts w:hAnsi="宋体"/>
                <w:b/>
                <w:bCs/>
                <w:color w:val="auto"/>
                <w:sz w:val="18"/>
                <w:szCs w:val="18"/>
              </w:rPr>
              <w:t>运营期</w:t>
            </w:r>
            <w:r>
              <w:rPr>
                <w:rFonts w:hint="eastAsia" w:hAnsi="宋体"/>
                <w:b/>
                <w:bCs/>
                <w:color w:val="auto"/>
                <w:sz w:val="18"/>
                <w:szCs w:val="18"/>
                <w:lang w:val="en-US" w:eastAsia="zh-CN"/>
              </w:rPr>
              <w:t>石雕加工（二车间）</w:t>
            </w:r>
            <w:r>
              <w:rPr>
                <w:rFonts w:hAnsi="宋体"/>
                <w:b/>
                <w:bCs/>
                <w:color w:val="auto"/>
                <w:sz w:val="18"/>
                <w:szCs w:val="18"/>
              </w:rPr>
              <w:t>工艺流程及排污节点图</w:t>
            </w:r>
          </w:p>
          <w:p w14:paraId="51199397">
            <w:pPr>
              <w:spacing w:line="360" w:lineRule="auto"/>
              <w:jc w:val="center"/>
              <w:rPr>
                <w:rFonts w:hAnsi="宋体"/>
                <w:b/>
                <w:bCs/>
                <w:color w:val="auto"/>
                <w:sz w:val="18"/>
                <w:szCs w:val="18"/>
              </w:rPr>
            </w:pPr>
            <w:r>
              <w:rPr>
                <w:sz w:val="21"/>
              </w:rPr>
              <w:pict>
                <v:group id="_x0000_s2378" o:spid="_x0000_s2378" o:spt="203" style="position:absolute;left:0pt;margin-left:15.4pt;margin-top:0.75pt;height:213.2pt;width:366.25pt;z-index:251660288;mso-width-relative:page;mso-height-relative:page;" coordorigin="2997,404564" coordsize="7325,4264">
                  <o:lock v:ext="edit" aspectratio="f"/>
                  <v:shape id="_x0000_s2348" o:spid="_x0000_s2348" o:spt="109" type="#_x0000_t109" style="position:absolute;left:4662;top:405313;height:436;width:1203;" fillcolor="#FFFFFF" filled="t" stroked="t" coordsize="21600,21600">
                    <v:path/>
                    <v:fill on="t" color2="#FFFFFF" opacity="0f" focussize="0,0"/>
                    <v:stroke color="#000000" joinstyle="miter"/>
                    <v:imagedata o:title=""/>
                    <o:lock v:ext="edit" aspectratio="f"/>
                    <v:textbox>
                      <w:txbxContent>
                        <w:p w14:paraId="28C06308">
                          <w:pPr>
                            <w:jc w:val="center"/>
                            <w:rPr>
                              <w:rFonts w:hint="default" w:eastAsia="宋体"/>
                              <w:szCs w:val="21"/>
                              <w:lang w:val="en-US" w:eastAsia="zh-CN"/>
                            </w:rPr>
                          </w:pPr>
                          <w:r>
                            <w:rPr>
                              <w:rFonts w:hint="eastAsia"/>
                              <w:szCs w:val="21"/>
                              <w:lang w:val="en-US" w:eastAsia="zh-CN"/>
                            </w:rPr>
                            <w:t>切割</w:t>
                          </w:r>
                        </w:p>
                      </w:txbxContent>
                    </v:textbox>
                  </v:shape>
                  <v:shape id="_x0000_s2352" o:spid="_x0000_s2352" o:spt="32" type="#_x0000_t32" style="position:absolute;left:4095;top:405551;height:0;width:567;" filled="f" stroked="t" coordsize="21600,21600">
                    <v:path arrowok="t"/>
                    <v:fill on="f" focussize="0,0"/>
                    <v:stroke color="#000000" endarrow="block"/>
                    <v:imagedata o:title=""/>
                    <o:lock v:ext="edit" aspectratio="f"/>
                  </v:shape>
                  <v:rect id="_x0000_s2342" o:spid="_x0000_s2342" o:spt="1" style="position:absolute;left:8241;top:404576;height:468;width:1945;" filled="f" stroked="f" coordsize="21600,21600">
                    <v:path/>
                    <v:fill on="f" focussize="0,0"/>
                    <v:stroke on="f"/>
                    <v:imagedata o:title=""/>
                    <o:lock v:ext="edit" aspectratio="f"/>
                    <v:textbox>
                      <w:txbxContent>
                        <w:p w14:paraId="32C12937">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txbxContent>
                    </v:textbox>
                  </v:rect>
                  <v:shape id="_x0000_s2347" o:spid="_x0000_s2347" o:spt="109" type="#_x0000_t109" style="position:absolute;left:6542;top:405312;height:436;width:1278;" fillcolor="#FFFFFF" filled="t" stroked="t" coordsize="21600,21600">
                    <v:path/>
                    <v:fill on="t" color2="#FFFFFF" opacity="0f" focussize="0,0"/>
                    <v:stroke color="#000000" joinstyle="miter"/>
                    <v:imagedata o:title=""/>
                    <o:lock v:ext="edit" aspectratio="f"/>
                    <v:textbox>
                      <w:txbxContent>
                        <w:p w14:paraId="03FE045F">
                          <w:pPr>
                            <w:jc w:val="center"/>
                            <w:rPr>
                              <w:rFonts w:hint="default" w:eastAsia="宋体"/>
                              <w:szCs w:val="21"/>
                              <w:lang w:val="en-US" w:eastAsia="zh-CN"/>
                            </w:rPr>
                          </w:pPr>
                          <w:r>
                            <w:rPr>
                              <w:rFonts w:hint="eastAsia"/>
                              <w:szCs w:val="21"/>
                              <w:lang w:val="en-US" w:eastAsia="zh-CN"/>
                            </w:rPr>
                            <w:t>人工粗雕</w:t>
                          </w:r>
                        </w:p>
                      </w:txbxContent>
                    </v:textbox>
                  </v:shape>
                  <v:shape id="_x0000_s2351" o:spid="_x0000_s2351" o:spt="32" type="#_x0000_t32" style="position:absolute;left:5925;top:405526;height:0;width:567;" filled="f" stroked="t" coordsize="21600,21600">
                    <v:path arrowok="t"/>
                    <v:fill on="f" focussize="0,0"/>
                    <v:stroke color="#000000" endarrow="block"/>
                    <v:imagedata o:title=""/>
                    <o:lock v:ext="edit" aspectratio="f"/>
                  </v:shape>
                  <v:shape id="_x0000_s2349" o:spid="_x0000_s2349" o:spt="109" type="#_x0000_t109" style="position:absolute;left:8409;top:405311;height:436;width:1624;" fillcolor="#FFFFFF" filled="t" stroked="t" coordsize="21600,21600">
                    <v:path/>
                    <v:fill on="t" color2="#FFFFFF" opacity="0f" focussize="0,0"/>
                    <v:stroke color="#000000" joinstyle="miter"/>
                    <v:imagedata o:title=""/>
                    <o:lock v:ext="edit" aspectratio="f"/>
                    <v:textbox>
                      <w:txbxContent>
                        <w:p w14:paraId="2F882ADE">
                          <w:pPr>
                            <w:jc w:val="center"/>
                            <w:rPr>
                              <w:rFonts w:hint="default" w:eastAsia="宋体"/>
                              <w:szCs w:val="21"/>
                              <w:lang w:val="en-US" w:eastAsia="zh-CN"/>
                            </w:rPr>
                          </w:pPr>
                          <w:r>
                            <w:rPr>
                              <w:rFonts w:hint="eastAsia"/>
                              <w:szCs w:val="21"/>
                              <w:lang w:val="en-US" w:eastAsia="zh-CN"/>
                            </w:rPr>
                            <w:t>数控精雕</w:t>
                          </w:r>
                        </w:p>
                      </w:txbxContent>
                    </v:textbox>
                  </v:shape>
                  <v:shape id="_x0000_s2350" o:spid="_x0000_s2350" o:spt="32" type="#_x0000_t32" style="position:absolute;left:7841;top:405549;height:0;width:567;" filled="f" stroked="t" coordsize="21600,21600">
                    <v:path arrowok="t"/>
                    <v:fill on="f" focussize="0,0"/>
                    <v:stroke color="#000000" endarrow="block"/>
                    <v:imagedata o:title=""/>
                    <o:lock v:ext="edit" aspectratio="f"/>
                  </v:shape>
                  <v:shape id="_x0000_s2344" o:spid="_x0000_s2344" o:spt="32" type="#_x0000_t32" style="position:absolute;left:9158;top:404886;flip:y;height:417;width:3;" filled="f" stroked="t" coordsize="21600,21600">
                    <v:path arrowok="t"/>
                    <v:fill on="f" focussize="0,0"/>
                    <v:stroke color="#000000" dashstyle="dash" endarrow="block"/>
                    <v:imagedata o:title=""/>
                    <o:lock v:ext="edit" aspectratio="f"/>
                  </v:shape>
                  <v:rect id="_x0000_s2340" o:spid="_x0000_s2340" o:spt="1" style="position:absolute;left:6425;top:404564;height:468;width:1645;" filled="f" stroked="f" coordsize="21600,21600">
                    <v:path/>
                    <v:fill on="f" focussize="0,0"/>
                    <v:stroke on="f"/>
                    <v:imagedata o:title=""/>
                    <o:lock v:ext="edit" aspectratio="f"/>
                    <v:textbox>
                      <w:txbxContent>
                        <w:p w14:paraId="30766C10">
                          <w:pPr>
                            <w:jc w:val="center"/>
                            <w:rPr>
                              <w:rFonts w:hint="eastAsia"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p>
                        <w:p w14:paraId="1A44CEB6">
                          <w:pPr>
                            <w:jc w:val="center"/>
                            <w:rPr>
                              <w:rFonts w:eastAsia="楷体"/>
                            </w:rPr>
                          </w:pPr>
                        </w:p>
                      </w:txbxContent>
                    </v:textbox>
                  </v:rect>
                  <v:shape id="_x0000_s2345" o:spid="_x0000_s2345" o:spt="32" type="#_x0000_t32" style="position:absolute;left:7220;top:404887;flip:y;height:417;width:3;" filled="f" stroked="t" coordsize="21600,21600">
                    <v:path arrowok="t"/>
                    <v:fill on="f" focussize="0,0"/>
                    <v:stroke color="#000000" dashstyle="dash" endarrow="block"/>
                    <v:imagedata o:title=""/>
                    <o:lock v:ext="edit" aspectratio="f"/>
                  </v:shape>
                  <v:shape id="_x0000_s2353" o:spid="_x0000_s2353" o:spt="32" type="#_x0000_t32" style="position:absolute;left:9147;top:405772;height:567;width:0;" filled="f" stroked="t" coordsize="21600,21600">
                    <v:path arrowok="t"/>
                    <v:fill on="f" focussize="0,0"/>
                    <v:stroke color="#000000" endarrow="block"/>
                    <v:imagedata o:title=""/>
                    <o:lock v:ext="edit" aspectratio="f"/>
                  </v:shape>
                  <v:shape id="_x0000_s2356" o:spid="_x0000_s2356" o:spt="109" type="#_x0000_t109" style="position:absolute;left:7962;top:406314;height:436;width:2360;" fillcolor="#FFFFFF" filled="t" stroked="t" coordsize="21600,21600">
                    <v:path/>
                    <v:fill on="t" color2="#FFFFFF" opacity="0f" focussize="0,0"/>
                    <v:stroke color="#000000" joinstyle="miter"/>
                    <v:imagedata o:title=""/>
                    <o:lock v:ext="edit" aspectratio="f"/>
                    <v:textbox>
                      <w:txbxContent>
                        <w:p w14:paraId="63B33B5A">
                          <w:pPr>
                            <w:jc w:val="center"/>
                            <w:rPr>
                              <w:rFonts w:hint="default" w:eastAsia="宋体"/>
                              <w:szCs w:val="21"/>
                              <w:lang w:val="en-US" w:eastAsia="zh-CN"/>
                            </w:rPr>
                          </w:pPr>
                          <w:r>
                            <w:rPr>
                              <w:rFonts w:hint="eastAsia"/>
                              <w:szCs w:val="21"/>
                              <w:lang w:val="en-US" w:eastAsia="zh-CN"/>
                            </w:rPr>
                            <w:t>手工细修</w:t>
                          </w:r>
                        </w:p>
                      </w:txbxContent>
                    </v:textbox>
                  </v:shape>
                  <v:rect id="_x0000_s2364" o:spid="_x0000_s2364" o:spt="1" style="position:absolute;left:8315;top:407034;height:480;width:1759;" filled="f" stroked="f" coordsize="21600,21600">
                    <v:path/>
                    <v:fill on="f" focussize="0,0"/>
                    <v:stroke on="f"/>
                    <v:imagedata o:title=""/>
                    <o:lock v:ext="edit" aspectratio="f"/>
                    <v:textbox>
                      <w:txbxContent>
                        <w:p w14:paraId="222039A0">
                          <w:pPr>
                            <w:jc w:val="center"/>
                            <w:rPr>
                              <w:rFonts w:hint="default" w:hAnsi="楷体" w:eastAsia="楷体"/>
                              <w:lang w:val="en-US" w:eastAsia="zh-CN"/>
                            </w:rPr>
                          </w:pPr>
                          <w:r>
                            <w:rPr>
                              <w:rFonts w:hint="eastAsia" w:hAnsi="楷体" w:eastAsia="楷体"/>
                            </w:rPr>
                            <w:t>G</w:t>
                          </w:r>
                          <w:r>
                            <w:rPr>
                              <w:rFonts w:hint="eastAsia" w:hAnsi="楷体" w:eastAsia="楷体"/>
                              <w:vertAlign w:val="subscript"/>
                            </w:rPr>
                            <w:t>1</w:t>
                          </w:r>
                          <w:r>
                            <w:rPr>
                              <w:rFonts w:hint="eastAsia" w:hAnsi="楷体" w:eastAsia="楷体"/>
                            </w:rPr>
                            <w:t>粉尘</w:t>
                          </w:r>
                          <w:r>
                            <w:rPr>
                              <w:rFonts w:hint="eastAsia" w:hAnsi="楷体" w:eastAsia="楷体"/>
                              <w:lang w:val="en-US" w:eastAsia="zh-CN"/>
                            </w:rPr>
                            <w:t>N噪声</w:t>
                          </w:r>
                        </w:p>
                        <w:p w14:paraId="17D6CAD2">
                          <w:pPr>
                            <w:jc w:val="center"/>
                            <w:rPr>
                              <w:rFonts w:hint="eastAsia" w:hAnsi="楷体" w:eastAsia="楷体"/>
                            </w:rPr>
                          </w:pPr>
                        </w:p>
                      </w:txbxContent>
                    </v:textbox>
                  </v:rect>
                  <v:shape id="_x0000_s2362" o:spid="_x0000_s2362" o:spt="32" type="#_x0000_t32" style="position:absolute;left:9157;top:406812;flip:x;height:337;width:3;" filled="f" stroked="t" coordsize="21600,21600">
                    <v:path arrowok="t"/>
                    <v:fill on="f" focussize="0,0"/>
                    <v:stroke color="#000000" dashstyle="dash" endarrow="block"/>
                    <v:imagedata o:title=""/>
                    <o:lock v:ext="edit" aspectratio="f"/>
                  </v:shape>
                  <v:shape id="_x0000_s2355" o:spid="_x0000_s2355" o:spt="109" type="#_x0000_t109" style="position:absolute;left:5112;top:406325;height:436;width:2195;" fillcolor="#FFFFFF" filled="t" stroked="t" coordsize="21600,21600">
                    <v:path/>
                    <v:fill on="t" color2="#FFFFFF" opacity="0f" focussize="0,0"/>
                    <v:stroke color="#000000" joinstyle="miter"/>
                    <v:imagedata o:title=""/>
                    <o:lock v:ext="edit" aspectratio="f"/>
                    <v:textbox>
                      <w:txbxContent>
                        <w:p w14:paraId="7D560697">
                          <w:pPr>
                            <w:jc w:val="center"/>
                            <w:rPr>
                              <w:rFonts w:hint="default" w:eastAsia="宋体"/>
                              <w:szCs w:val="21"/>
                              <w:lang w:val="en-US" w:eastAsia="zh-CN"/>
                            </w:rPr>
                          </w:pPr>
                          <w:r>
                            <w:rPr>
                              <w:rFonts w:hint="eastAsia"/>
                              <w:szCs w:val="21"/>
                              <w:lang w:val="en-US" w:eastAsia="zh-CN"/>
                            </w:rPr>
                            <w:t>打磨平整</w:t>
                          </w:r>
                        </w:p>
                      </w:txbxContent>
                    </v:textbox>
                  </v:shape>
                  <v:shape id="_x0000_s2357" o:spid="_x0000_s2357" o:spt="32" type="#_x0000_t32" style="position:absolute;left:7340;top:406538;height:0;width:567;" filled="f" stroked="t" coordsize="21600,21600">
                    <v:path arrowok="t"/>
                    <v:fill on="f" focussize="0,0"/>
                    <v:stroke color="#000000" startarrow="block"/>
                    <v:imagedata o:title=""/>
                    <o:lock v:ext="edit" aspectratio="f"/>
                  </v:shape>
                  <v:rect id="_x0000_s2363" o:spid="_x0000_s2363" o:spt="1" style="position:absolute;left:5327;top:407034;height:480;width:1759;" filled="f" stroked="f" coordsize="21600,21600">
                    <v:path/>
                    <v:fill on="f" focussize="0,0"/>
                    <v:stroke on="f"/>
                    <v:imagedata o:title=""/>
                    <o:lock v:ext="edit" aspectratio="f"/>
                    <v:textbox>
                      <w:txbxContent>
                        <w:p w14:paraId="3F0E8837">
                          <w:pPr>
                            <w:jc w:val="center"/>
                            <w:rPr>
                              <w:rFonts w:hint="default" w:hAnsi="楷体" w:eastAsia="楷体"/>
                              <w:lang w:val="en-US" w:eastAsia="zh-CN"/>
                            </w:rPr>
                          </w:pPr>
                          <w:r>
                            <w:rPr>
                              <w:rFonts w:hint="eastAsia" w:hAnsi="楷体" w:eastAsia="楷体"/>
                              <w:lang w:val="en-US" w:eastAsia="zh-CN"/>
                            </w:rPr>
                            <w:t>G</w:t>
                          </w:r>
                          <w:r>
                            <w:rPr>
                              <w:rFonts w:hint="eastAsia" w:hAnsi="楷体" w:eastAsia="楷体"/>
                              <w:vertAlign w:val="subscript"/>
                            </w:rPr>
                            <w:t>1</w:t>
                          </w:r>
                          <w:r>
                            <w:rPr>
                              <w:rFonts w:hint="eastAsia" w:hAnsi="楷体" w:eastAsia="楷体"/>
                            </w:rPr>
                            <w:t>粉尘</w:t>
                          </w:r>
                        </w:p>
                        <w:p w14:paraId="5C5012EE">
                          <w:pPr>
                            <w:jc w:val="center"/>
                            <w:rPr>
                              <w:rFonts w:hint="eastAsia" w:hAnsi="楷体" w:eastAsia="楷体"/>
                            </w:rPr>
                          </w:pPr>
                        </w:p>
                      </w:txbxContent>
                    </v:textbox>
                  </v:rect>
                  <v:shape id="_x0000_s2361" o:spid="_x0000_s2361" o:spt="32" type="#_x0000_t32" style="position:absolute;left:6169;top:406812;flip:x;height:337;width:3;" filled="f" stroked="t" coordsize="21600,21600">
                    <v:path arrowok="t"/>
                    <v:fill on="f" focussize="0,0"/>
                    <v:stroke color="#000000" dashstyle="dash" endarrow="block"/>
                    <v:imagedata o:title=""/>
                    <o:lock v:ext="edit" aspectratio="f"/>
                  </v:shape>
                  <v:shape id="_x0000_s2354" o:spid="_x0000_s2354" o:spt="109" type="#_x0000_t109" style="position:absolute;left:2997;top:406339;height:436;width:1497;" fillcolor="#FFFFFF" filled="t" stroked="t" coordsize="21600,21600">
                    <v:path/>
                    <v:fill on="t" color2="#FFFFFF" opacity="0f" focussize="0,0"/>
                    <v:stroke color="#000000" joinstyle="miter"/>
                    <v:imagedata o:title=""/>
                    <o:lock v:ext="edit" aspectratio="f"/>
                    <v:textbox>
                      <w:txbxContent>
                        <w:p w14:paraId="39A1F713">
                          <w:pPr>
                            <w:jc w:val="center"/>
                            <w:rPr>
                              <w:rFonts w:hint="default" w:eastAsia="宋体"/>
                              <w:szCs w:val="21"/>
                              <w:lang w:val="en-US" w:eastAsia="zh-CN"/>
                            </w:rPr>
                          </w:pPr>
                          <w:r>
                            <w:rPr>
                              <w:rFonts w:hint="eastAsia"/>
                              <w:szCs w:val="21"/>
                              <w:lang w:val="en-US" w:eastAsia="zh-CN"/>
                            </w:rPr>
                            <w:t>做旧处理</w:t>
                          </w:r>
                        </w:p>
                      </w:txbxContent>
                    </v:textbox>
                  </v:shape>
                  <v:shape id="_x0000_s2358" o:spid="_x0000_s2358" o:spt="32" type="#_x0000_t32" style="position:absolute;left:4527;top:406576;height:0;width:567;" filled="f" stroked="t" coordsize="21600,21600">
                    <v:path arrowok="t"/>
                    <v:fill on="f" focussize="0,0"/>
                    <v:stroke color="#000000" startarrow="block"/>
                    <v:imagedata o:title=""/>
                    <o:lock v:ext="edit" aspectratio="f"/>
                  </v:shape>
                  <v:shape id="_x0000_s2360" o:spid="_x0000_s2360" o:spt="32" type="#_x0000_t32" style="position:absolute;left:3807;top:406813;height:567;width:0;" filled="f" stroked="t" coordsize="21600,21600">
                    <v:path arrowok="t"/>
                    <v:fill on="f" focussize="0,0"/>
                    <v:stroke color="#000000" endarrow="block"/>
                    <v:imagedata o:title=""/>
                    <o:lock v:ext="edit" aspectratio="f"/>
                  </v:shape>
                  <v:shape id="_x0000_s2359" o:spid="_x0000_s2359" o:spt="32" type="#_x0000_t32" style="position:absolute;left:4360;top:407589;height:9;width:435;" filled="f" stroked="t" coordsize="21600,21600">
                    <v:path arrowok="t"/>
                    <v:fill on="f" focussize="0,0"/>
                    <v:stroke color="#000000" endarrow="block"/>
                    <v:imagedata o:title=""/>
                    <o:lock v:ext="edit" aspectratio="f"/>
                  </v:shape>
                  <v:shape id="_x0000_s2366" o:spid="_x0000_s2366" o:spt="109" type="#_x0000_t109" style="position:absolute;left:4795;top:407380;height:436;width:1559;" fillcolor="#FFFFFF" filled="t" stroked="t" coordsize="21600,21600">
                    <v:path/>
                    <v:fill on="t" color2="#FFFFFF" opacity="0f" focussize="0,0"/>
                    <v:stroke color="#000000" joinstyle="miter"/>
                    <v:imagedata o:title=""/>
                    <o:lock v:ext="edit" aspectratio="f"/>
                    <v:textbox>
                      <w:txbxContent>
                        <w:p w14:paraId="1CE60F9B">
                          <w:pPr>
                            <w:jc w:val="center"/>
                            <w:rPr>
                              <w:rFonts w:hint="default" w:eastAsia="宋体"/>
                              <w:szCs w:val="21"/>
                              <w:lang w:val="en-US" w:eastAsia="zh-CN"/>
                            </w:rPr>
                          </w:pPr>
                          <w:r>
                            <w:rPr>
                              <w:rFonts w:hint="eastAsia"/>
                              <w:szCs w:val="21"/>
                              <w:lang w:val="en-US" w:eastAsia="zh-CN"/>
                            </w:rPr>
                            <w:t>装窑烧制</w:t>
                          </w:r>
                        </w:p>
                        <w:p w14:paraId="5E52D7B7">
                          <w:pPr>
                            <w:rPr>
                              <w:rFonts w:hint="default"/>
                              <w:lang w:val="en-US" w:eastAsia="zh-CN"/>
                            </w:rPr>
                          </w:pPr>
                        </w:p>
                      </w:txbxContent>
                    </v:textbox>
                  </v:shape>
                  <v:shape id="_x0000_s2343" o:spid="_x0000_s2343" o:spt="32" type="#_x0000_t32" style="position:absolute;left:5295;top:404924;flip:y;height:417;width:3;" filled="f" stroked="t" coordsize="21600,21600">
                    <v:path arrowok="t"/>
                    <v:fill on="f" focussize="0,0"/>
                    <v:stroke color="#000000" dashstyle="dash" endarrow="block"/>
                    <v:imagedata o:title=""/>
                    <o:lock v:ext="edit" aspectratio="f"/>
                  </v:shape>
                  <v:rect id="_x0000_s2341" o:spid="_x0000_s2341" o:spt="1" style="position:absolute;left:4489;top:404589;height:468;width:1691;" filled="f" stroked="f" coordsize="21600,21600">
                    <v:path/>
                    <v:fill on="f" focussize="0,0"/>
                    <v:stroke on="f"/>
                    <v:imagedata o:title=""/>
                    <o:lock v:ext="edit" aspectratio="f"/>
                    <v:textbox>
                      <w:txbxContent>
                        <w:p w14:paraId="208F148D">
                          <w:pPr>
                            <w:jc w:val="center"/>
                            <w:rPr>
                              <w:rFonts w:hint="eastAsia" w:eastAsia="楷体"/>
                              <w:lang w:val="en-US" w:eastAsia="zh-CN"/>
                            </w:rPr>
                          </w:pPr>
                          <w:r>
                            <w:rPr>
                              <w:rFonts w:hint="eastAsia" w:hAnsi="楷体" w:eastAsia="楷体"/>
                              <w:lang w:val="en-US" w:eastAsia="zh-CN"/>
                            </w:rPr>
                            <w:t>N噪声</w:t>
                          </w:r>
                          <w:r>
                            <w:rPr>
                              <w:rFonts w:hint="eastAsia" w:hAnsi="楷体" w:eastAsia="楷体"/>
                            </w:rPr>
                            <w:t>G</w:t>
                          </w:r>
                          <w:r>
                            <w:rPr>
                              <w:rFonts w:hint="eastAsia" w:hAnsi="楷体" w:eastAsia="楷体"/>
                              <w:vertAlign w:val="subscript"/>
                            </w:rPr>
                            <w:t>1</w:t>
                          </w:r>
                          <w:r>
                            <w:rPr>
                              <w:rFonts w:hint="eastAsia" w:hAnsi="楷体" w:eastAsia="楷体"/>
                            </w:rPr>
                            <w:t>粉尘</w:t>
                          </w:r>
                        </w:p>
                        <w:p w14:paraId="66EF95B2">
                          <w:pPr>
                            <w:jc w:val="center"/>
                            <w:rPr>
                              <w:rFonts w:eastAsia="楷体"/>
                            </w:rPr>
                          </w:pPr>
                        </w:p>
                      </w:txbxContent>
                    </v:textbox>
                  </v:rect>
                  <v:shape id="_x0000_s2370" o:spid="_x0000_s2370" o:spt="32" type="#_x0000_t32" style="position:absolute;left:6385;top:407614;height:9;width:435;" filled="f" stroked="t" coordsize="21600,21600">
                    <v:path arrowok="t"/>
                    <v:fill on="f" focussize="0,0"/>
                    <v:stroke color="#000000" endarrow="block"/>
                    <v:imagedata o:title=""/>
                    <o:lock v:ext="edit" aspectratio="f"/>
                  </v:shape>
                  <v:shape id="_x0000_s2367" o:spid="_x0000_s2367" o:spt="109" type="#_x0000_t109" style="position:absolute;left:8530;top:408392;height:436;width:1585;" fillcolor="#FFFFFF" filled="t" stroked="t" coordsize="21600,21600">
                    <v:path/>
                    <v:fill on="t" color2="#FFFFFF" opacity="0f" focussize="0,0"/>
                    <v:stroke color="#000000" joinstyle="miter"/>
                    <v:imagedata o:title=""/>
                    <o:lock v:ext="edit" aspectratio="f"/>
                    <v:textbox>
                      <w:txbxContent>
                        <w:p w14:paraId="3AEA29B6">
                          <w:pPr>
                            <w:jc w:val="center"/>
                            <w:rPr>
                              <w:rFonts w:hint="default" w:eastAsia="宋体"/>
                              <w:szCs w:val="21"/>
                              <w:lang w:val="en-US" w:eastAsia="zh-CN"/>
                            </w:rPr>
                          </w:pPr>
                          <w:r>
                            <w:rPr>
                              <w:rFonts w:hint="eastAsia"/>
                              <w:szCs w:val="21"/>
                              <w:lang w:val="en-US" w:eastAsia="zh-CN"/>
                            </w:rPr>
                            <w:t>仓库包装待售</w:t>
                          </w:r>
                        </w:p>
                        <w:p w14:paraId="67ABE733">
                          <w:pPr>
                            <w:rPr>
                              <w:rFonts w:hint="default"/>
                              <w:lang w:val="en-US" w:eastAsia="zh-CN"/>
                            </w:rPr>
                          </w:pPr>
                        </w:p>
                      </w:txbxContent>
                    </v:textbox>
                  </v:shape>
                  <v:shape id="_x0000_s2369" o:spid="_x0000_s2369" o:spt="109" type="#_x0000_t109" style="position:absolute;left:6820;top:407405;height:436;width:1559;" fillcolor="#FFFFFF" filled="t" stroked="t" coordsize="21600,21600">
                    <v:path/>
                    <v:fill on="t" color2="#FFFFFF" opacity="0f" focussize="0,0"/>
                    <v:stroke color="#000000" joinstyle="miter"/>
                    <v:imagedata o:title=""/>
                    <o:lock v:ext="edit" aspectratio="f"/>
                    <v:textbox>
                      <w:txbxContent>
                        <w:p w14:paraId="49F76088">
                          <w:pPr>
                            <w:jc w:val="center"/>
                            <w:rPr>
                              <w:rFonts w:hint="default" w:eastAsia="宋体"/>
                              <w:szCs w:val="21"/>
                              <w:lang w:val="en-US" w:eastAsia="zh-CN"/>
                            </w:rPr>
                          </w:pPr>
                          <w:r>
                            <w:rPr>
                              <w:rFonts w:hint="eastAsia"/>
                              <w:szCs w:val="21"/>
                              <w:lang w:val="en-US" w:eastAsia="zh-CN"/>
                            </w:rPr>
                            <w:t>出窑冷却</w:t>
                          </w:r>
                        </w:p>
                        <w:p w14:paraId="5C6F92F2">
                          <w:pPr>
                            <w:rPr>
                              <w:rFonts w:hint="default"/>
                              <w:lang w:val="en-US" w:eastAsia="zh-CN"/>
                            </w:rPr>
                          </w:pPr>
                        </w:p>
                      </w:txbxContent>
                    </v:textbox>
                  </v:shape>
                  <v:shape id="_x0000_s2365" o:spid="_x0000_s2365" o:spt="109" type="#_x0000_t109" style="position:absolute;left:3202;top:407377;height:436;width:1128;" fillcolor="#FFFFFF" filled="t" stroked="t" coordsize="21600,21600">
                    <v:path/>
                    <v:fill on="t" color2="#FFFFFF" opacity="0f" focussize="0,0"/>
                    <v:stroke color="#000000" joinstyle="miter"/>
                    <v:imagedata o:title=""/>
                    <o:lock v:ext="edit" aspectratio="f"/>
                    <v:textbox>
                      <w:txbxContent>
                        <w:p w14:paraId="1AA2D07E">
                          <w:pPr>
                            <w:jc w:val="center"/>
                            <w:rPr>
                              <w:rFonts w:hint="default" w:eastAsia="宋体"/>
                              <w:szCs w:val="21"/>
                              <w:lang w:val="en-US" w:eastAsia="zh-CN"/>
                            </w:rPr>
                          </w:pPr>
                          <w:r>
                            <w:rPr>
                              <w:rFonts w:hint="eastAsia"/>
                              <w:szCs w:val="21"/>
                              <w:lang w:val="en-US" w:eastAsia="zh-CN"/>
                            </w:rPr>
                            <w:t>半成品</w:t>
                          </w:r>
                        </w:p>
                      </w:txbxContent>
                    </v:textbox>
                  </v:shape>
                  <v:shape id="_x0000_s2346" o:spid="_x0000_s2346" o:spt="109" type="#_x0000_t109" style="position:absolute;left:3229;top:405360;height:451;width:849;" fillcolor="#FFFFFF" filled="t" stroked="f" coordsize="21600,21600">
                    <v:path/>
                    <v:fill on="t" color2="#FFFFFF" opacity="0f" focussize="0,0"/>
                    <v:stroke on="f"/>
                    <v:imagedata o:title=""/>
                    <o:lock v:ext="edit" aspectratio="f"/>
                    <v:textbox>
                      <w:txbxContent>
                        <w:p w14:paraId="67D356DC">
                          <w:pPr>
                            <w:jc w:val="center"/>
                            <w:rPr>
                              <w:rFonts w:hint="default" w:eastAsia="宋体"/>
                              <w:szCs w:val="21"/>
                              <w:lang w:val="en-US" w:eastAsia="zh-CN"/>
                            </w:rPr>
                          </w:pPr>
                          <w:r>
                            <w:rPr>
                              <w:rFonts w:hint="eastAsia"/>
                              <w:szCs w:val="21"/>
                              <w:lang w:val="en-US" w:eastAsia="zh-CN"/>
                            </w:rPr>
                            <w:t>青砖</w:t>
                          </w:r>
                        </w:p>
                      </w:txbxContent>
                    </v:textbox>
                  </v:shape>
                  <v:shape id="_x0000_s2371" o:spid="_x0000_s2371" o:spt="32" type="#_x0000_t32" style="position:absolute;left:8385;top:407627;height:9;width:435;" filled="f" stroked="t" coordsize="21600,21600">
                    <v:path arrowok="t"/>
                    <v:fill on="f" focussize="0,0"/>
                    <v:stroke color="#000000" endarrow="block"/>
                    <v:imagedata o:title=""/>
                    <o:lock v:ext="edit" aspectratio="f"/>
                  </v:shape>
                  <v:shape id="_x0000_s2373" o:spid="_x0000_s2373" o:spt="32" type="#_x0000_t32" style="position:absolute;left:9382;top:407850;height:567;width:0;" filled="f" stroked="t" coordsize="21600,21600">
                    <v:path arrowok="t"/>
                    <v:fill on="f" focussize="0,0"/>
                    <v:stroke color="#000000" endarrow="block"/>
                    <v:imagedata o:title=""/>
                    <o:lock v:ext="edit" aspectratio="f"/>
                  </v:shape>
                  <v:shape id="_x0000_s2372" o:spid="_x0000_s2372" o:spt="109" type="#_x0000_t109" style="position:absolute;left:8852;top:407403;height:436;width:1128;" fillcolor="#FFFFFF" filled="t" stroked="t" coordsize="21600,21600">
                    <v:path/>
                    <v:fill on="t" color2="#FFFFFF" opacity="0f" focussize="0,0"/>
                    <v:stroke color="#000000" joinstyle="miter"/>
                    <v:imagedata o:title=""/>
                    <o:lock v:ext="edit" aspectratio="f"/>
                    <v:textbox>
                      <w:txbxContent>
                        <w:p w14:paraId="21B04B00">
                          <w:pPr>
                            <w:jc w:val="center"/>
                            <w:rPr>
                              <w:rFonts w:hint="default" w:eastAsia="宋体"/>
                              <w:szCs w:val="21"/>
                              <w:lang w:val="en-US" w:eastAsia="zh-CN"/>
                            </w:rPr>
                          </w:pPr>
                          <w:r>
                            <w:rPr>
                              <w:rFonts w:hint="eastAsia"/>
                              <w:szCs w:val="21"/>
                              <w:lang w:val="en-US" w:eastAsia="zh-CN"/>
                            </w:rPr>
                            <w:t>检验</w:t>
                          </w:r>
                        </w:p>
                      </w:txbxContent>
                    </v:textbox>
                  </v:shape>
                </v:group>
              </w:pict>
            </w:r>
          </w:p>
          <w:p w14:paraId="4BFEA12A">
            <w:pPr>
              <w:spacing w:line="360" w:lineRule="auto"/>
              <w:jc w:val="center"/>
              <w:rPr>
                <w:rFonts w:hAnsi="宋体"/>
                <w:b/>
                <w:bCs/>
                <w:color w:val="auto"/>
                <w:sz w:val="18"/>
                <w:szCs w:val="18"/>
              </w:rPr>
            </w:pPr>
          </w:p>
          <w:p w14:paraId="40C64F9A">
            <w:pPr>
              <w:spacing w:line="360" w:lineRule="auto"/>
              <w:jc w:val="center"/>
              <w:rPr>
                <w:rFonts w:hAnsi="宋体"/>
                <w:b/>
                <w:bCs/>
                <w:color w:val="auto"/>
                <w:sz w:val="18"/>
                <w:szCs w:val="18"/>
              </w:rPr>
            </w:pPr>
          </w:p>
          <w:p w14:paraId="67F56929">
            <w:pPr>
              <w:spacing w:line="360" w:lineRule="auto"/>
              <w:jc w:val="both"/>
              <w:rPr>
                <w:rFonts w:hAnsi="宋体"/>
                <w:b/>
                <w:bCs/>
                <w:color w:val="auto"/>
                <w:sz w:val="18"/>
                <w:szCs w:val="18"/>
              </w:rPr>
            </w:pPr>
          </w:p>
          <w:p w14:paraId="60FB9A27">
            <w:pPr>
              <w:spacing w:line="360" w:lineRule="auto"/>
              <w:jc w:val="center"/>
              <w:rPr>
                <w:rFonts w:hAnsi="宋体"/>
                <w:b/>
                <w:bCs/>
                <w:color w:val="auto"/>
                <w:sz w:val="18"/>
                <w:szCs w:val="18"/>
              </w:rPr>
            </w:pPr>
          </w:p>
          <w:p w14:paraId="73DAFA79">
            <w:pPr>
              <w:spacing w:line="360" w:lineRule="auto"/>
              <w:jc w:val="center"/>
              <w:rPr>
                <w:rFonts w:hAnsi="宋体"/>
                <w:b/>
                <w:bCs/>
                <w:color w:val="auto"/>
                <w:sz w:val="18"/>
                <w:szCs w:val="18"/>
              </w:rPr>
            </w:pPr>
          </w:p>
          <w:p w14:paraId="501BF62E">
            <w:pPr>
              <w:spacing w:line="360" w:lineRule="auto"/>
              <w:jc w:val="center"/>
              <w:rPr>
                <w:rFonts w:hAnsi="宋体"/>
                <w:b/>
                <w:bCs/>
                <w:color w:val="auto"/>
                <w:sz w:val="18"/>
                <w:szCs w:val="18"/>
              </w:rPr>
            </w:pPr>
          </w:p>
          <w:p w14:paraId="06A8BAF6">
            <w:pPr>
              <w:spacing w:line="360" w:lineRule="auto"/>
              <w:jc w:val="center"/>
              <w:rPr>
                <w:rFonts w:hAnsi="宋体"/>
                <w:b/>
                <w:bCs/>
                <w:color w:val="auto"/>
                <w:sz w:val="18"/>
                <w:szCs w:val="18"/>
              </w:rPr>
            </w:pPr>
          </w:p>
          <w:p w14:paraId="714EF075">
            <w:pPr>
              <w:spacing w:line="360" w:lineRule="auto"/>
              <w:jc w:val="center"/>
              <w:rPr>
                <w:rFonts w:hAnsi="宋体"/>
                <w:b/>
                <w:bCs/>
                <w:color w:val="auto"/>
                <w:sz w:val="18"/>
                <w:szCs w:val="18"/>
              </w:rPr>
            </w:pPr>
          </w:p>
          <w:p w14:paraId="78E3664E">
            <w:pPr>
              <w:spacing w:line="360" w:lineRule="auto"/>
              <w:jc w:val="center"/>
              <w:rPr>
                <w:rFonts w:hAnsi="宋体"/>
                <w:b/>
                <w:bCs/>
                <w:color w:val="auto"/>
                <w:sz w:val="18"/>
                <w:szCs w:val="18"/>
              </w:rPr>
            </w:pPr>
          </w:p>
          <w:p w14:paraId="66DFD727">
            <w:pPr>
              <w:spacing w:line="360" w:lineRule="auto"/>
              <w:jc w:val="center"/>
              <w:rPr>
                <w:rFonts w:hAnsi="宋体"/>
                <w:b/>
                <w:bCs/>
                <w:color w:val="auto"/>
                <w:sz w:val="18"/>
                <w:szCs w:val="18"/>
              </w:rPr>
            </w:pPr>
          </w:p>
          <w:p w14:paraId="2C921E59">
            <w:pPr>
              <w:spacing w:line="360" w:lineRule="auto"/>
              <w:jc w:val="center"/>
              <w:rPr>
                <w:rFonts w:hAnsi="宋体"/>
                <w:b/>
                <w:bCs/>
                <w:color w:val="auto"/>
                <w:sz w:val="18"/>
                <w:szCs w:val="18"/>
              </w:rPr>
            </w:pPr>
          </w:p>
          <w:p w14:paraId="13D05E65">
            <w:pPr>
              <w:spacing w:line="360" w:lineRule="auto"/>
              <w:jc w:val="center"/>
              <w:rPr>
                <w:rFonts w:hAnsi="宋体"/>
                <w:b/>
                <w:bCs/>
                <w:color w:val="auto"/>
                <w:sz w:val="18"/>
                <w:szCs w:val="18"/>
              </w:rPr>
            </w:pPr>
          </w:p>
          <w:p w14:paraId="38D92351">
            <w:pPr>
              <w:spacing w:line="360" w:lineRule="auto"/>
              <w:jc w:val="center"/>
              <w:rPr>
                <w:rFonts w:hAnsi="宋体"/>
                <w:b/>
                <w:bCs/>
                <w:color w:val="auto"/>
                <w:sz w:val="18"/>
                <w:szCs w:val="18"/>
              </w:rPr>
            </w:pPr>
          </w:p>
          <w:p w14:paraId="71DCE64F">
            <w:pPr>
              <w:spacing w:line="360" w:lineRule="auto"/>
              <w:jc w:val="center"/>
              <w:rPr>
                <w:rFonts w:hAnsi="宋体"/>
                <w:b/>
                <w:bCs/>
                <w:color w:val="auto"/>
                <w:sz w:val="18"/>
                <w:szCs w:val="18"/>
              </w:rPr>
            </w:pPr>
            <w:r>
              <w:rPr>
                <w:rFonts w:hAnsi="宋体"/>
                <w:b/>
                <w:bCs/>
                <w:color w:val="auto"/>
                <w:sz w:val="18"/>
                <w:szCs w:val="18"/>
              </w:rPr>
              <w:t>图</w:t>
            </w:r>
            <w:r>
              <w:rPr>
                <w:rFonts w:hint="eastAsia"/>
                <w:b/>
                <w:bCs/>
                <w:color w:val="auto"/>
                <w:sz w:val="18"/>
                <w:szCs w:val="18"/>
              </w:rPr>
              <w:t>2</w:t>
            </w:r>
            <w:r>
              <w:rPr>
                <w:b/>
                <w:bCs/>
                <w:color w:val="auto"/>
                <w:sz w:val="18"/>
                <w:szCs w:val="18"/>
              </w:rPr>
              <w:t>-</w:t>
            </w:r>
            <w:r>
              <w:rPr>
                <w:rFonts w:hint="eastAsia"/>
                <w:b/>
                <w:bCs/>
                <w:color w:val="auto"/>
                <w:sz w:val="18"/>
                <w:szCs w:val="18"/>
                <w:lang w:val="en-US" w:eastAsia="zh-CN"/>
              </w:rPr>
              <w:t>6</w:t>
            </w:r>
            <w:r>
              <w:rPr>
                <w:b/>
                <w:bCs/>
                <w:color w:val="auto"/>
                <w:sz w:val="18"/>
                <w:szCs w:val="18"/>
              </w:rPr>
              <w:t xml:space="preserve">    </w:t>
            </w:r>
            <w:r>
              <w:rPr>
                <w:rFonts w:hAnsi="宋体"/>
                <w:b/>
                <w:bCs/>
                <w:color w:val="auto"/>
                <w:sz w:val="18"/>
                <w:szCs w:val="18"/>
              </w:rPr>
              <w:t>运营期</w:t>
            </w:r>
            <w:r>
              <w:rPr>
                <w:rFonts w:hint="eastAsia" w:hAnsi="宋体"/>
                <w:b/>
                <w:bCs/>
                <w:color w:val="auto"/>
                <w:sz w:val="18"/>
                <w:szCs w:val="18"/>
                <w:lang w:val="en-US" w:eastAsia="zh-CN"/>
              </w:rPr>
              <w:t>砖雕加工（一车间）</w:t>
            </w:r>
            <w:r>
              <w:rPr>
                <w:rFonts w:hAnsi="宋体"/>
                <w:b/>
                <w:bCs/>
                <w:color w:val="auto"/>
                <w:sz w:val="18"/>
                <w:szCs w:val="18"/>
              </w:rPr>
              <w:t>工艺流程及排污节点图</w:t>
            </w:r>
          </w:p>
        </w:tc>
      </w:tr>
      <w:tr w14:paraId="24FDE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83" w:type="pct"/>
            <w:vAlign w:val="center"/>
          </w:tcPr>
          <w:p w14:paraId="6B83F2B1">
            <w:pPr>
              <w:pStyle w:val="40"/>
              <w:adjustRightInd w:val="0"/>
              <w:snapToGrid w:val="0"/>
              <w:spacing w:before="0" w:beforeAutospacing="0" w:after="0" w:afterAutospacing="0"/>
              <w:jc w:val="center"/>
              <w:rPr>
                <w:rFonts w:ascii="Times New Roman" w:hAnsi="Times New Roman"/>
                <w:color w:val="auto"/>
                <w:sz w:val="21"/>
                <w:szCs w:val="21"/>
              </w:rPr>
            </w:pPr>
            <w:r>
              <w:rPr>
                <w:rFonts w:ascii="Times New Roman"/>
                <w:bCs/>
                <w:color w:val="auto"/>
                <w:kern w:val="2"/>
                <w:sz w:val="21"/>
                <w:szCs w:val="21"/>
              </w:rPr>
              <w:t>与项目有关的原有环境污染问题</w:t>
            </w:r>
          </w:p>
        </w:tc>
        <w:tc>
          <w:tcPr>
            <w:tcW w:w="4516" w:type="pct"/>
          </w:tcPr>
          <w:p w14:paraId="4E04A263">
            <w:pPr>
              <w:snapToGrid w:val="0"/>
              <w:spacing w:line="360" w:lineRule="auto"/>
              <w:ind w:firstLine="420" w:firstLineChars="200"/>
              <w:rPr>
                <w:bCs/>
                <w:color w:val="auto"/>
                <w:szCs w:val="21"/>
              </w:rPr>
            </w:pPr>
          </w:p>
          <w:p w14:paraId="707C43D7">
            <w:pPr>
              <w:snapToGrid w:val="0"/>
              <w:spacing w:line="360" w:lineRule="auto"/>
              <w:ind w:firstLine="420" w:firstLineChars="200"/>
              <w:rPr>
                <w:bCs/>
                <w:color w:val="auto"/>
                <w:szCs w:val="21"/>
              </w:rPr>
            </w:pPr>
          </w:p>
          <w:p w14:paraId="71F5AB35">
            <w:pPr>
              <w:snapToGrid w:val="0"/>
              <w:spacing w:line="360" w:lineRule="auto"/>
              <w:ind w:firstLine="420" w:firstLineChars="200"/>
              <w:rPr>
                <w:bCs/>
                <w:color w:val="auto"/>
                <w:szCs w:val="21"/>
              </w:rPr>
            </w:pPr>
          </w:p>
          <w:p w14:paraId="57C9ECF7">
            <w:pPr>
              <w:snapToGrid w:val="0"/>
              <w:spacing w:line="360" w:lineRule="auto"/>
              <w:ind w:firstLine="420" w:firstLineChars="200"/>
              <w:rPr>
                <w:bCs/>
                <w:color w:val="auto"/>
                <w:szCs w:val="21"/>
              </w:rPr>
            </w:pPr>
          </w:p>
          <w:p w14:paraId="067CC695">
            <w:pPr>
              <w:snapToGrid w:val="0"/>
              <w:spacing w:line="360" w:lineRule="auto"/>
              <w:ind w:firstLine="420" w:firstLineChars="200"/>
              <w:rPr>
                <w:bCs/>
                <w:color w:val="auto"/>
                <w:szCs w:val="21"/>
              </w:rPr>
            </w:pPr>
          </w:p>
          <w:p w14:paraId="64E4CF91">
            <w:pPr>
              <w:snapToGrid w:val="0"/>
              <w:spacing w:line="360" w:lineRule="auto"/>
              <w:ind w:firstLine="420" w:firstLineChars="200"/>
              <w:rPr>
                <w:bCs/>
                <w:color w:val="auto"/>
                <w:szCs w:val="21"/>
              </w:rPr>
            </w:pPr>
            <w:r>
              <w:rPr>
                <w:rFonts w:hint="eastAsia"/>
                <w:bCs/>
                <w:color w:val="auto"/>
                <w:szCs w:val="21"/>
              </w:rPr>
              <w:t>本项目占地为</w:t>
            </w:r>
            <w:r>
              <w:rPr>
                <w:rFonts w:hint="eastAsia"/>
                <w:bCs/>
                <w:color w:val="auto"/>
                <w:szCs w:val="21"/>
                <w:lang w:val="en-US" w:eastAsia="zh-CN"/>
              </w:rPr>
              <w:t>工业园区范围内土地，占地性质为工业用地，占地现状为空地</w:t>
            </w:r>
            <w:r>
              <w:rPr>
                <w:rFonts w:hint="eastAsia"/>
                <w:bCs/>
                <w:color w:val="auto"/>
                <w:szCs w:val="21"/>
              </w:rPr>
              <w:t>，占地范围内无原有环境问题。</w:t>
            </w:r>
          </w:p>
          <w:p w14:paraId="3BFB4755">
            <w:pPr>
              <w:snapToGrid w:val="0"/>
              <w:spacing w:line="360" w:lineRule="auto"/>
              <w:ind w:firstLine="420" w:firstLineChars="200"/>
              <w:rPr>
                <w:bCs/>
                <w:color w:val="auto"/>
                <w:szCs w:val="21"/>
              </w:rPr>
            </w:pPr>
          </w:p>
          <w:p w14:paraId="532E13CE">
            <w:pPr>
              <w:snapToGrid w:val="0"/>
              <w:spacing w:line="360" w:lineRule="auto"/>
              <w:ind w:firstLine="420" w:firstLineChars="200"/>
              <w:rPr>
                <w:bCs/>
                <w:color w:val="auto"/>
                <w:szCs w:val="21"/>
              </w:rPr>
            </w:pPr>
          </w:p>
          <w:p w14:paraId="17D5CA07">
            <w:pPr>
              <w:snapToGrid w:val="0"/>
              <w:spacing w:line="360" w:lineRule="auto"/>
              <w:ind w:firstLine="420" w:firstLineChars="200"/>
              <w:rPr>
                <w:bCs/>
                <w:color w:val="auto"/>
                <w:szCs w:val="21"/>
              </w:rPr>
            </w:pPr>
          </w:p>
          <w:p w14:paraId="73168542">
            <w:pPr>
              <w:snapToGrid w:val="0"/>
              <w:spacing w:line="360" w:lineRule="auto"/>
              <w:ind w:firstLine="420" w:firstLineChars="200"/>
              <w:rPr>
                <w:bCs/>
                <w:color w:val="auto"/>
                <w:szCs w:val="21"/>
              </w:rPr>
            </w:pPr>
          </w:p>
          <w:p w14:paraId="6E006761">
            <w:pPr>
              <w:snapToGrid w:val="0"/>
              <w:spacing w:line="360" w:lineRule="auto"/>
              <w:ind w:firstLine="420" w:firstLineChars="200"/>
              <w:rPr>
                <w:bCs/>
                <w:color w:val="auto"/>
                <w:szCs w:val="21"/>
              </w:rPr>
            </w:pPr>
          </w:p>
          <w:p w14:paraId="6023536A">
            <w:pPr>
              <w:snapToGrid w:val="0"/>
              <w:spacing w:line="360" w:lineRule="auto"/>
              <w:ind w:firstLine="420" w:firstLineChars="200"/>
              <w:rPr>
                <w:bCs/>
                <w:color w:val="auto"/>
                <w:szCs w:val="21"/>
              </w:rPr>
            </w:pPr>
          </w:p>
        </w:tc>
      </w:tr>
    </w:tbl>
    <w:p w14:paraId="02C3641B">
      <w:pPr>
        <w:pStyle w:val="40"/>
        <w:jc w:val="center"/>
        <w:rPr>
          <w:rFonts w:ascii="Times New Roman" w:hAnsi="Times New Roman"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ECD6121">
      <w:pPr>
        <w:pStyle w:val="40"/>
        <w:jc w:val="center"/>
        <w:outlineLvl w:val="0"/>
        <w:rPr>
          <w:rFonts w:ascii="Times New Roman" w:hAnsi="Times New Roman" w:eastAsia="黑体"/>
          <w:snapToGrid w:val="0"/>
          <w:color w:val="auto"/>
          <w:sz w:val="30"/>
          <w:szCs w:val="30"/>
        </w:rPr>
      </w:pPr>
      <w:r>
        <w:rPr>
          <w:rFonts w:ascii="Times New Roman" w:hAnsi="黑体" w:eastAsia="黑体"/>
          <w:snapToGrid w:val="0"/>
          <w:color w:val="auto"/>
          <w:sz w:val="30"/>
          <w:szCs w:val="30"/>
        </w:rPr>
        <w:t>三、区域环境质量现状、环境保护目标及评价标准</w:t>
      </w:r>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203E9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vAlign w:val="center"/>
          </w:tcPr>
          <w:p w14:paraId="5220E60B">
            <w:pPr>
              <w:adjustRightInd w:val="0"/>
              <w:snapToGrid w:val="0"/>
              <w:jc w:val="center"/>
              <w:rPr>
                <w:color w:val="auto"/>
                <w:kern w:val="0"/>
                <w:szCs w:val="21"/>
              </w:rPr>
            </w:pPr>
            <w:r>
              <w:rPr>
                <w:rFonts w:hAnsi="宋体"/>
                <w:color w:val="auto"/>
                <w:kern w:val="0"/>
                <w:szCs w:val="21"/>
              </w:rPr>
              <w:t>区域</w:t>
            </w:r>
          </w:p>
          <w:p w14:paraId="16506E96">
            <w:pPr>
              <w:adjustRightInd w:val="0"/>
              <w:snapToGrid w:val="0"/>
              <w:jc w:val="center"/>
              <w:rPr>
                <w:color w:val="auto"/>
                <w:kern w:val="0"/>
                <w:szCs w:val="21"/>
              </w:rPr>
            </w:pPr>
            <w:r>
              <w:rPr>
                <w:rFonts w:hAnsi="宋体"/>
                <w:color w:val="auto"/>
                <w:kern w:val="0"/>
                <w:szCs w:val="21"/>
              </w:rPr>
              <w:t>环境</w:t>
            </w:r>
          </w:p>
          <w:p w14:paraId="44BAD3D4">
            <w:pPr>
              <w:adjustRightInd w:val="0"/>
              <w:snapToGrid w:val="0"/>
              <w:jc w:val="center"/>
              <w:rPr>
                <w:color w:val="auto"/>
                <w:kern w:val="0"/>
                <w:szCs w:val="21"/>
              </w:rPr>
            </w:pPr>
            <w:r>
              <w:rPr>
                <w:rFonts w:hAnsi="宋体"/>
                <w:color w:val="auto"/>
                <w:kern w:val="0"/>
                <w:szCs w:val="21"/>
              </w:rPr>
              <w:t>质量</w:t>
            </w:r>
          </w:p>
          <w:p w14:paraId="1AFDCFFE">
            <w:pPr>
              <w:adjustRightInd w:val="0"/>
              <w:snapToGrid w:val="0"/>
              <w:jc w:val="center"/>
              <w:rPr>
                <w:color w:val="auto"/>
                <w:kern w:val="0"/>
                <w:szCs w:val="21"/>
              </w:rPr>
            </w:pPr>
            <w:r>
              <w:rPr>
                <w:rFonts w:hAnsi="宋体"/>
                <w:color w:val="auto"/>
                <w:kern w:val="0"/>
                <w:szCs w:val="21"/>
              </w:rPr>
              <w:t>现状</w:t>
            </w:r>
          </w:p>
        </w:tc>
        <w:tc>
          <w:tcPr>
            <w:tcW w:w="8190" w:type="dxa"/>
            <w:vAlign w:val="center"/>
          </w:tcPr>
          <w:p w14:paraId="00DF499F">
            <w:pPr>
              <w:spacing w:line="360" w:lineRule="auto"/>
              <w:ind w:firstLine="422" w:firstLineChars="200"/>
              <w:rPr>
                <w:b/>
                <w:color w:val="auto"/>
                <w:szCs w:val="21"/>
              </w:rPr>
            </w:pPr>
            <w:r>
              <w:rPr>
                <w:rFonts w:hint="eastAsia"/>
                <w:b/>
                <w:color w:val="auto"/>
                <w:szCs w:val="21"/>
                <w:lang w:val="en-US" w:eastAsia="zh-CN"/>
              </w:rPr>
              <w:t>3.1</w:t>
            </w:r>
            <w:r>
              <w:rPr>
                <w:b/>
                <w:color w:val="auto"/>
                <w:szCs w:val="21"/>
              </w:rPr>
              <w:t>环境空气质量现状</w:t>
            </w:r>
          </w:p>
          <w:p w14:paraId="22F367BE">
            <w:pPr>
              <w:spacing w:line="360" w:lineRule="auto"/>
              <w:ind w:firstLine="420" w:firstLineChars="200"/>
              <w:rPr>
                <w:color w:val="auto"/>
                <w:szCs w:val="21"/>
              </w:rPr>
            </w:pPr>
            <w:r>
              <w:rPr>
                <w:color w:val="auto"/>
                <w:szCs w:val="21"/>
              </w:rPr>
              <w:t>本项目厂址属于行政区划为</w:t>
            </w:r>
            <w:r>
              <w:rPr>
                <w:rFonts w:hint="eastAsia"/>
                <w:color w:val="auto"/>
                <w:szCs w:val="21"/>
                <w:lang w:val="en-US" w:eastAsia="zh-CN"/>
              </w:rPr>
              <w:t>大同市云州区</w:t>
            </w:r>
            <w:r>
              <w:rPr>
                <w:color w:val="auto"/>
                <w:szCs w:val="21"/>
              </w:rPr>
              <w:t>，选用</w:t>
            </w:r>
            <w:r>
              <w:rPr>
                <w:rFonts w:hint="eastAsia"/>
                <w:color w:val="auto"/>
                <w:szCs w:val="21"/>
                <w:lang w:val="en-US" w:eastAsia="zh-CN"/>
              </w:rPr>
              <w:t>大同市2025年云州区</w:t>
            </w:r>
            <w:r>
              <w:rPr>
                <w:color w:val="auto"/>
                <w:szCs w:val="21"/>
              </w:rPr>
              <w:t>例行监测资料对本项目区域空气环境质量进行简要评价，监测数据可反</w:t>
            </w:r>
            <w:r>
              <w:rPr>
                <w:rFonts w:hint="eastAsia"/>
                <w:color w:val="auto"/>
                <w:szCs w:val="21"/>
                <w:lang w:val="en-US" w:eastAsia="zh-CN"/>
              </w:rPr>
              <w:t>映</w:t>
            </w:r>
            <w:r>
              <w:rPr>
                <w:color w:val="auto"/>
                <w:szCs w:val="21"/>
              </w:rPr>
              <w:t>区域空气质量现状</w:t>
            </w:r>
            <w:r>
              <w:rPr>
                <w:rFonts w:hint="eastAsia"/>
                <w:color w:val="auto"/>
                <w:szCs w:val="21"/>
              </w:rPr>
              <w:t>。</w:t>
            </w:r>
            <w:r>
              <w:rPr>
                <w:color w:val="auto"/>
                <w:szCs w:val="21"/>
              </w:rPr>
              <w:t>监测污染物为SO</w:t>
            </w:r>
            <w:r>
              <w:rPr>
                <w:color w:val="auto"/>
                <w:szCs w:val="21"/>
                <w:vertAlign w:val="subscript"/>
              </w:rPr>
              <w:t>2</w:t>
            </w:r>
            <w:r>
              <w:rPr>
                <w:color w:val="auto"/>
                <w:szCs w:val="21"/>
              </w:rPr>
              <w:t>、NO</w:t>
            </w:r>
            <w:r>
              <w:rPr>
                <w:color w:val="auto"/>
                <w:szCs w:val="21"/>
                <w:vertAlign w:val="subscript"/>
              </w:rPr>
              <w:t>2</w:t>
            </w:r>
            <w:r>
              <w:rPr>
                <w:color w:val="auto"/>
                <w:szCs w:val="21"/>
              </w:rPr>
              <w:t>、PM</w:t>
            </w:r>
            <w:r>
              <w:rPr>
                <w:color w:val="auto"/>
                <w:szCs w:val="21"/>
                <w:vertAlign w:val="subscript"/>
              </w:rPr>
              <w:t>10</w:t>
            </w:r>
            <w:r>
              <w:rPr>
                <w:color w:val="auto"/>
                <w:szCs w:val="21"/>
              </w:rPr>
              <w:t>、PM</w:t>
            </w:r>
            <w:r>
              <w:rPr>
                <w:color w:val="auto"/>
                <w:szCs w:val="21"/>
                <w:vertAlign w:val="subscript"/>
              </w:rPr>
              <w:t>2.5</w:t>
            </w:r>
            <w:r>
              <w:rPr>
                <w:color w:val="auto"/>
                <w:szCs w:val="21"/>
              </w:rPr>
              <w:t>、CO、O</w:t>
            </w:r>
            <w:r>
              <w:rPr>
                <w:color w:val="auto"/>
                <w:szCs w:val="21"/>
                <w:vertAlign w:val="subscript"/>
              </w:rPr>
              <w:t>3</w:t>
            </w:r>
            <w:r>
              <w:rPr>
                <w:color w:val="auto"/>
                <w:szCs w:val="21"/>
              </w:rPr>
              <w:t>。监测结果统计见表3</w:t>
            </w:r>
            <w:r>
              <w:rPr>
                <w:rFonts w:hint="eastAsia"/>
                <w:color w:val="auto"/>
                <w:szCs w:val="21"/>
                <w:lang w:val="en-US" w:eastAsia="zh-CN"/>
              </w:rPr>
              <w:t>.1</w:t>
            </w:r>
            <w:r>
              <w:rPr>
                <w:color w:val="auto"/>
                <w:szCs w:val="21"/>
              </w:rPr>
              <w:t>-1。</w:t>
            </w:r>
          </w:p>
          <w:p w14:paraId="0FBC3D2C">
            <w:pPr>
              <w:spacing w:line="240" w:lineRule="exact"/>
              <w:jc w:val="center"/>
              <w:rPr>
                <w:b/>
                <w:color w:val="auto"/>
                <w:sz w:val="18"/>
                <w:szCs w:val="18"/>
              </w:rPr>
            </w:pPr>
            <w:r>
              <w:rPr>
                <w:b/>
                <w:color w:val="auto"/>
                <w:sz w:val="18"/>
                <w:szCs w:val="18"/>
              </w:rPr>
              <w:t>表3</w:t>
            </w:r>
            <w:r>
              <w:rPr>
                <w:rFonts w:hint="eastAsia"/>
                <w:b/>
                <w:color w:val="auto"/>
                <w:sz w:val="18"/>
                <w:szCs w:val="18"/>
                <w:lang w:val="en-US" w:eastAsia="zh-CN"/>
              </w:rPr>
              <w:t>.1</w:t>
            </w:r>
            <w:r>
              <w:rPr>
                <w:b/>
                <w:color w:val="auto"/>
                <w:sz w:val="18"/>
                <w:szCs w:val="18"/>
              </w:rPr>
              <w:t>-1    20</w:t>
            </w:r>
            <w:r>
              <w:rPr>
                <w:rFonts w:hint="eastAsia"/>
                <w:b/>
                <w:color w:val="auto"/>
                <w:sz w:val="18"/>
                <w:szCs w:val="18"/>
              </w:rPr>
              <w:t>2</w:t>
            </w:r>
            <w:r>
              <w:rPr>
                <w:rFonts w:hint="eastAsia"/>
                <w:b/>
                <w:color w:val="auto"/>
                <w:sz w:val="18"/>
                <w:szCs w:val="18"/>
                <w:lang w:val="en-US" w:eastAsia="zh-CN"/>
              </w:rPr>
              <w:t>5</w:t>
            </w:r>
            <w:r>
              <w:rPr>
                <w:b/>
                <w:color w:val="auto"/>
                <w:sz w:val="18"/>
                <w:szCs w:val="18"/>
              </w:rPr>
              <w:t>年</w:t>
            </w:r>
            <w:r>
              <w:rPr>
                <w:rFonts w:hint="eastAsia"/>
                <w:b/>
                <w:color w:val="auto"/>
                <w:sz w:val="18"/>
                <w:szCs w:val="18"/>
              </w:rPr>
              <w:t>大同市</w:t>
            </w:r>
            <w:r>
              <w:rPr>
                <w:rFonts w:hint="eastAsia" w:cs="Times New Roman"/>
                <w:b/>
                <w:color w:val="auto"/>
                <w:sz w:val="18"/>
                <w:szCs w:val="18"/>
                <w:lang w:val="en-US" w:eastAsia="zh-CN"/>
              </w:rPr>
              <w:t>云州区</w:t>
            </w:r>
            <w:r>
              <w:rPr>
                <w:b/>
                <w:color w:val="auto"/>
                <w:sz w:val="18"/>
                <w:szCs w:val="18"/>
              </w:rPr>
              <w:t>环境空气现状监测结果统计表</w:t>
            </w:r>
          </w:p>
          <w:tbl>
            <w:tblPr>
              <w:tblStyle w:val="4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59"/>
              <w:gridCol w:w="704"/>
              <w:gridCol w:w="865"/>
              <w:gridCol w:w="969"/>
              <w:gridCol w:w="923"/>
              <w:gridCol w:w="739"/>
              <w:gridCol w:w="787"/>
              <w:gridCol w:w="928"/>
              <w:gridCol w:w="716"/>
              <w:gridCol w:w="654"/>
            </w:tblGrid>
            <w:tr w14:paraId="1C1C27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0" w:hRule="atLeast"/>
              </w:trPr>
              <w:tc>
                <w:tcPr>
                  <w:tcW w:w="659" w:type="dxa"/>
                  <w:vMerge w:val="restart"/>
                  <w:tcBorders>
                    <w:top w:val="single" w:color="auto" w:sz="12" w:space="0"/>
                    <w:left w:val="single" w:color="auto" w:sz="12" w:space="0"/>
                    <w:right w:val="single" w:color="auto" w:sz="6" w:space="0"/>
                  </w:tcBorders>
                  <w:vAlign w:val="center"/>
                </w:tcPr>
                <w:p w14:paraId="6DA4BF5E">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所在</w:t>
                  </w:r>
                </w:p>
                <w:p w14:paraId="5EDA47D6">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区域</w:t>
                  </w:r>
                </w:p>
              </w:tc>
              <w:tc>
                <w:tcPr>
                  <w:tcW w:w="704" w:type="dxa"/>
                  <w:vMerge w:val="restart"/>
                  <w:tcBorders>
                    <w:top w:val="single" w:color="auto" w:sz="12" w:space="0"/>
                    <w:left w:val="single" w:color="auto" w:sz="6" w:space="0"/>
                    <w:right w:val="single" w:color="auto" w:sz="6" w:space="0"/>
                  </w:tcBorders>
                  <w:vAlign w:val="center"/>
                </w:tcPr>
                <w:p w14:paraId="3360200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污染物</w:t>
                  </w:r>
                </w:p>
              </w:tc>
              <w:tc>
                <w:tcPr>
                  <w:tcW w:w="865" w:type="dxa"/>
                  <w:vMerge w:val="restart"/>
                  <w:tcBorders>
                    <w:top w:val="single" w:color="auto" w:sz="12" w:space="0"/>
                    <w:left w:val="single" w:color="auto" w:sz="6" w:space="0"/>
                    <w:right w:val="single" w:color="auto" w:sz="6" w:space="0"/>
                  </w:tcBorders>
                  <w:vAlign w:val="center"/>
                </w:tcPr>
                <w:p w14:paraId="3608C3D1">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年评价指标</w:t>
                  </w:r>
                </w:p>
              </w:tc>
              <w:tc>
                <w:tcPr>
                  <w:tcW w:w="969" w:type="dxa"/>
                  <w:vMerge w:val="restart"/>
                  <w:tcBorders>
                    <w:top w:val="single" w:color="auto" w:sz="12" w:space="0"/>
                    <w:left w:val="single" w:color="auto" w:sz="6" w:space="0"/>
                    <w:right w:val="single" w:color="auto" w:sz="6" w:space="0"/>
                  </w:tcBorders>
                  <w:vAlign w:val="center"/>
                </w:tcPr>
                <w:p w14:paraId="0E2F5A1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现状</w:t>
                  </w:r>
                </w:p>
                <w:p w14:paraId="694F57C0">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浓度</w:t>
                  </w:r>
                </w:p>
              </w:tc>
              <w:tc>
                <w:tcPr>
                  <w:tcW w:w="2449" w:type="dxa"/>
                  <w:gridSpan w:val="3"/>
                  <w:tcBorders>
                    <w:top w:val="single" w:color="auto" w:sz="12" w:space="0"/>
                    <w:left w:val="single" w:color="auto" w:sz="6" w:space="0"/>
                    <w:bottom w:val="single" w:color="auto" w:sz="4" w:space="0"/>
                    <w:right w:val="single" w:color="auto" w:sz="6" w:space="0"/>
                  </w:tcBorders>
                  <w:vAlign w:val="center"/>
                </w:tcPr>
                <w:p w14:paraId="47581B8E">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hint="eastAsia" w:eastAsia="宋体"/>
                      <w:color w:val="auto"/>
                      <w:kern w:val="2"/>
                      <w:sz w:val="18"/>
                      <w:szCs w:val="18"/>
                      <w:lang w:val="en-US" w:eastAsia="zh-CN"/>
                    </w:rPr>
                    <w:t>GB3095-2012</w:t>
                  </w:r>
                </w:p>
              </w:tc>
              <w:tc>
                <w:tcPr>
                  <w:tcW w:w="2298" w:type="dxa"/>
                  <w:gridSpan w:val="3"/>
                  <w:tcBorders>
                    <w:top w:val="single" w:color="auto" w:sz="12" w:space="0"/>
                    <w:left w:val="single" w:color="auto" w:sz="6" w:space="0"/>
                    <w:bottom w:val="single" w:color="auto" w:sz="4" w:space="0"/>
                    <w:right w:val="single" w:color="auto" w:sz="12" w:space="0"/>
                  </w:tcBorders>
                  <w:vAlign w:val="center"/>
                </w:tcPr>
                <w:p w14:paraId="49957F46">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rPr>
                    <w:t>GB3095-20</w:t>
                  </w:r>
                  <w:r>
                    <w:rPr>
                      <w:rFonts w:hint="eastAsia" w:eastAsia="宋体"/>
                      <w:color w:val="auto"/>
                      <w:kern w:val="2"/>
                      <w:sz w:val="18"/>
                      <w:szCs w:val="18"/>
                      <w:lang w:val="en-US" w:eastAsia="zh-CN"/>
                    </w:rPr>
                    <w:t>26</w:t>
                  </w:r>
                </w:p>
                <w:p w14:paraId="768D8B5C">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eastAsia="zh-CN"/>
                    </w:rPr>
                    <w:t>（</w:t>
                  </w:r>
                  <w:r>
                    <w:rPr>
                      <w:rFonts w:hint="eastAsia" w:eastAsia="宋体"/>
                      <w:color w:val="auto"/>
                      <w:kern w:val="2"/>
                      <w:sz w:val="18"/>
                      <w:szCs w:val="18"/>
                      <w:lang w:val="en-US" w:eastAsia="zh-CN"/>
                    </w:rPr>
                    <w:t>过渡阶段）</w:t>
                  </w:r>
                </w:p>
              </w:tc>
            </w:tr>
            <w:tr w14:paraId="238527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0" w:hRule="atLeast"/>
              </w:trPr>
              <w:tc>
                <w:tcPr>
                  <w:tcW w:w="659" w:type="dxa"/>
                  <w:vMerge w:val="continue"/>
                  <w:tcBorders>
                    <w:left w:val="single" w:color="auto" w:sz="12" w:space="0"/>
                    <w:bottom w:val="single" w:color="auto" w:sz="6" w:space="0"/>
                    <w:right w:val="single" w:color="auto" w:sz="6" w:space="0"/>
                  </w:tcBorders>
                  <w:vAlign w:val="center"/>
                </w:tcPr>
                <w:p w14:paraId="276B1A8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p>
              </w:tc>
              <w:tc>
                <w:tcPr>
                  <w:tcW w:w="704" w:type="dxa"/>
                  <w:vMerge w:val="continue"/>
                  <w:tcBorders>
                    <w:left w:val="single" w:color="auto" w:sz="6" w:space="0"/>
                    <w:bottom w:val="single" w:color="auto" w:sz="6" w:space="0"/>
                    <w:right w:val="single" w:color="auto" w:sz="6" w:space="0"/>
                  </w:tcBorders>
                  <w:vAlign w:val="center"/>
                </w:tcPr>
                <w:p w14:paraId="7B8FFEE3">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p>
              </w:tc>
              <w:tc>
                <w:tcPr>
                  <w:tcW w:w="865" w:type="dxa"/>
                  <w:vMerge w:val="continue"/>
                  <w:tcBorders>
                    <w:left w:val="single" w:color="auto" w:sz="6" w:space="0"/>
                    <w:bottom w:val="single" w:color="auto" w:sz="6" w:space="0"/>
                    <w:right w:val="single" w:color="auto" w:sz="6" w:space="0"/>
                  </w:tcBorders>
                  <w:vAlign w:val="center"/>
                </w:tcPr>
                <w:p w14:paraId="2BD99B15">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p>
              </w:tc>
              <w:tc>
                <w:tcPr>
                  <w:tcW w:w="969" w:type="dxa"/>
                  <w:vMerge w:val="continue"/>
                  <w:tcBorders>
                    <w:left w:val="single" w:color="auto" w:sz="6" w:space="0"/>
                    <w:bottom w:val="single" w:color="auto" w:sz="6" w:space="0"/>
                    <w:right w:val="single" w:color="auto" w:sz="6" w:space="0"/>
                  </w:tcBorders>
                  <w:vAlign w:val="center"/>
                </w:tcPr>
                <w:p w14:paraId="74EAED33">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p>
              </w:tc>
              <w:tc>
                <w:tcPr>
                  <w:tcW w:w="923" w:type="dxa"/>
                  <w:tcBorders>
                    <w:top w:val="single" w:color="auto" w:sz="4" w:space="0"/>
                    <w:left w:val="single" w:color="auto" w:sz="6" w:space="0"/>
                    <w:bottom w:val="single" w:color="auto" w:sz="6" w:space="0"/>
                    <w:right w:val="single" w:color="auto" w:sz="4" w:space="0"/>
                  </w:tcBorders>
                  <w:shd w:val="clear" w:color="auto" w:fill="auto"/>
                  <w:vAlign w:val="center"/>
                </w:tcPr>
                <w:p w14:paraId="37518C94">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rPr>
                    <w:t>标准值</w:t>
                  </w:r>
                </w:p>
              </w:tc>
              <w:tc>
                <w:tcPr>
                  <w:tcW w:w="739" w:type="dxa"/>
                  <w:tcBorders>
                    <w:top w:val="single" w:color="auto" w:sz="4" w:space="0"/>
                    <w:left w:val="single" w:color="auto" w:sz="4" w:space="0"/>
                    <w:bottom w:val="single" w:color="auto" w:sz="6" w:space="0"/>
                    <w:right w:val="single" w:color="auto" w:sz="4" w:space="0"/>
                  </w:tcBorders>
                  <w:shd w:val="clear" w:color="auto" w:fill="auto"/>
                  <w:vAlign w:val="center"/>
                </w:tcPr>
                <w:p w14:paraId="447D09C8">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rPr>
                    <w:t>占标率</w:t>
                  </w:r>
                </w:p>
              </w:tc>
              <w:tc>
                <w:tcPr>
                  <w:tcW w:w="787" w:type="dxa"/>
                  <w:tcBorders>
                    <w:top w:val="single" w:color="auto" w:sz="4" w:space="0"/>
                    <w:left w:val="single" w:color="auto" w:sz="4" w:space="0"/>
                    <w:bottom w:val="single" w:color="auto" w:sz="6" w:space="0"/>
                    <w:right w:val="single" w:color="auto" w:sz="6" w:space="0"/>
                  </w:tcBorders>
                  <w:shd w:val="clear" w:color="auto" w:fill="auto"/>
                  <w:vAlign w:val="center"/>
                </w:tcPr>
                <w:p w14:paraId="16BF88E7">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p w14:paraId="052A9298">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eastAsia="宋体"/>
                      <w:color w:val="auto"/>
                      <w:kern w:val="2"/>
                      <w:sz w:val="18"/>
                      <w:szCs w:val="18"/>
                    </w:rPr>
                    <w:t>情况</w:t>
                  </w:r>
                </w:p>
              </w:tc>
              <w:tc>
                <w:tcPr>
                  <w:tcW w:w="928" w:type="dxa"/>
                  <w:tcBorders>
                    <w:top w:val="single" w:color="auto" w:sz="4" w:space="0"/>
                    <w:left w:val="single" w:color="auto" w:sz="6" w:space="0"/>
                    <w:bottom w:val="single" w:color="auto" w:sz="6" w:space="0"/>
                    <w:right w:val="single" w:color="auto" w:sz="4" w:space="0"/>
                  </w:tcBorders>
                  <w:vAlign w:val="center"/>
                </w:tcPr>
                <w:p w14:paraId="77702D1D">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hint="eastAsia" w:eastAsia="宋体"/>
                      <w:color w:val="auto"/>
                      <w:kern w:val="2"/>
                      <w:sz w:val="18"/>
                      <w:szCs w:val="18"/>
                    </w:rPr>
                    <w:t>标准值</w:t>
                  </w:r>
                </w:p>
              </w:tc>
              <w:tc>
                <w:tcPr>
                  <w:tcW w:w="716" w:type="dxa"/>
                  <w:tcBorders>
                    <w:top w:val="single" w:color="auto" w:sz="4" w:space="0"/>
                    <w:left w:val="single" w:color="auto" w:sz="4" w:space="0"/>
                    <w:bottom w:val="single" w:color="auto" w:sz="6" w:space="0"/>
                    <w:right w:val="single" w:color="auto" w:sz="6" w:space="0"/>
                  </w:tcBorders>
                  <w:vAlign w:val="center"/>
                </w:tcPr>
                <w:p w14:paraId="5440082F">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hint="eastAsia" w:eastAsia="宋体"/>
                      <w:color w:val="auto"/>
                      <w:kern w:val="2"/>
                      <w:sz w:val="18"/>
                      <w:szCs w:val="18"/>
                    </w:rPr>
                    <w:t>占标率</w:t>
                  </w:r>
                </w:p>
              </w:tc>
              <w:tc>
                <w:tcPr>
                  <w:tcW w:w="654" w:type="dxa"/>
                  <w:tcBorders>
                    <w:left w:val="single" w:color="auto" w:sz="6" w:space="0"/>
                    <w:bottom w:val="single" w:color="auto" w:sz="6" w:space="0"/>
                    <w:right w:val="single" w:color="auto" w:sz="12" w:space="0"/>
                  </w:tcBorders>
                  <w:vAlign w:val="center"/>
                </w:tcPr>
                <w:p w14:paraId="39A8B0A5">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达标情况</w:t>
                  </w:r>
                </w:p>
              </w:tc>
            </w:tr>
            <w:tr w14:paraId="3A98B8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restart"/>
                  <w:tcBorders>
                    <w:top w:val="single" w:color="auto" w:sz="6" w:space="0"/>
                    <w:left w:val="single" w:color="auto" w:sz="12" w:space="0"/>
                    <w:bottom w:val="single" w:color="auto" w:sz="12" w:space="0"/>
                    <w:right w:val="single" w:color="auto" w:sz="6" w:space="0"/>
                  </w:tcBorders>
                  <w:vAlign w:val="center"/>
                </w:tcPr>
                <w:p w14:paraId="2F14BF8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rPr>
                    <w:t>大</w:t>
                  </w:r>
                  <w:r>
                    <w:rPr>
                      <w:rFonts w:hint="eastAsia" w:ascii="Times New Roman" w:hAnsi="Times New Roman" w:eastAsia="宋体" w:cs="Times New Roman"/>
                      <w:color w:val="auto"/>
                      <w:kern w:val="2"/>
                      <w:sz w:val="18"/>
                      <w:szCs w:val="18"/>
                    </w:rPr>
                    <w:t>同市</w:t>
                  </w:r>
                  <w:r>
                    <w:rPr>
                      <w:rFonts w:hint="eastAsia" w:eastAsia="宋体" w:cs="Times New Roman"/>
                      <w:color w:val="auto"/>
                      <w:kern w:val="2"/>
                      <w:sz w:val="18"/>
                      <w:szCs w:val="18"/>
                      <w:lang w:val="en-US" w:eastAsia="zh-CN"/>
                    </w:rPr>
                    <w:t>云州区</w:t>
                  </w:r>
                </w:p>
              </w:tc>
              <w:tc>
                <w:tcPr>
                  <w:tcW w:w="704" w:type="dxa"/>
                  <w:tcBorders>
                    <w:top w:val="single" w:color="auto" w:sz="6" w:space="0"/>
                    <w:left w:val="single" w:color="auto" w:sz="6" w:space="0"/>
                    <w:bottom w:val="single" w:color="auto" w:sz="6" w:space="0"/>
                    <w:right w:val="single" w:color="auto" w:sz="6" w:space="0"/>
                  </w:tcBorders>
                  <w:vAlign w:val="center"/>
                </w:tcPr>
                <w:p w14:paraId="6828C10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SO</w:t>
                  </w:r>
                  <w:r>
                    <w:rPr>
                      <w:rFonts w:eastAsia="宋体"/>
                      <w:color w:val="auto"/>
                      <w:kern w:val="2"/>
                      <w:sz w:val="18"/>
                      <w:szCs w:val="18"/>
                      <w:vertAlign w:val="subscript"/>
                    </w:rPr>
                    <w:t>2</w:t>
                  </w:r>
                </w:p>
              </w:tc>
              <w:tc>
                <w:tcPr>
                  <w:tcW w:w="865" w:type="dxa"/>
                  <w:vMerge w:val="restart"/>
                  <w:tcBorders>
                    <w:top w:val="single" w:color="auto" w:sz="6" w:space="0"/>
                    <w:left w:val="single" w:color="auto" w:sz="6" w:space="0"/>
                    <w:right w:val="single" w:color="auto" w:sz="6" w:space="0"/>
                  </w:tcBorders>
                  <w:vAlign w:val="center"/>
                </w:tcPr>
                <w:p w14:paraId="4E88CDCE">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年平均质量浓度</w:t>
                  </w:r>
                </w:p>
              </w:tc>
              <w:tc>
                <w:tcPr>
                  <w:tcW w:w="969" w:type="dxa"/>
                  <w:tcBorders>
                    <w:top w:val="single" w:color="auto" w:sz="6" w:space="0"/>
                    <w:left w:val="single" w:color="auto" w:sz="6" w:space="0"/>
                    <w:bottom w:val="single" w:color="auto" w:sz="6" w:space="0"/>
                    <w:right w:val="single" w:color="auto" w:sz="6" w:space="0"/>
                  </w:tcBorders>
                  <w:vAlign w:val="center"/>
                </w:tcPr>
                <w:p w14:paraId="30AE2F9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14</w:t>
                  </w:r>
                  <w:r>
                    <w:rPr>
                      <w:rFonts w:eastAsia="宋体"/>
                      <w:color w:val="auto"/>
                      <w:kern w:val="2"/>
                      <w:sz w:val="18"/>
                      <w:szCs w:val="18"/>
                    </w:rPr>
                    <w:t>µg/m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6" w:space="0"/>
                    <w:right w:val="single" w:color="auto" w:sz="4" w:space="0"/>
                  </w:tcBorders>
                  <w:vAlign w:val="center"/>
                </w:tcPr>
                <w:p w14:paraId="600C54BE">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60µg/m</w:t>
                  </w:r>
                  <w:r>
                    <w:rPr>
                      <w:rFonts w:eastAsia="宋体"/>
                      <w:color w:val="auto"/>
                      <w:kern w:val="2"/>
                      <w:sz w:val="18"/>
                      <w:szCs w:val="18"/>
                      <w:vertAlign w:val="superscript"/>
                    </w:rPr>
                    <w:t>3</w:t>
                  </w:r>
                </w:p>
              </w:tc>
              <w:tc>
                <w:tcPr>
                  <w:tcW w:w="739" w:type="dxa"/>
                  <w:tcBorders>
                    <w:top w:val="single" w:color="auto" w:sz="6" w:space="0"/>
                    <w:left w:val="single" w:color="auto" w:sz="4" w:space="0"/>
                    <w:bottom w:val="single" w:color="auto" w:sz="6" w:space="0"/>
                    <w:right w:val="single" w:color="auto" w:sz="4" w:space="0"/>
                  </w:tcBorders>
                  <w:shd w:val="clear" w:color="auto" w:fill="auto"/>
                  <w:vAlign w:val="center"/>
                </w:tcPr>
                <w:p w14:paraId="2B09B594">
                  <w:pPr>
                    <w:pStyle w:val="220"/>
                    <w:keepNext w:val="0"/>
                    <w:keepLines w:val="0"/>
                    <w:pageBreakBefore w:val="0"/>
                    <w:widowControl/>
                    <w:kinsoku/>
                    <w:wordWrap/>
                    <w:overflowPunct/>
                    <w:topLinePunct w:val="0"/>
                    <w:autoSpaceDE/>
                    <w:autoSpaceDN/>
                    <w:bidi w:val="0"/>
                    <w:adjustRightInd/>
                    <w:spacing w:line="240" w:lineRule="exact"/>
                    <w:textAlignment w:val="auto"/>
                    <w:rPr>
                      <w:rFonts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23.3</w:t>
                  </w:r>
                  <w:r>
                    <w:rPr>
                      <w:rFonts w:eastAsia="宋体"/>
                      <w:color w:val="auto"/>
                      <w:kern w:val="2"/>
                      <w:sz w:val="18"/>
                      <w:szCs w:val="18"/>
                    </w:rPr>
                    <w:t>%</w:t>
                  </w:r>
                </w:p>
              </w:tc>
              <w:tc>
                <w:tcPr>
                  <w:tcW w:w="787" w:type="dxa"/>
                  <w:tcBorders>
                    <w:top w:val="single" w:color="auto" w:sz="6" w:space="0"/>
                    <w:left w:val="single" w:color="auto" w:sz="4" w:space="0"/>
                    <w:bottom w:val="single" w:color="auto" w:sz="6" w:space="0"/>
                    <w:right w:val="single" w:color="auto" w:sz="6" w:space="0"/>
                  </w:tcBorders>
                  <w:shd w:val="clear" w:color="auto" w:fill="auto"/>
                  <w:vAlign w:val="center"/>
                </w:tcPr>
                <w:p w14:paraId="45C6E4B7">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eastAsia="宋体"/>
                      <w:color w:val="auto"/>
                      <w:kern w:val="2"/>
                      <w:sz w:val="18"/>
                      <w:szCs w:val="18"/>
                    </w:rPr>
                    <w:t>达标</w:t>
                  </w:r>
                </w:p>
              </w:tc>
              <w:tc>
                <w:tcPr>
                  <w:tcW w:w="928" w:type="dxa"/>
                  <w:tcBorders>
                    <w:top w:val="single" w:color="auto" w:sz="6" w:space="0"/>
                    <w:left w:val="single" w:color="auto" w:sz="6" w:space="0"/>
                    <w:bottom w:val="single" w:color="auto" w:sz="6" w:space="0"/>
                    <w:right w:val="single" w:color="auto" w:sz="4" w:space="0"/>
                  </w:tcBorders>
                  <w:vAlign w:val="center"/>
                </w:tcPr>
                <w:p w14:paraId="6231E85D">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60µg/m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6" w:space="0"/>
                    <w:right w:val="single" w:color="auto" w:sz="6" w:space="0"/>
                  </w:tcBorders>
                  <w:vAlign w:val="center"/>
                </w:tcPr>
                <w:p w14:paraId="6E139D3D">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lang w:val="en-US" w:eastAsia="zh-CN"/>
                    </w:rPr>
                    <w:t>23.3</w:t>
                  </w:r>
                  <w:r>
                    <w:rPr>
                      <w:rFonts w:eastAsia="宋体"/>
                      <w:color w:val="auto"/>
                      <w:kern w:val="2"/>
                      <w:sz w:val="18"/>
                      <w:szCs w:val="18"/>
                    </w:rPr>
                    <w:t>%</w:t>
                  </w:r>
                </w:p>
              </w:tc>
              <w:tc>
                <w:tcPr>
                  <w:tcW w:w="654" w:type="dxa"/>
                  <w:tcBorders>
                    <w:top w:val="single" w:color="auto" w:sz="6" w:space="0"/>
                    <w:left w:val="single" w:color="auto" w:sz="6" w:space="0"/>
                    <w:bottom w:val="single" w:color="auto" w:sz="6" w:space="0"/>
                    <w:right w:val="single" w:color="auto" w:sz="12" w:space="0"/>
                  </w:tcBorders>
                  <w:vAlign w:val="center"/>
                </w:tcPr>
                <w:p w14:paraId="570E9ED6">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tc>
            </w:tr>
            <w:tr w14:paraId="296AE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continue"/>
                  <w:tcBorders>
                    <w:top w:val="single" w:color="auto" w:sz="6" w:space="0"/>
                    <w:left w:val="single" w:color="auto" w:sz="12" w:space="0"/>
                    <w:bottom w:val="single" w:color="auto" w:sz="12" w:space="0"/>
                    <w:right w:val="single" w:color="auto" w:sz="6" w:space="0"/>
                  </w:tcBorders>
                  <w:vAlign w:val="center"/>
                </w:tcPr>
                <w:p w14:paraId="3945B209">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p>
              </w:tc>
              <w:tc>
                <w:tcPr>
                  <w:tcW w:w="704" w:type="dxa"/>
                  <w:tcBorders>
                    <w:top w:val="single" w:color="auto" w:sz="6" w:space="0"/>
                    <w:left w:val="single" w:color="auto" w:sz="6" w:space="0"/>
                    <w:bottom w:val="single" w:color="auto" w:sz="6" w:space="0"/>
                    <w:right w:val="single" w:color="auto" w:sz="6" w:space="0"/>
                  </w:tcBorders>
                  <w:vAlign w:val="center"/>
                </w:tcPr>
                <w:p w14:paraId="7FAC38A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NO</w:t>
                  </w:r>
                  <w:r>
                    <w:rPr>
                      <w:rFonts w:eastAsia="宋体"/>
                      <w:color w:val="auto"/>
                      <w:kern w:val="2"/>
                      <w:sz w:val="18"/>
                      <w:szCs w:val="18"/>
                      <w:vertAlign w:val="subscript"/>
                    </w:rPr>
                    <w:t>2</w:t>
                  </w:r>
                </w:p>
              </w:tc>
              <w:tc>
                <w:tcPr>
                  <w:tcW w:w="865" w:type="dxa"/>
                  <w:vMerge w:val="continue"/>
                  <w:tcBorders>
                    <w:left w:val="single" w:color="auto" w:sz="6" w:space="0"/>
                    <w:right w:val="single" w:color="auto" w:sz="6" w:space="0"/>
                  </w:tcBorders>
                  <w:vAlign w:val="center"/>
                </w:tcPr>
                <w:p w14:paraId="37E4AB29">
                  <w:pPr>
                    <w:pStyle w:val="220"/>
                    <w:keepNext w:val="0"/>
                    <w:keepLines w:val="0"/>
                    <w:pageBreakBefore w:val="0"/>
                    <w:widowControl/>
                    <w:kinsoku/>
                    <w:wordWrap/>
                    <w:overflowPunct/>
                    <w:topLinePunct w:val="0"/>
                    <w:autoSpaceDE/>
                    <w:autoSpaceDN/>
                    <w:bidi w:val="0"/>
                    <w:adjustRightInd/>
                    <w:spacing w:line="240" w:lineRule="exact"/>
                    <w:textAlignment w:val="auto"/>
                    <w:rPr>
                      <w:color w:val="auto"/>
                      <w:sz w:val="18"/>
                      <w:szCs w:val="18"/>
                    </w:rPr>
                  </w:pPr>
                </w:p>
              </w:tc>
              <w:tc>
                <w:tcPr>
                  <w:tcW w:w="969" w:type="dxa"/>
                  <w:tcBorders>
                    <w:top w:val="single" w:color="auto" w:sz="6" w:space="0"/>
                    <w:left w:val="single" w:color="auto" w:sz="6" w:space="0"/>
                    <w:bottom w:val="single" w:color="auto" w:sz="6" w:space="0"/>
                    <w:right w:val="single" w:color="auto" w:sz="6" w:space="0"/>
                  </w:tcBorders>
                  <w:vAlign w:val="center"/>
                </w:tcPr>
                <w:p w14:paraId="6CF608F0">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18</w:t>
                  </w:r>
                  <w:r>
                    <w:rPr>
                      <w:rFonts w:eastAsia="宋体"/>
                      <w:color w:val="auto"/>
                      <w:kern w:val="2"/>
                      <w:sz w:val="18"/>
                      <w:szCs w:val="18"/>
                    </w:rPr>
                    <w:t>µg/m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6" w:space="0"/>
                    <w:right w:val="single" w:color="auto" w:sz="4" w:space="0"/>
                  </w:tcBorders>
                  <w:vAlign w:val="center"/>
                </w:tcPr>
                <w:p w14:paraId="4D2FBDAA">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40µg/m</w:t>
                  </w:r>
                  <w:r>
                    <w:rPr>
                      <w:rFonts w:eastAsia="宋体"/>
                      <w:color w:val="auto"/>
                      <w:kern w:val="2"/>
                      <w:sz w:val="18"/>
                      <w:szCs w:val="18"/>
                      <w:vertAlign w:val="superscript"/>
                    </w:rPr>
                    <w:t>3</w:t>
                  </w:r>
                </w:p>
              </w:tc>
              <w:tc>
                <w:tcPr>
                  <w:tcW w:w="739" w:type="dxa"/>
                  <w:tcBorders>
                    <w:top w:val="single" w:color="auto" w:sz="6" w:space="0"/>
                    <w:left w:val="single" w:color="auto" w:sz="4" w:space="0"/>
                    <w:bottom w:val="single" w:color="auto" w:sz="6" w:space="0"/>
                    <w:right w:val="single" w:color="auto" w:sz="4" w:space="0"/>
                  </w:tcBorders>
                  <w:shd w:val="clear" w:color="auto" w:fill="auto"/>
                  <w:vAlign w:val="center"/>
                </w:tcPr>
                <w:p w14:paraId="587A19AF">
                  <w:pPr>
                    <w:pStyle w:val="220"/>
                    <w:keepNext w:val="0"/>
                    <w:keepLines w:val="0"/>
                    <w:pageBreakBefore w:val="0"/>
                    <w:widowControl/>
                    <w:kinsoku/>
                    <w:wordWrap/>
                    <w:overflowPunct/>
                    <w:topLinePunct w:val="0"/>
                    <w:autoSpaceDE/>
                    <w:autoSpaceDN/>
                    <w:bidi w:val="0"/>
                    <w:adjustRightInd/>
                    <w:spacing w:line="240" w:lineRule="exact"/>
                    <w:textAlignment w:val="auto"/>
                    <w:rPr>
                      <w:rFonts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45.</w:t>
                  </w:r>
                  <w:r>
                    <w:rPr>
                      <w:rFonts w:hint="eastAsia" w:eastAsia="宋体"/>
                      <w:color w:val="auto"/>
                      <w:kern w:val="2"/>
                      <w:sz w:val="18"/>
                      <w:szCs w:val="18"/>
                    </w:rPr>
                    <w:t>0</w:t>
                  </w:r>
                  <w:r>
                    <w:rPr>
                      <w:rFonts w:eastAsia="宋体"/>
                      <w:color w:val="auto"/>
                      <w:kern w:val="2"/>
                      <w:sz w:val="18"/>
                      <w:szCs w:val="18"/>
                    </w:rPr>
                    <w:t>%</w:t>
                  </w:r>
                </w:p>
              </w:tc>
              <w:tc>
                <w:tcPr>
                  <w:tcW w:w="787" w:type="dxa"/>
                  <w:tcBorders>
                    <w:top w:val="single" w:color="auto" w:sz="6" w:space="0"/>
                    <w:left w:val="single" w:color="auto" w:sz="4" w:space="0"/>
                    <w:bottom w:val="single" w:color="auto" w:sz="6" w:space="0"/>
                    <w:right w:val="single" w:color="auto" w:sz="6" w:space="0"/>
                  </w:tcBorders>
                  <w:shd w:val="clear" w:color="auto" w:fill="auto"/>
                  <w:vAlign w:val="center"/>
                </w:tcPr>
                <w:p w14:paraId="2A93E9E2">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eastAsia="宋体"/>
                      <w:color w:val="auto"/>
                      <w:kern w:val="2"/>
                      <w:sz w:val="18"/>
                      <w:szCs w:val="18"/>
                    </w:rPr>
                    <w:t>达标</w:t>
                  </w:r>
                </w:p>
              </w:tc>
              <w:tc>
                <w:tcPr>
                  <w:tcW w:w="928" w:type="dxa"/>
                  <w:tcBorders>
                    <w:top w:val="single" w:color="auto" w:sz="6" w:space="0"/>
                    <w:left w:val="single" w:color="auto" w:sz="6" w:space="0"/>
                    <w:bottom w:val="single" w:color="auto" w:sz="6" w:space="0"/>
                    <w:right w:val="single" w:color="auto" w:sz="4" w:space="0"/>
                  </w:tcBorders>
                  <w:vAlign w:val="center"/>
                </w:tcPr>
                <w:p w14:paraId="78F30948">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40µg/m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6" w:space="0"/>
                    <w:right w:val="single" w:color="auto" w:sz="6" w:space="0"/>
                  </w:tcBorders>
                  <w:vAlign w:val="center"/>
                </w:tcPr>
                <w:p w14:paraId="42A33586">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rPr>
                  </w:pPr>
                  <w:r>
                    <w:rPr>
                      <w:rFonts w:hint="eastAsia" w:eastAsia="宋体"/>
                      <w:color w:val="auto"/>
                      <w:kern w:val="2"/>
                      <w:sz w:val="18"/>
                      <w:szCs w:val="18"/>
                      <w:lang w:val="en-US" w:eastAsia="zh-CN"/>
                    </w:rPr>
                    <w:t>45.</w:t>
                  </w:r>
                  <w:r>
                    <w:rPr>
                      <w:rFonts w:hint="eastAsia" w:eastAsia="宋体"/>
                      <w:color w:val="auto"/>
                      <w:kern w:val="2"/>
                      <w:sz w:val="18"/>
                      <w:szCs w:val="18"/>
                    </w:rPr>
                    <w:t>0</w:t>
                  </w:r>
                  <w:r>
                    <w:rPr>
                      <w:rFonts w:eastAsia="宋体"/>
                      <w:color w:val="auto"/>
                      <w:kern w:val="2"/>
                      <w:sz w:val="18"/>
                      <w:szCs w:val="18"/>
                    </w:rPr>
                    <w:t>%</w:t>
                  </w:r>
                </w:p>
              </w:tc>
              <w:tc>
                <w:tcPr>
                  <w:tcW w:w="654" w:type="dxa"/>
                  <w:tcBorders>
                    <w:top w:val="single" w:color="auto" w:sz="6" w:space="0"/>
                    <w:left w:val="single" w:color="auto" w:sz="6" w:space="0"/>
                    <w:bottom w:val="single" w:color="auto" w:sz="6" w:space="0"/>
                    <w:right w:val="single" w:color="auto" w:sz="12" w:space="0"/>
                  </w:tcBorders>
                  <w:vAlign w:val="center"/>
                </w:tcPr>
                <w:p w14:paraId="48A44E30">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tc>
            </w:tr>
            <w:tr w14:paraId="38D645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continue"/>
                  <w:tcBorders>
                    <w:top w:val="single" w:color="auto" w:sz="6" w:space="0"/>
                    <w:left w:val="single" w:color="auto" w:sz="12" w:space="0"/>
                    <w:bottom w:val="single" w:color="auto" w:sz="12" w:space="0"/>
                    <w:right w:val="single" w:color="auto" w:sz="6" w:space="0"/>
                  </w:tcBorders>
                  <w:vAlign w:val="center"/>
                </w:tcPr>
                <w:p w14:paraId="3BC43D4D">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p>
              </w:tc>
              <w:tc>
                <w:tcPr>
                  <w:tcW w:w="704" w:type="dxa"/>
                  <w:tcBorders>
                    <w:top w:val="single" w:color="auto" w:sz="6" w:space="0"/>
                    <w:left w:val="single" w:color="auto" w:sz="6" w:space="0"/>
                    <w:bottom w:val="single" w:color="auto" w:sz="6" w:space="0"/>
                    <w:right w:val="single" w:color="auto" w:sz="6" w:space="0"/>
                  </w:tcBorders>
                  <w:vAlign w:val="center"/>
                </w:tcPr>
                <w:p w14:paraId="093CB193">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PM</w:t>
                  </w:r>
                  <w:r>
                    <w:rPr>
                      <w:rFonts w:eastAsia="宋体"/>
                      <w:color w:val="auto"/>
                      <w:kern w:val="2"/>
                      <w:sz w:val="18"/>
                      <w:szCs w:val="18"/>
                      <w:vertAlign w:val="subscript"/>
                    </w:rPr>
                    <w:t>10</w:t>
                  </w:r>
                </w:p>
              </w:tc>
              <w:tc>
                <w:tcPr>
                  <w:tcW w:w="865" w:type="dxa"/>
                  <w:vMerge w:val="continue"/>
                  <w:tcBorders>
                    <w:left w:val="single" w:color="auto" w:sz="6" w:space="0"/>
                    <w:right w:val="single" w:color="auto" w:sz="6" w:space="0"/>
                  </w:tcBorders>
                  <w:vAlign w:val="center"/>
                </w:tcPr>
                <w:p w14:paraId="2D58C017">
                  <w:pPr>
                    <w:pStyle w:val="220"/>
                    <w:keepNext w:val="0"/>
                    <w:keepLines w:val="0"/>
                    <w:pageBreakBefore w:val="0"/>
                    <w:widowControl/>
                    <w:kinsoku/>
                    <w:wordWrap/>
                    <w:overflowPunct/>
                    <w:topLinePunct w:val="0"/>
                    <w:autoSpaceDE/>
                    <w:autoSpaceDN/>
                    <w:bidi w:val="0"/>
                    <w:adjustRightInd/>
                    <w:spacing w:line="240" w:lineRule="exact"/>
                    <w:textAlignment w:val="auto"/>
                    <w:rPr>
                      <w:color w:val="auto"/>
                      <w:sz w:val="18"/>
                      <w:szCs w:val="18"/>
                    </w:rPr>
                  </w:pPr>
                </w:p>
              </w:tc>
              <w:tc>
                <w:tcPr>
                  <w:tcW w:w="969" w:type="dxa"/>
                  <w:tcBorders>
                    <w:top w:val="single" w:color="auto" w:sz="6" w:space="0"/>
                    <w:left w:val="single" w:color="auto" w:sz="6" w:space="0"/>
                    <w:bottom w:val="single" w:color="auto" w:sz="6" w:space="0"/>
                    <w:right w:val="single" w:color="auto" w:sz="6" w:space="0"/>
                  </w:tcBorders>
                  <w:vAlign w:val="center"/>
                </w:tcPr>
                <w:p w14:paraId="304B3EE1">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45</w:t>
                  </w:r>
                  <w:r>
                    <w:rPr>
                      <w:rFonts w:eastAsia="宋体"/>
                      <w:color w:val="auto"/>
                      <w:kern w:val="2"/>
                      <w:sz w:val="18"/>
                      <w:szCs w:val="18"/>
                    </w:rPr>
                    <w:t>µg/m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6" w:space="0"/>
                    <w:right w:val="single" w:color="auto" w:sz="4" w:space="0"/>
                  </w:tcBorders>
                  <w:vAlign w:val="center"/>
                </w:tcPr>
                <w:p w14:paraId="6C3E443D">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7</w:t>
                  </w:r>
                  <w:r>
                    <w:rPr>
                      <w:rFonts w:eastAsia="宋体"/>
                      <w:color w:val="auto"/>
                      <w:kern w:val="2"/>
                      <w:sz w:val="18"/>
                      <w:szCs w:val="18"/>
                    </w:rPr>
                    <w:t>0µg/m</w:t>
                  </w:r>
                  <w:r>
                    <w:rPr>
                      <w:rFonts w:eastAsia="宋体"/>
                      <w:color w:val="auto"/>
                      <w:kern w:val="2"/>
                      <w:sz w:val="18"/>
                      <w:szCs w:val="18"/>
                      <w:vertAlign w:val="superscript"/>
                    </w:rPr>
                    <w:t>3</w:t>
                  </w:r>
                </w:p>
              </w:tc>
              <w:tc>
                <w:tcPr>
                  <w:tcW w:w="739" w:type="dxa"/>
                  <w:tcBorders>
                    <w:top w:val="single" w:color="auto" w:sz="6" w:space="0"/>
                    <w:left w:val="single" w:color="auto" w:sz="4" w:space="0"/>
                    <w:bottom w:val="single" w:color="auto" w:sz="6" w:space="0"/>
                    <w:right w:val="single" w:color="auto" w:sz="4" w:space="0"/>
                  </w:tcBorders>
                  <w:shd w:val="clear" w:color="auto" w:fill="auto"/>
                  <w:vAlign w:val="center"/>
                </w:tcPr>
                <w:p w14:paraId="09318DC9">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64.3</w:t>
                  </w:r>
                  <w:r>
                    <w:rPr>
                      <w:rFonts w:eastAsia="宋体"/>
                      <w:color w:val="auto"/>
                      <w:kern w:val="2"/>
                      <w:sz w:val="18"/>
                      <w:szCs w:val="18"/>
                    </w:rPr>
                    <w:t>%</w:t>
                  </w:r>
                </w:p>
              </w:tc>
              <w:tc>
                <w:tcPr>
                  <w:tcW w:w="787" w:type="dxa"/>
                  <w:tcBorders>
                    <w:top w:val="single" w:color="auto" w:sz="6" w:space="0"/>
                    <w:left w:val="single" w:color="auto" w:sz="4" w:space="0"/>
                    <w:bottom w:val="single" w:color="auto" w:sz="6" w:space="0"/>
                    <w:right w:val="single" w:color="auto" w:sz="6" w:space="0"/>
                  </w:tcBorders>
                  <w:shd w:val="clear" w:color="auto" w:fill="auto"/>
                  <w:vAlign w:val="center"/>
                </w:tcPr>
                <w:p w14:paraId="7C3102CE">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eastAsia="宋体"/>
                      <w:color w:val="auto"/>
                      <w:kern w:val="2"/>
                      <w:sz w:val="18"/>
                      <w:szCs w:val="18"/>
                    </w:rPr>
                    <w:t>达标</w:t>
                  </w:r>
                </w:p>
              </w:tc>
              <w:tc>
                <w:tcPr>
                  <w:tcW w:w="928" w:type="dxa"/>
                  <w:tcBorders>
                    <w:top w:val="single" w:color="auto" w:sz="6" w:space="0"/>
                    <w:left w:val="single" w:color="auto" w:sz="6" w:space="0"/>
                    <w:bottom w:val="single" w:color="auto" w:sz="6" w:space="0"/>
                    <w:right w:val="single" w:color="auto" w:sz="4" w:space="0"/>
                  </w:tcBorders>
                  <w:vAlign w:val="center"/>
                </w:tcPr>
                <w:p w14:paraId="70D2AA2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60</w:t>
                  </w:r>
                  <w:r>
                    <w:rPr>
                      <w:rFonts w:eastAsia="宋体"/>
                      <w:color w:val="auto"/>
                      <w:kern w:val="2"/>
                      <w:sz w:val="18"/>
                      <w:szCs w:val="18"/>
                    </w:rPr>
                    <w:t>µg/m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6" w:space="0"/>
                    <w:right w:val="single" w:color="auto" w:sz="6" w:space="0"/>
                  </w:tcBorders>
                  <w:vAlign w:val="center"/>
                </w:tcPr>
                <w:p w14:paraId="480EC748">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lang w:val="en-US" w:eastAsia="zh-CN"/>
                    </w:rPr>
                    <w:t>75.0</w:t>
                  </w:r>
                  <w:r>
                    <w:rPr>
                      <w:rFonts w:eastAsia="宋体"/>
                      <w:color w:val="auto"/>
                      <w:kern w:val="2"/>
                      <w:sz w:val="18"/>
                      <w:szCs w:val="18"/>
                    </w:rPr>
                    <w:t>%</w:t>
                  </w:r>
                </w:p>
              </w:tc>
              <w:tc>
                <w:tcPr>
                  <w:tcW w:w="654" w:type="dxa"/>
                  <w:tcBorders>
                    <w:top w:val="single" w:color="auto" w:sz="6" w:space="0"/>
                    <w:left w:val="single" w:color="auto" w:sz="6" w:space="0"/>
                    <w:bottom w:val="single" w:color="auto" w:sz="6" w:space="0"/>
                    <w:right w:val="single" w:color="auto" w:sz="12" w:space="0"/>
                  </w:tcBorders>
                  <w:vAlign w:val="center"/>
                </w:tcPr>
                <w:p w14:paraId="110233AB">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tc>
            </w:tr>
            <w:tr w14:paraId="091A3B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continue"/>
                  <w:tcBorders>
                    <w:top w:val="single" w:color="auto" w:sz="6" w:space="0"/>
                    <w:left w:val="single" w:color="auto" w:sz="12" w:space="0"/>
                    <w:bottom w:val="single" w:color="auto" w:sz="12" w:space="0"/>
                    <w:right w:val="single" w:color="auto" w:sz="6" w:space="0"/>
                  </w:tcBorders>
                  <w:vAlign w:val="center"/>
                </w:tcPr>
                <w:p w14:paraId="6F30A7D3">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p>
              </w:tc>
              <w:tc>
                <w:tcPr>
                  <w:tcW w:w="704" w:type="dxa"/>
                  <w:tcBorders>
                    <w:top w:val="single" w:color="auto" w:sz="6" w:space="0"/>
                    <w:left w:val="single" w:color="auto" w:sz="6" w:space="0"/>
                    <w:bottom w:val="single" w:color="auto" w:sz="6" w:space="0"/>
                    <w:right w:val="single" w:color="auto" w:sz="6" w:space="0"/>
                  </w:tcBorders>
                  <w:vAlign w:val="center"/>
                </w:tcPr>
                <w:p w14:paraId="7DCEEFBC">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PM</w:t>
                  </w:r>
                  <w:r>
                    <w:rPr>
                      <w:rFonts w:eastAsia="宋体"/>
                      <w:color w:val="auto"/>
                      <w:kern w:val="2"/>
                      <w:sz w:val="18"/>
                      <w:szCs w:val="18"/>
                      <w:vertAlign w:val="subscript"/>
                    </w:rPr>
                    <w:t>2.5</w:t>
                  </w:r>
                </w:p>
              </w:tc>
              <w:tc>
                <w:tcPr>
                  <w:tcW w:w="865" w:type="dxa"/>
                  <w:vMerge w:val="continue"/>
                  <w:tcBorders>
                    <w:left w:val="single" w:color="auto" w:sz="6" w:space="0"/>
                    <w:bottom w:val="single" w:color="auto" w:sz="4" w:space="0"/>
                    <w:right w:val="single" w:color="auto" w:sz="6" w:space="0"/>
                  </w:tcBorders>
                  <w:vAlign w:val="center"/>
                </w:tcPr>
                <w:p w14:paraId="646A262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p>
              </w:tc>
              <w:tc>
                <w:tcPr>
                  <w:tcW w:w="969" w:type="dxa"/>
                  <w:tcBorders>
                    <w:top w:val="single" w:color="auto" w:sz="6" w:space="0"/>
                    <w:left w:val="single" w:color="auto" w:sz="6" w:space="0"/>
                    <w:bottom w:val="single" w:color="auto" w:sz="6" w:space="0"/>
                    <w:right w:val="single" w:color="auto" w:sz="6" w:space="0"/>
                  </w:tcBorders>
                  <w:vAlign w:val="center"/>
                </w:tcPr>
                <w:p w14:paraId="287EB12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22</w:t>
                  </w:r>
                  <w:r>
                    <w:rPr>
                      <w:rFonts w:eastAsia="宋体"/>
                      <w:color w:val="auto"/>
                      <w:kern w:val="2"/>
                      <w:sz w:val="18"/>
                      <w:szCs w:val="18"/>
                    </w:rPr>
                    <w:t>µg/m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6" w:space="0"/>
                    <w:right w:val="single" w:color="auto" w:sz="4" w:space="0"/>
                  </w:tcBorders>
                  <w:vAlign w:val="center"/>
                </w:tcPr>
                <w:p w14:paraId="5588D08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3</w:t>
                  </w:r>
                  <w:r>
                    <w:rPr>
                      <w:rFonts w:hint="eastAsia" w:eastAsia="宋体"/>
                      <w:color w:val="auto"/>
                      <w:kern w:val="2"/>
                      <w:sz w:val="18"/>
                      <w:szCs w:val="18"/>
                      <w:lang w:val="en-US" w:eastAsia="zh-CN"/>
                    </w:rPr>
                    <w:t>5</w:t>
                  </w:r>
                  <w:r>
                    <w:rPr>
                      <w:rFonts w:eastAsia="宋体"/>
                      <w:color w:val="auto"/>
                      <w:kern w:val="2"/>
                      <w:sz w:val="18"/>
                      <w:szCs w:val="18"/>
                    </w:rPr>
                    <w:t>µg/m</w:t>
                  </w:r>
                  <w:r>
                    <w:rPr>
                      <w:rFonts w:eastAsia="宋体"/>
                      <w:color w:val="auto"/>
                      <w:kern w:val="2"/>
                      <w:sz w:val="18"/>
                      <w:szCs w:val="18"/>
                      <w:vertAlign w:val="superscript"/>
                    </w:rPr>
                    <w:t>3</w:t>
                  </w:r>
                </w:p>
              </w:tc>
              <w:tc>
                <w:tcPr>
                  <w:tcW w:w="739" w:type="dxa"/>
                  <w:tcBorders>
                    <w:top w:val="single" w:color="auto" w:sz="6" w:space="0"/>
                    <w:left w:val="single" w:color="auto" w:sz="4" w:space="0"/>
                    <w:bottom w:val="single" w:color="auto" w:sz="6" w:space="0"/>
                    <w:right w:val="single" w:color="auto" w:sz="4" w:space="0"/>
                  </w:tcBorders>
                  <w:shd w:val="clear" w:color="auto" w:fill="auto"/>
                  <w:vAlign w:val="center"/>
                </w:tcPr>
                <w:p w14:paraId="1DCE5C10">
                  <w:pPr>
                    <w:pStyle w:val="220"/>
                    <w:keepNext w:val="0"/>
                    <w:keepLines w:val="0"/>
                    <w:pageBreakBefore w:val="0"/>
                    <w:widowControl/>
                    <w:kinsoku/>
                    <w:wordWrap/>
                    <w:overflowPunct/>
                    <w:topLinePunct w:val="0"/>
                    <w:autoSpaceDE/>
                    <w:autoSpaceDN/>
                    <w:bidi w:val="0"/>
                    <w:adjustRightInd/>
                    <w:spacing w:line="240" w:lineRule="exact"/>
                    <w:textAlignment w:val="auto"/>
                    <w:rPr>
                      <w:rFonts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62.9</w:t>
                  </w:r>
                  <w:r>
                    <w:rPr>
                      <w:rFonts w:eastAsia="宋体"/>
                      <w:color w:val="auto"/>
                      <w:kern w:val="2"/>
                      <w:sz w:val="18"/>
                      <w:szCs w:val="18"/>
                    </w:rPr>
                    <w:t>%</w:t>
                  </w:r>
                </w:p>
              </w:tc>
              <w:tc>
                <w:tcPr>
                  <w:tcW w:w="787" w:type="dxa"/>
                  <w:tcBorders>
                    <w:top w:val="single" w:color="auto" w:sz="6" w:space="0"/>
                    <w:left w:val="single" w:color="auto" w:sz="4" w:space="0"/>
                    <w:bottom w:val="single" w:color="auto" w:sz="6" w:space="0"/>
                    <w:right w:val="single" w:color="auto" w:sz="6" w:space="0"/>
                  </w:tcBorders>
                  <w:shd w:val="clear" w:color="auto" w:fill="auto"/>
                  <w:vAlign w:val="center"/>
                </w:tcPr>
                <w:p w14:paraId="313C65A8">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eastAsia="宋体"/>
                      <w:color w:val="auto"/>
                      <w:kern w:val="2"/>
                      <w:sz w:val="18"/>
                      <w:szCs w:val="18"/>
                    </w:rPr>
                    <w:t>达标</w:t>
                  </w:r>
                </w:p>
              </w:tc>
              <w:tc>
                <w:tcPr>
                  <w:tcW w:w="928" w:type="dxa"/>
                  <w:tcBorders>
                    <w:top w:val="single" w:color="auto" w:sz="6" w:space="0"/>
                    <w:left w:val="single" w:color="auto" w:sz="6" w:space="0"/>
                    <w:bottom w:val="single" w:color="auto" w:sz="6" w:space="0"/>
                    <w:right w:val="single" w:color="auto" w:sz="4" w:space="0"/>
                  </w:tcBorders>
                  <w:vAlign w:val="center"/>
                </w:tcPr>
                <w:p w14:paraId="7751FE64">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3</w:t>
                  </w:r>
                  <w:r>
                    <w:rPr>
                      <w:rFonts w:hint="eastAsia" w:eastAsia="宋体"/>
                      <w:color w:val="auto"/>
                      <w:kern w:val="2"/>
                      <w:sz w:val="18"/>
                      <w:szCs w:val="18"/>
                      <w:lang w:val="en-US" w:eastAsia="zh-CN"/>
                    </w:rPr>
                    <w:t>0</w:t>
                  </w:r>
                  <w:r>
                    <w:rPr>
                      <w:rFonts w:eastAsia="宋体"/>
                      <w:color w:val="auto"/>
                      <w:kern w:val="2"/>
                      <w:sz w:val="18"/>
                      <w:szCs w:val="18"/>
                    </w:rPr>
                    <w:t>µg/m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6" w:space="0"/>
                    <w:right w:val="single" w:color="auto" w:sz="6" w:space="0"/>
                  </w:tcBorders>
                  <w:vAlign w:val="center"/>
                </w:tcPr>
                <w:p w14:paraId="5C744877">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lang w:val="en-US" w:eastAsia="zh-CN"/>
                    </w:rPr>
                    <w:t>73.3</w:t>
                  </w:r>
                  <w:r>
                    <w:rPr>
                      <w:rFonts w:eastAsia="宋体"/>
                      <w:color w:val="auto"/>
                      <w:kern w:val="2"/>
                      <w:sz w:val="18"/>
                      <w:szCs w:val="18"/>
                    </w:rPr>
                    <w:t>%</w:t>
                  </w:r>
                </w:p>
              </w:tc>
              <w:tc>
                <w:tcPr>
                  <w:tcW w:w="654" w:type="dxa"/>
                  <w:tcBorders>
                    <w:top w:val="single" w:color="auto" w:sz="6" w:space="0"/>
                    <w:left w:val="single" w:color="auto" w:sz="6" w:space="0"/>
                    <w:bottom w:val="single" w:color="auto" w:sz="6" w:space="0"/>
                    <w:right w:val="single" w:color="auto" w:sz="12" w:space="0"/>
                  </w:tcBorders>
                  <w:vAlign w:val="center"/>
                </w:tcPr>
                <w:p w14:paraId="4839879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tc>
            </w:tr>
            <w:tr w14:paraId="7BF297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continue"/>
                  <w:tcBorders>
                    <w:top w:val="single" w:color="auto" w:sz="6" w:space="0"/>
                    <w:left w:val="single" w:color="auto" w:sz="12" w:space="0"/>
                    <w:bottom w:val="single" w:color="auto" w:sz="12" w:space="0"/>
                    <w:right w:val="single" w:color="auto" w:sz="6" w:space="0"/>
                  </w:tcBorders>
                  <w:vAlign w:val="center"/>
                </w:tcPr>
                <w:p w14:paraId="42FEF04A">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p>
              </w:tc>
              <w:tc>
                <w:tcPr>
                  <w:tcW w:w="704" w:type="dxa"/>
                  <w:tcBorders>
                    <w:top w:val="single" w:color="auto" w:sz="6" w:space="0"/>
                    <w:left w:val="single" w:color="auto" w:sz="6" w:space="0"/>
                    <w:bottom w:val="single" w:color="auto" w:sz="6" w:space="0"/>
                    <w:right w:val="single" w:color="auto" w:sz="6" w:space="0"/>
                  </w:tcBorders>
                  <w:vAlign w:val="center"/>
                </w:tcPr>
                <w:p w14:paraId="03D038DF">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CO</w:t>
                  </w:r>
                </w:p>
              </w:tc>
              <w:tc>
                <w:tcPr>
                  <w:tcW w:w="865" w:type="dxa"/>
                  <w:tcBorders>
                    <w:top w:val="single" w:color="auto" w:sz="4" w:space="0"/>
                    <w:left w:val="single" w:color="auto" w:sz="6" w:space="0"/>
                    <w:bottom w:val="single" w:color="auto" w:sz="6" w:space="0"/>
                    <w:right w:val="single" w:color="auto" w:sz="6" w:space="0"/>
                  </w:tcBorders>
                  <w:vAlign w:val="center"/>
                </w:tcPr>
                <w:p w14:paraId="16A25245">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r>
                    <w:rPr>
                      <w:rFonts w:hint="eastAsia"/>
                      <w:color w:val="auto"/>
                      <w:sz w:val="18"/>
                      <w:szCs w:val="18"/>
                    </w:rPr>
                    <w:t>24小时平均</w:t>
                  </w:r>
                </w:p>
              </w:tc>
              <w:tc>
                <w:tcPr>
                  <w:tcW w:w="969" w:type="dxa"/>
                  <w:tcBorders>
                    <w:top w:val="single" w:color="auto" w:sz="6" w:space="0"/>
                    <w:left w:val="single" w:color="auto" w:sz="6" w:space="0"/>
                    <w:bottom w:val="single" w:color="auto" w:sz="6" w:space="0"/>
                    <w:right w:val="single" w:color="auto" w:sz="6" w:space="0"/>
                  </w:tcBorders>
                  <w:vAlign w:val="center"/>
                </w:tcPr>
                <w:p w14:paraId="1AF15EFB">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lang w:val="en-US" w:eastAsia="zh-CN"/>
                    </w:rPr>
                    <w:t>1.2</w:t>
                  </w:r>
                  <w:r>
                    <w:rPr>
                      <w:rFonts w:eastAsia="宋体"/>
                      <w:color w:val="auto"/>
                      <w:kern w:val="2"/>
                      <w:sz w:val="18"/>
                      <w:szCs w:val="18"/>
                    </w:rPr>
                    <w:t>mg/m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6" w:space="0"/>
                    <w:right w:val="single" w:color="auto" w:sz="4" w:space="0"/>
                  </w:tcBorders>
                  <w:vAlign w:val="center"/>
                </w:tcPr>
                <w:p w14:paraId="3CC62DB3">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4.0mg/m</w:t>
                  </w:r>
                  <w:r>
                    <w:rPr>
                      <w:rFonts w:eastAsia="宋体"/>
                      <w:color w:val="auto"/>
                      <w:kern w:val="2"/>
                      <w:sz w:val="18"/>
                      <w:szCs w:val="18"/>
                      <w:vertAlign w:val="superscript"/>
                    </w:rPr>
                    <w:t>3</w:t>
                  </w:r>
                </w:p>
              </w:tc>
              <w:tc>
                <w:tcPr>
                  <w:tcW w:w="739" w:type="dxa"/>
                  <w:tcBorders>
                    <w:top w:val="single" w:color="auto" w:sz="6" w:space="0"/>
                    <w:left w:val="single" w:color="auto" w:sz="4" w:space="0"/>
                    <w:bottom w:val="single" w:color="auto" w:sz="6" w:space="0"/>
                    <w:right w:val="single" w:color="auto" w:sz="4" w:space="0"/>
                  </w:tcBorders>
                  <w:shd w:val="clear" w:color="auto" w:fill="auto"/>
                  <w:vAlign w:val="center"/>
                </w:tcPr>
                <w:p w14:paraId="3416867A">
                  <w:pPr>
                    <w:pStyle w:val="220"/>
                    <w:keepNext w:val="0"/>
                    <w:keepLines w:val="0"/>
                    <w:pageBreakBefore w:val="0"/>
                    <w:widowControl/>
                    <w:kinsoku/>
                    <w:wordWrap/>
                    <w:overflowPunct/>
                    <w:topLinePunct w:val="0"/>
                    <w:autoSpaceDE/>
                    <w:autoSpaceDN/>
                    <w:bidi w:val="0"/>
                    <w:adjustRightInd/>
                    <w:spacing w:line="240" w:lineRule="exact"/>
                    <w:textAlignment w:val="auto"/>
                    <w:rPr>
                      <w:rFonts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30.0</w:t>
                  </w:r>
                  <w:r>
                    <w:rPr>
                      <w:rFonts w:eastAsia="宋体"/>
                      <w:color w:val="auto"/>
                      <w:kern w:val="2"/>
                      <w:sz w:val="18"/>
                      <w:szCs w:val="18"/>
                    </w:rPr>
                    <w:t>%</w:t>
                  </w:r>
                </w:p>
              </w:tc>
              <w:tc>
                <w:tcPr>
                  <w:tcW w:w="787" w:type="dxa"/>
                  <w:tcBorders>
                    <w:top w:val="single" w:color="auto" w:sz="6" w:space="0"/>
                    <w:left w:val="single" w:color="auto" w:sz="4" w:space="0"/>
                    <w:bottom w:val="single" w:color="auto" w:sz="6" w:space="0"/>
                    <w:right w:val="single" w:color="auto" w:sz="6" w:space="0"/>
                  </w:tcBorders>
                  <w:shd w:val="clear" w:color="auto" w:fill="auto"/>
                  <w:vAlign w:val="center"/>
                </w:tcPr>
                <w:p w14:paraId="3346F2A7">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eastAsia="宋体"/>
                      <w:color w:val="auto"/>
                      <w:kern w:val="2"/>
                      <w:sz w:val="18"/>
                      <w:szCs w:val="18"/>
                    </w:rPr>
                    <w:t>达标</w:t>
                  </w:r>
                </w:p>
              </w:tc>
              <w:tc>
                <w:tcPr>
                  <w:tcW w:w="928" w:type="dxa"/>
                  <w:tcBorders>
                    <w:top w:val="single" w:color="auto" w:sz="6" w:space="0"/>
                    <w:left w:val="single" w:color="auto" w:sz="6" w:space="0"/>
                    <w:bottom w:val="single" w:color="auto" w:sz="6" w:space="0"/>
                    <w:right w:val="single" w:color="auto" w:sz="4" w:space="0"/>
                  </w:tcBorders>
                  <w:vAlign w:val="center"/>
                </w:tcPr>
                <w:p w14:paraId="696B5EA8">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4.0mg/m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6" w:space="0"/>
                    <w:right w:val="single" w:color="auto" w:sz="6" w:space="0"/>
                  </w:tcBorders>
                  <w:vAlign w:val="center"/>
                </w:tcPr>
                <w:p w14:paraId="0AA95D0A">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lang w:val="en-US" w:eastAsia="zh-CN"/>
                    </w:rPr>
                    <w:t>30.0</w:t>
                  </w:r>
                  <w:r>
                    <w:rPr>
                      <w:rFonts w:eastAsia="宋体"/>
                      <w:color w:val="auto"/>
                      <w:kern w:val="2"/>
                      <w:sz w:val="18"/>
                      <w:szCs w:val="18"/>
                    </w:rPr>
                    <w:t>%</w:t>
                  </w:r>
                </w:p>
              </w:tc>
              <w:tc>
                <w:tcPr>
                  <w:tcW w:w="654" w:type="dxa"/>
                  <w:tcBorders>
                    <w:top w:val="single" w:color="auto" w:sz="6" w:space="0"/>
                    <w:left w:val="single" w:color="auto" w:sz="6" w:space="0"/>
                    <w:bottom w:val="single" w:color="auto" w:sz="6" w:space="0"/>
                    <w:right w:val="single" w:color="auto" w:sz="12" w:space="0"/>
                  </w:tcBorders>
                  <w:vAlign w:val="center"/>
                </w:tcPr>
                <w:p w14:paraId="0BB5A350">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达标</w:t>
                  </w:r>
                </w:p>
              </w:tc>
            </w:tr>
            <w:tr w14:paraId="6707FE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59" w:type="dxa"/>
                  <w:vMerge w:val="continue"/>
                  <w:tcBorders>
                    <w:top w:val="single" w:color="auto" w:sz="6" w:space="0"/>
                    <w:left w:val="single" w:color="auto" w:sz="12" w:space="0"/>
                    <w:bottom w:val="single" w:color="auto" w:sz="12" w:space="0"/>
                    <w:right w:val="single" w:color="auto" w:sz="6" w:space="0"/>
                  </w:tcBorders>
                  <w:vAlign w:val="center"/>
                </w:tcPr>
                <w:p w14:paraId="2B29AE2E">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p>
              </w:tc>
              <w:tc>
                <w:tcPr>
                  <w:tcW w:w="704" w:type="dxa"/>
                  <w:tcBorders>
                    <w:top w:val="single" w:color="auto" w:sz="6" w:space="0"/>
                    <w:left w:val="single" w:color="auto" w:sz="6" w:space="0"/>
                    <w:bottom w:val="single" w:color="auto" w:sz="12" w:space="0"/>
                    <w:right w:val="single" w:color="auto" w:sz="6" w:space="0"/>
                  </w:tcBorders>
                  <w:vAlign w:val="center"/>
                </w:tcPr>
                <w:p w14:paraId="1A012A41">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O</w:t>
                  </w:r>
                  <w:r>
                    <w:rPr>
                      <w:rFonts w:eastAsia="宋体"/>
                      <w:color w:val="auto"/>
                      <w:kern w:val="2"/>
                      <w:sz w:val="18"/>
                      <w:szCs w:val="18"/>
                      <w:vertAlign w:val="subscript"/>
                    </w:rPr>
                    <w:t>3</w:t>
                  </w:r>
                </w:p>
              </w:tc>
              <w:tc>
                <w:tcPr>
                  <w:tcW w:w="865" w:type="dxa"/>
                  <w:tcBorders>
                    <w:top w:val="single" w:color="auto" w:sz="6" w:space="0"/>
                    <w:left w:val="single" w:color="auto" w:sz="6" w:space="0"/>
                    <w:bottom w:val="single" w:color="auto" w:sz="12" w:space="0"/>
                    <w:right w:val="single" w:color="auto" w:sz="6" w:space="0"/>
                  </w:tcBorders>
                  <w:vAlign w:val="center"/>
                </w:tcPr>
                <w:p w14:paraId="23B22920">
                  <w:pPr>
                    <w:keepNext w:val="0"/>
                    <w:keepLines w:val="0"/>
                    <w:pageBreakBefore w:val="0"/>
                    <w:widowControl/>
                    <w:kinsoku/>
                    <w:wordWrap/>
                    <w:overflowPunct/>
                    <w:topLinePunct w:val="0"/>
                    <w:autoSpaceDE/>
                    <w:autoSpaceDN/>
                    <w:bidi w:val="0"/>
                    <w:adjustRightInd/>
                    <w:spacing w:line="240" w:lineRule="exact"/>
                    <w:jc w:val="center"/>
                    <w:textAlignment w:val="auto"/>
                    <w:rPr>
                      <w:color w:val="auto"/>
                      <w:sz w:val="18"/>
                      <w:szCs w:val="18"/>
                    </w:rPr>
                  </w:pPr>
                  <w:r>
                    <w:rPr>
                      <w:rFonts w:hint="eastAsia"/>
                      <w:color w:val="auto"/>
                      <w:sz w:val="18"/>
                      <w:szCs w:val="18"/>
                    </w:rPr>
                    <w:t>日最大8h平均</w:t>
                  </w:r>
                </w:p>
              </w:tc>
              <w:tc>
                <w:tcPr>
                  <w:tcW w:w="969" w:type="dxa"/>
                  <w:tcBorders>
                    <w:top w:val="single" w:color="auto" w:sz="6" w:space="0"/>
                    <w:left w:val="single" w:color="auto" w:sz="6" w:space="0"/>
                    <w:bottom w:val="single" w:color="auto" w:sz="12" w:space="0"/>
                    <w:right w:val="single" w:color="auto" w:sz="6" w:space="0"/>
                  </w:tcBorders>
                  <w:vAlign w:val="center"/>
                </w:tcPr>
                <w:p w14:paraId="38AF23C6">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rPr>
                    <w:t>1</w:t>
                  </w:r>
                  <w:r>
                    <w:rPr>
                      <w:rFonts w:hint="eastAsia" w:eastAsia="宋体"/>
                      <w:color w:val="auto"/>
                      <w:kern w:val="2"/>
                      <w:sz w:val="18"/>
                      <w:szCs w:val="18"/>
                      <w:lang w:val="en-US" w:eastAsia="zh-CN"/>
                    </w:rPr>
                    <w:t>40</w:t>
                  </w:r>
                  <w:r>
                    <w:rPr>
                      <w:rFonts w:eastAsia="宋体"/>
                      <w:color w:val="auto"/>
                      <w:kern w:val="2"/>
                      <w:sz w:val="18"/>
                      <w:szCs w:val="18"/>
                    </w:rPr>
                    <w:t>µg/m</w:t>
                  </w:r>
                  <w:r>
                    <w:rPr>
                      <w:rFonts w:eastAsia="宋体"/>
                      <w:color w:val="auto"/>
                      <w:kern w:val="2"/>
                      <w:sz w:val="18"/>
                      <w:szCs w:val="18"/>
                      <w:vertAlign w:val="superscript"/>
                    </w:rPr>
                    <w:t>3</w:t>
                  </w:r>
                </w:p>
              </w:tc>
              <w:tc>
                <w:tcPr>
                  <w:tcW w:w="923" w:type="dxa"/>
                  <w:tcBorders>
                    <w:top w:val="single" w:color="auto" w:sz="6" w:space="0"/>
                    <w:left w:val="single" w:color="auto" w:sz="6" w:space="0"/>
                    <w:bottom w:val="single" w:color="auto" w:sz="12" w:space="0"/>
                    <w:right w:val="single" w:color="auto" w:sz="4" w:space="0"/>
                  </w:tcBorders>
                  <w:vAlign w:val="center"/>
                </w:tcPr>
                <w:p w14:paraId="2370ADA8">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spacing w:val="-6"/>
                      <w:kern w:val="2"/>
                      <w:sz w:val="18"/>
                      <w:szCs w:val="18"/>
                    </w:rPr>
                    <w:t>160µg/m</w:t>
                  </w:r>
                  <w:r>
                    <w:rPr>
                      <w:rFonts w:eastAsia="宋体"/>
                      <w:color w:val="auto"/>
                      <w:spacing w:val="-6"/>
                      <w:kern w:val="2"/>
                      <w:sz w:val="18"/>
                      <w:szCs w:val="18"/>
                      <w:vertAlign w:val="superscript"/>
                    </w:rPr>
                    <w:t>3</w:t>
                  </w:r>
                </w:p>
              </w:tc>
              <w:tc>
                <w:tcPr>
                  <w:tcW w:w="739" w:type="dxa"/>
                  <w:tcBorders>
                    <w:top w:val="single" w:color="auto" w:sz="6" w:space="0"/>
                    <w:left w:val="single" w:color="auto" w:sz="4" w:space="0"/>
                    <w:bottom w:val="single" w:color="auto" w:sz="12" w:space="0"/>
                    <w:right w:val="single" w:color="auto" w:sz="4" w:space="0"/>
                  </w:tcBorders>
                  <w:shd w:val="clear" w:color="auto" w:fill="auto"/>
                  <w:vAlign w:val="center"/>
                </w:tcPr>
                <w:p w14:paraId="23B80BBE">
                  <w:pPr>
                    <w:pStyle w:val="220"/>
                    <w:keepNext w:val="0"/>
                    <w:keepLines w:val="0"/>
                    <w:pageBreakBefore w:val="0"/>
                    <w:widowControl/>
                    <w:kinsoku/>
                    <w:wordWrap/>
                    <w:overflowPunct/>
                    <w:topLinePunct w:val="0"/>
                    <w:autoSpaceDE/>
                    <w:autoSpaceDN/>
                    <w:bidi w:val="0"/>
                    <w:adjustRightInd/>
                    <w:spacing w:line="240" w:lineRule="exact"/>
                    <w:textAlignment w:val="auto"/>
                    <w:rPr>
                      <w:rFonts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87.5</w:t>
                  </w:r>
                  <w:r>
                    <w:rPr>
                      <w:rFonts w:eastAsia="宋体"/>
                      <w:color w:val="auto"/>
                      <w:kern w:val="2"/>
                      <w:sz w:val="18"/>
                      <w:szCs w:val="18"/>
                    </w:rPr>
                    <w:t>%</w:t>
                  </w:r>
                </w:p>
              </w:tc>
              <w:tc>
                <w:tcPr>
                  <w:tcW w:w="787" w:type="dxa"/>
                  <w:tcBorders>
                    <w:top w:val="single" w:color="auto" w:sz="6" w:space="0"/>
                    <w:left w:val="single" w:color="auto" w:sz="4" w:space="0"/>
                    <w:bottom w:val="single" w:color="auto" w:sz="12" w:space="0"/>
                    <w:right w:val="single" w:color="auto" w:sz="6" w:space="0"/>
                  </w:tcBorders>
                  <w:shd w:val="clear" w:color="auto" w:fill="auto"/>
                  <w:vAlign w:val="center"/>
                </w:tcPr>
                <w:p w14:paraId="62E32FDC">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rPr>
                    <w:t>达</w:t>
                  </w:r>
                  <w:r>
                    <w:rPr>
                      <w:rFonts w:eastAsia="宋体"/>
                      <w:color w:val="auto"/>
                      <w:kern w:val="2"/>
                      <w:sz w:val="18"/>
                      <w:szCs w:val="18"/>
                    </w:rPr>
                    <w:t>标</w:t>
                  </w:r>
                </w:p>
              </w:tc>
              <w:tc>
                <w:tcPr>
                  <w:tcW w:w="928" w:type="dxa"/>
                  <w:tcBorders>
                    <w:top w:val="single" w:color="auto" w:sz="6" w:space="0"/>
                    <w:left w:val="single" w:color="auto" w:sz="6" w:space="0"/>
                    <w:bottom w:val="single" w:color="auto" w:sz="12" w:space="0"/>
                    <w:right w:val="single" w:color="auto" w:sz="4" w:space="0"/>
                  </w:tcBorders>
                  <w:vAlign w:val="center"/>
                </w:tcPr>
                <w:p w14:paraId="235CA35E">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eastAsia="宋体"/>
                      <w:color w:val="auto"/>
                      <w:kern w:val="2"/>
                      <w:sz w:val="18"/>
                      <w:szCs w:val="18"/>
                    </w:rPr>
                    <w:t>160µg/m</w:t>
                  </w:r>
                  <w:r>
                    <w:rPr>
                      <w:rFonts w:eastAsia="宋体"/>
                      <w:color w:val="auto"/>
                      <w:kern w:val="2"/>
                      <w:sz w:val="18"/>
                      <w:szCs w:val="18"/>
                      <w:vertAlign w:val="superscript"/>
                    </w:rPr>
                    <w:t>3</w:t>
                  </w:r>
                </w:p>
              </w:tc>
              <w:tc>
                <w:tcPr>
                  <w:tcW w:w="716" w:type="dxa"/>
                  <w:tcBorders>
                    <w:top w:val="single" w:color="auto" w:sz="6" w:space="0"/>
                    <w:left w:val="single" w:color="auto" w:sz="4" w:space="0"/>
                    <w:bottom w:val="single" w:color="auto" w:sz="12" w:space="0"/>
                    <w:right w:val="single" w:color="auto" w:sz="6" w:space="0"/>
                  </w:tcBorders>
                  <w:vAlign w:val="center"/>
                </w:tcPr>
                <w:p w14:paraId="47D1428C">
                  <w:pPr>
                    <w:pStyle w:val="220"/>
                    <w:keepNext w:val="0"/>
                    <w:keepLines w:val="0"/>
                    <w:pageBreakBefore w:val="0"/>
                    <w:widowControl/>
                    <w:kinsoku/>
                    <w:wordWrap/>
                    <w:overflowPunct/>
                    <w:topLinePunct w:val="0"/>
                    <w:autoSpaceDE/>
                    <w:autoSpaceDN/>
                    <w:bidi w:val="0"/>
                    <w:adjustRightInd/>
                    <w:spacing w:line="240" w:lineRule="exact"/>
                    <w:textAlignment w:val="auto"/>
                    <w:rPr>
                      <w:rFonts w:hint="eastAsia" w:eastAsia="宋体"/>
                      <w:color w:val="auto"/>
                      <w:kern w:val="2"/>
                      <w:sz w:val="18"/>
                      <w:szCs w:val="18"/>
                      <w:lang w:val="en-US" w:eastAsia="zh-CN"/>
                    </w:rPr>
                  </w:pPr>
                  <w:r>
                    <w:rPr>
                      <w:rFonts w:hint="eastAsia" w:eastAsia="宋体"/>
                      <w:color w:val="auto"/>
                      <w:kern w:val="2"/>
                      <w:sz w:val="18"/>
                      <w:szCs w:val="18"/>
                      <w:lang w:val="en-US" w:eastAsia="zh-CN"/>
                    </w:rPr>
                    <w:t>87.5</w:t>
                  </w:r>
                  <w:r>
                    <w:rPr>
                      <w:rFonts w:eastAsia="宋体"/>
                      <w:color w:val="auto"/>
                      <w:kern w:val="2"/>
                      <w:sz w:val="18"/>
                      <w:szCs w:val="18"/>
                    </w:rPr>
                    <w:t>%</w:t>
                  </w:r>
                </w:p>
              </w:tc>
              <w:tc>
                <w:tcPr>
                  <w:tcW w:w="654" w:type="dxa"/>
                  <w:tcBorders>
                    <w:top w:val="single" w:color="auto" w:sz="6" w:space="0"/>
                    <w:left w:val="single" w:color="auto" w:sz="6" w:space="0"/>
                    <w:bottom w:val="single" w:color="auto" w:sz="12" w:space="0"/>
                    <w:right w:val="single" w:color="auto" w:sz="12" w:space="0"/>
                  </w:tcBorders>
                  <w:vAlign w:val="center"/>
                </w:tcPr>
                <w:p w14:paraId="37FF2B57">
                  <w:pPr>
                    <w:pStyle w:val="220"/>
                    <w:keepNext w:val="0"/>
                    <w:keepLines w:val="0"/>
                    <w:pageBreakBefore w:val="0"/>
                    <w:widowControl/>
                    <w:kinsoku/>
                    <w:wordWrap/>
                    <w:overflowPunct/>
                    <w:topLinePunct w:val="0"/>
                    <w:autoSpaceDE/>
                    <w:autoSpaceDN/>
                    <w:bidi w:val="0"/>
                    <w:adjustRightInd/>
                    <w:spacing w:line="240" w:lineRule="exact"/>
                    <w:textAlignment w:val="auto"/>
                    <w:rPr>
                      <w:rFonts w:eastAsia="宋体"/>
                      <w:color w:val="auto"/>
                      <w:kern w:val="2"/>
                      <w:sz w:val="18"/>
                      <w:szCs w:val="18"/>
                    </w:rPr>
                  </w:pPr>
                  <w:r>
                    <w:rPr>
                      <w:rFonts w:hint="eastAsia" w:eastAsia="宋体"/>
                      <w:color w:val="auto"/>
                      <w:kern w:val="2"/>
                      <w:sz w:val="18"/>
                      <w:szCs w:val="18"/>
                    </w:rPr>
                    <w:t>达</w:t>
                  </w:r>
                  <w:r>
                    <w:rPr>
                      <w:rFonts w:eastAsia="宋体"/>
                      <w:color w:val="auto"/>
                      <w:kern w:val="2"/>
                      <w:sz w:val="18"/>
                      <w:szCs w:val="18"/>
                    </w:rPr>
                    <w:t>标</w:t>
                  </w:r>
                </w:p>
              </w:tc>
            </w:tr>
          </w:tbl>
          <w:p w14:paraId="48ADB884">
            <w:pPr>
              <w:spacing w:line="360" w:lineRule="auto"/>
              <w:ind w:firstLine="420" w:firstLineChars="200"/>
              <w:rPr>
                <w:rFonts w:hint="eastAsia"/>
                <w:color w:val="auto"/>
                <w:szCs w:val="21"/>
              </w:rPr>
            </w:pPr>
            <w:r>
              <w:rPr>
                <w:color w:val="auto"/>
                <w:szCs w:val="21"/>
              </w:rPr>
              <w:t>由该监测结果数据分析</w:t>
            </w:r>
            <w:r>
              <w:rPr>
                <w:rFonts w:hint="eastAsia"/>
                <w:color w:val="auto"/>
                <w:szCs w:val="21"/>
              </w:rPr>
              <w:t>可知</w:t>
            </w:r>
            <w:r>
              <w:rPr>
                <w:rFonts w:hint="eastAsia"/>
                <w:color w:val="auto"/>
                <w:szCs w:val="21"/>
                <w:lang w:val="zh-CN"/>
              </w:rPr>
              <w:t>污染物</w:t>
            </w:r>
            <w:r>
              <w:rPr>
                <w:color w:val="auto"/>
                <w:szCs w:val="21"/>
              </w:rPr>
              <w:t>SO</w:t>
            </w:r>
            <w:r>
              <w:rPr>
                <w:color w:val="auto"/>
                <w:szCs w:val="21"/>
                <w:vertAlign w:val="subscript"/>
              </w:rPr>
              <w:t>2</w:t>
            </w:r>
            <w:r>
              <w:rPr>
                <w:color w:val="auto"/>
                <w:szCs w:val="21"/>
              </w:rPr>
              <w:t>、NO</w:t>
            </w:r>
            <w:r>
              <w:rPr>
                <w:color w:val="auto"/>
                <w:szCs w:val="21"/>
                <w:vertAlign w:val="subscript"/>
              </w:rPr>
              <w:t>2</w:t>
            </w:r>
            <w:r>
              <w:rPr>
                <w:color w:val="auto"/>
                <w:szCs w:val="21"/>
              </w:rPr>
              <w:t>、PM</w:t>
            </w:r>
            <w:r>
              <w:rPr>
                <w:color w:val="auto"/>
                <w:szCs w:val="21"/>
                <w:vertAlign w:val="subscript"/>
              </w:rPr>
              <w:t>10</w:t>
            </w:r>
            <w:r>
              <w:rPr>
                <w:color w:val="auto"/>
                <w:szCs w:val="21"/>
              </w:rPr>
              <w:t>、PM</w:t>
            </w:r>
            <w:r>
              <w:rPr>
                <w:color w:val="auto"/>
                <w:szCs w:val="21"/>
                <w:vertAlign w:val="subscript"/>
              </w:rPr>
              <w:t>2.5</w:t>
            </w:r>
            <w:r>
              <w:rPr>
                <w:color w:val="auto"/>
                <w:szCs w:val="21"/>
              </w:rPr>
              <w:t>、CO、O</w:t>
            </w:r>
            <w:r>
              <w:rPr>
                <w:color w:val="auto"/>
                <w:szCs w:val="21"/>
                <w:vertAlign w:val="subscript"/>
              </w:rPr>
              <w:t>3</w:t>
            </w:r>
            <w:r>
              <w:rPr>
                <w:rFonts w:hint="eastAsia"/>
                <w:color w:val="auto"/>
                <w:szCs w:val="21"/>
                <w:lang w:val="zh-CN"/>
              </w:rPr>
              <w:t>均未</w:t>
            </w:r>
            <w:r>
              <w:rPr>
                <w:color w:val="auto"/>
                <w:szCs w:val="21"/>
                <w:lang w:val="zh-CN"/>
              </w:rPr>
              <w:t>超标</w:t>
            </w:r>
            <w:r>
              <w:rPr>
                <w:rFonts w:hint="eastAsia"/>
                <w:color w:val="auto"/>
                <w:szCs w:val="21"/>
                <w:lang w:val="zh-CN"/>
              </w:rPr>
              <w:t>，</w:t>
            </w:r>
            <w:r>
              <w:rPr>
                <w:rFonts w:hint="eastAsia"/>
                <w:color w:val="auto"/>
                <w:lang w:val="en-US" w:eastAsia="zh-CN"/>
              </w:rPr>
              <w:t>既满足《环境空气质量标准》（GB3095-2012）中二级标准要求，</w:t>
            </w:r>
            <w:r>
              <w:rPr>
                <w:rFonts w:hint="eastAsia"/>
                <w:color w:val="auto"/>
                <w:szCs w:val="21"/>
                <w:lang w:val="en-US" w:eastAsia="zh-CN"/>
              </w:rPr>
              <w:t>也满足</w:t>
            </w:r>
            <w:r>
              <w:rPr>
                <w:color w:val="auto"/>
                <w:szCs w:val="21"/>
              </w:rPr>
              <w:t>《环境空气质量标准》（GB3095-20</w:t>
            </w:r>
            <w:r>
              <w:rPr>
                <w:rFonts w:hint="eastAsia"/>
                <w:color w:val="auto"/>
                <w:szCs w:val="21"/>
                <w:lang w:val="en-US" w:eastAsia="zh-CN"/>
              </w:rPr>
              <w:t>26</w:t>
            </w:r>
            <w:r>
              <w:rPr>
                <w:color w:val="auto"/>
                <w:szCs w:val="21"/>
              </w:rPr>
              <w:t>）</w:t>
            </w:r>
            <w:r>
              <w:rPr>
                <w:rFonts w:hint="eastAsia"/>
                <w:color w:val="auto"/>
                <w:szCs w:val="21"/>
                <w:lang w:eastAsia="zh-CN"/>
              </w:rPr>
              <w:t>（</w:t>
            </w:r>
            <w:r>
              <w:rPr>
                <w:rFonts w:hint="eastAsia"/>
                <w:color w:val="auto"/>
                <w:szCs w:val="21"/>
                <w:lang w:val="en-US" w:eastAsia="zh-CN"/>
              </w:rPr>
              <w:t>过渡阶段）</w:t>
            </w:r>
            <w:r>
              <w:rPr>
                <w:color w:val="auto"/>
                <w:szCs w:val="21"/>
              </w:rPr>
              <w:t>二级标准限值要求</w:t>
            </w:r>
            <w:r>
              <w:rPr>
                <w:rFonts w:hint="eastAsia"/>
                <w:color w:val="auto"/>
                <w:szCs w:val="21"/>
                <w:lang w:val="zh-CN"/>
              </w:rPr>
              <w:t>，</w:t>
            </w:r>
            <w:r>
              <w:rPr>
                <w:color w:val="auto"/>
                <w:szCs w:val="21"/>
              </w:rPr>
              <w:t>区域</w:t>
            </w:r>
            <w:r>
              <w:rPr>
                <w:rFonts w:hint="eastAsia"/>
                <w:color w:val="auto"/>
                <w:szCs w:val="21"/>
              </w:rPr>
              <w:t>属</w:t>
            </w:r>
            <w:r>
              <w:rPr>
                <w:color w:val="auto"/>
                <w:szCs w:val="21"/>
              </w:rPr>
              <w:t>达标区</w:t>
            </w:r>
            <w:r>
              <w:rPr>
                <w:rFonts w:hint="eastAsia"/>
                <w:color w:val="auto"/>
                <w:szCs w:val="21"/>
              </w:rPr>
              <w:t>。</w:t>
            </w:r>
          </w:p>
          <w:p w14:paraId="16ECFA67">
            <w:pPr>
              <w:spacing w:line="360" w:lineRule="auto"/>
              <w:ind w:firstLine="420" w:firstLineChars="200"/>
              <w:rPr>
                <w:rFonts w:hint="eastAsia"/>
                <w:color w:val="auto"/>
                <w:lang w:val="en-US" w:eastAsia="zh-CN"/>
              </w:rPr>
            </w:pPr>
            <w:r>
              <w:rPr>
                <w:rFonts w:hint="eastAsia"/>
                <w:color w:val="auto"/>
                <w:lang w:val="en-US" w:eastAsia="zh-CN"/>
              </w:rPr>
              <w:t>本项目运营期大气特征污染物为TSP、非甲烷总烃，为了解区域环境空气质量，本建设单位委托内蒙古泽铭技术检测有限公司，对本项目所在区域进行大气环境现状监测，并据此对本项目所在区域大气环境质量进行现状评价。</w:t>
            </w:r>
          </w:p>
          <w:p w14:paraId="453A84DC">
            <w:pPr>
              <w:spacing w:line="360" w:lineRule="auto"/>
              <w:ind w:firstLine="420" w:firstLineChars="200"/>
              <w:rPr>
                <w:rFonts w:hint="eastAsia"/>
                <w:color w:val="auto"/>
                <w:lang w:val="en-US" w:eastAsia="zh-CN"/>
              </w:rPr>
            </w:pPr>
            <w:r>
              <w:rPr>
                <w:rFonts w:hint="eastAsia"/>
                <w:color w:val="auto"/>
                <w:lang w:val="en-US" w:eastAsia="zh-CN"/>
              </w:rPr>
              <w:t>监测时间：2026年8月17日~20日，共3天；</w:t>
            </w:r>
          </w:p>
          <w:p w14:paraId="39EA755A">
            <w:pPr>
              <w:spacing w:line="360" w:lineRule="auto"/>
              <w:ind w:firstLine="420" w:firstLineChars="200"/>
              <w:rPr>
                <w:rFonts w:hint="eastAsia"/>
                <w:color w:val="auto"/>
                <w:lang w:val="en-US" w:eastAsia="zh-CN"/>
              </w:rPr>
            </w:pPr>
            <w:r>
              <w:rPr>
                <w:rFonts w:hint="eastAsia"/>
                <w:color w:val="auto"/>
                <w:lang w:val="en-US" w:eastAsia="zh-CN"/>
              </w:rPr>
              <w:t>监测点位：1#监测点（监测点位位于本项目厂址）；</w:t>
            </w:r>
          </w:p>
          <w:p w14:paraId="669F0FAD">
            <w:pPr>
              <w:spacing w:line="360" w:lineRule="auto"/>
              <w:ind w:firstLine="420" w:firstLineChars="200"/>
              <w:rPr>
                <w:rFonts w:hint="eastAsia"/>
                <w:color w:val="auto"/>
                <w:lang w:val="en-US" w:eastAsia="zh-CN"/>
              </w:rPr>
            </w:pPr>
            <w:r>
              <w:rPr>
                <w:rFonts w:hint="eastAsia"/>
                <w:color w:val="auto"/>
                <w:lang w:val="en-US" w:eastAsia="zh-CN"/>
              </w:rPr>
              <w:t>监测项目：TSP、NMHC；</w:t>
            </w:r>
          </w:p>
          <w:p w14:paraId="27396DD4">
            <w:pPr>
              <w:spacing w:line="240" w:lineRule="exact"/>
              <w:jc w:val="center"/>
              <w:rPr>
                <w:b/>
                <w:color w:val="auto"/>
                <w:sz w:val="18"/>
                <w:szCs w:val="18"/>
              </w:rPr>
            </w:pPr>
            <w:r>
              <w:rPr>
                <w:b/>
                <w:color w:val="auto"/>
                <w:sz w:val="18"/>
                <w:szCs w:val="18"/>
              </w:rPr>
              <w:t>表3</w:t>
            </w:r>
            <w:r>
              <w:rPr>
                <w:rFonts w:hint="eastAsia"/>
                <w:b/>
                <w:color w:val="auto"/>
                <w:sz w:val="18"/>
                <w:szCs w:val="18"/>
                <w:lang w:val="en-US" w:eastAsia="zh-CN"/>
              </w:rPr>
              <w:t>.1</w:t>
            </w:r>
            <w:r>
              <w:rPr>
                <w:b/>
                <w:color w:val="auto"/>
                <w:sz w:val="18"/>
                <w:szCs w:val="18"/>
              </w:rPr>
              <w:t>-</w:t>
            </w:r>
            <w:r>
              <w:rPr>
                <w:rFonts w:hint="eastAsia"/>
                <w:b/>
                <w:color w:val="auto"/>
                <w:sz w:val="18"/>
                <w:szCs w:val="18"/>
                <w:lang w:val="en-US" w:eastAsia="zh-CN"/>
              </w:rPr>
              <w:t>2</w:t>
            </w:r>
            <w:r>
              <w:rPr>
                <w:b/>
                <w:color w:val="auto"/>
                <w:sz w:val="18"/>
                <w:szCs w:val="18"/>
              </w:rPr>
              <w:t xml:space="preserve">    环境空气现状监测结果统计表</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32"/>
              <w:gridCol w:w="757"/>
              <w:gridCol w:w="466"/>
              <w:gridCol w:w="2053"/>
              <w:gridCol w:w="1088"/>
              <w:gridCol w:w="1063"/>
              <w:gridCol w:w="828"/>
              <w:gridCol w:w="699"/>
            </w:tblGrid>
            <w:tr w14:paraId="3FE51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304" w:type="pct"/>
                  <w:tcBorders>
                    <w:tl2br w:val="nil"/>
                    <w:tr2bl w:val="nil"/>
                  </w:tcBorders>
                  <w:vAlign w:val="center"/>
                </w:tcPr>
                <w:p w14:paraId="2D08259E">
                  <w:pPr>
                    <w:pStyle w:val="220"/>
                    <w:spacing w:line="280" w:lineRule="exact"/>
                    <w:rPr>
                      <w:rFonts w:hint="eastAsia" w:eastAsia="宋体"/>
                      <w:color w:val="auto"/>
                      <w:kern w:val="2"/>
                      <w:sz w:val="18"/>
                      <w:szCs w:val="18"/>
                      <w:lang w:eastAsia="zh-CN"/>
                    </w:rPr>
                  </w:pPr>
                  <w:r>
                    <w:rPr>
                      <w:rFonts w:hint="eastAsia" w:eastAsia="宋体"/>
                      <w:color w:val="auto"/>
                      <w:kern w:val="2"/>
                      <w:sz w:val="18"/>
                      <w:szCs w:val="18"/>
                      <w:lang w:val="en-US" w:eastAsia="zh-CN"/>
                    </w:rPr>
                    <w:t>序号</w:t>
                  </w:r>
                </w:p>
              </w:tc>
              <w:tc>
                <w:tcPr>
                  <w:tcW w:w="701" w:type="pct"/>
                  <w:gridSpan w:val="2"/>
                  <w:tcBorders>
                    <w:tl2br w:val="nil"/>
                    <w:tr2bl w:val="nil"/>
                  </w:tcBorders>
                  <w:vAlign w:val="center"/>
                </w:tcPr>
                <w:p w14:paraId="409AB038">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监测点位</w:t>
                  </w:r>
                </w:p>
              </w:tc>
              <w:tc>
                <w:tcPr>
                  <w:tcW w:w="309" w:type="pct"/>
                  <w:tcBorders>
                    <w:tl2br w:val="nil"/>
                    <w:tr2bl w:val="nil"/>
                  </w:tcBorders>
                  <w:vAlign w:val="center"/>
                </w:tcPr>
                <w:p w14:paraId="7B8F9F0A">
                  <w:pPr>
                    <w:pStyle w:val="220"/>
                    <w:spacing w:line="280" w:lineRule="exact"/>
                    <w:rPr>
                      <w:rFonts w:hint="eastAsia" w:eastAsia="宋体"/>
                      <w:color w:val="auto"/>
                      <w:kern w:val="2"/>
                      <w:sz w:val="18"/>
                      <w:szCs w:val="18"/>
                      <w:lang w:val="en-US" w:eastAsia="zh-CN"/>
                    </w:rPr>
                  </w:pPr>
                  <w:r>
                    <w:rPr>
                      <w:rFonts w:hint="eastAsia" w:eastAsia="宋体"/>
                      <w:color w:val="auto"/>
                      <w:kern w:val="2"/>
                      <w:sz w:val="18"/>
                      <w:szCs w:val="18"/>
                      <w:lang w:val="en-US" w:eastAsia="zh-CN"/>
                    </w:rPr>
                    <w:t>样品数</w:t>
                  </w:r>
                </w:p>
              </w:tc>
              <w:tc>
                <w:tcPr>
                  <w:tcW w:w="1307" w:type="pct"/>
                  <w:tcBorders>
                    <w:tl2br w:val="nil"/>
                    <w:tr2bl w:val="nil"/>
                  </w:tcBorders>
                  <w:vAlign w:val="center"/>
                </w:tcPr>
                <w:p w14:paraId="4B3FC427">
                  <w:pPr>
                    <w:pStyle w:val="220"/>
                    <w:spacing w:line="280" w:lineRule="exact"/>
                    <w:rPr>
                      <w:rFonts w:hint="eastAsia" w:eastAsia="宋体"/>
                      <w:color w:val="auto"/>
                      <w:kern w:val="2"/>
                      <w:sz w:val="18"/>
                      <w:szCs w:val="18"/>
                      <w:lang w:val="en-US" w:eastAsia="zh-CN"/>
                    </w:rPr>
                  </w:pPr>
                  <w:r>
                    <w:rPr>
                      <w:rFonts w:hint="eastAsia" w:eastAsia="宋体"/>
                      <w:color w:val="auto"/>
                      <w:kern w:val="2"/>
                      <w:sz w:val="18"/>
                      <w:szCs w:val="18"/>
                      <w:lang w:val="en-US" w:eastAsia="zh-CN"/>
                    </w:rPr>
                    <w:t>日均样平均浓度值范围</w:t>
                  </w:r>
                </w:p>
                <w:p w14:paraId="5EAD73DD">
                  <w:pPr>
                    <w:pStyle w:val="220"/>
                    <w:spacing w:line="280" w:lineRule="exact"/>
                    <w:rPr>
                      <w:rFonts w:hint="eastAsia" w:eastAsia="宋体"/>
                      <w:color w:val="auto"/>
                      <w:kern w:val="2"/>
                      <w:sz w:val="18"/>
                      <w:szCs w:val="18"/>
                      <w:lang w:eastAsia="zh-CN"/>
                    </w:rPr>
                  </w:pPr>
                </w:p>
              </w:tc>
              <w:tc>
                <w:tcPr>
                  <w:tcW w:w="700" w:type="pct"/>
                  <w:tcBorders>
                    <w:tl2br w:val="nil"/>
                    <w:tr2bl w:val="nil"/>
                  </w:tcBorders>
                  <w:vAlign w:val="center"/>
                </w:tcPr>
                <w:p w14:paraId="13D7592E">
                  <w:pPr>
                    <w:pStyle w:val="220"/>
                    <w:spacing w:line="280" w:lineRule="exact"/>
                    <w:rPr>
                      <w:rFonts w:eastAsia="宋体"/>
                      <w:color w:val="auto"/>
                      <w:kern w:val="2"/>
                      <w:sz w:val="18"/>
                      <w:szCs w:val="18"/>
                    </w:rPr>
                  </w:pPr>
                  <w:r>
                    <w:rPr>
                      <w:rFonts w:eastAsia="宋体"/>
                      <w:color w:val="auto"/>
                      <w:kern w:val="2"/>
                      <w:sz w:val="18"/>
                      <w:szCs w:val="18"/>
                    </w:rPr>
                    <w:t>标准值</w:t>
                  </w:r>
                </w:p>
              </w:tc>
              <w:tc>
                <w:tcPr>
                  <w:tcW w:w="684" w:type="pct"/>
                  <w:tcBorders>
                    <w:tl2br w:val="nil"/>
                    <w:tr2bl w:val="nil"/>
                  </w:tcBorders>
                  <w:vAlign w:val="center"/>
                </w:tcPr>
                <w:p w14:paraId="3F7A19DD">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最大浓度占标率%</w:t>
                  </w:r>
                </w:p>
              </w:tc>
              <w:tc>
                <w:tcPr>
                  <w:tcW w:w="536" w:type="pct"/>
                  <w:tcBorders>
                    <w:tl2br w:val="nil"/>
                    <w:tr2bl w:val="nil"/>
                  </w:tcBorders>
                  <w:vAlign w:val="center"/>
                </w:tcPr>
                <w:p w14:paraId="533EDF70">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超标率%</w:t>
                  </w:r>
                </w:p>
              </w:tc>
              <w:tc>
                <w:tcPr>
                  <w:tcW w:w="455" w:type="pct"/>
                  <w:tcBorders>
                    <w:tl2br w:val="nil"/>
                    <w:tr2bl w:val="nil"/>
                  </w:tcBorders>
                  <w:vAlign w:val="center"/>
                </w:tcPr>
                <w:p w14:paraId="2F7BAD62">
                  <w:pPr>
                    <w:pStyle w:val="220"/>
                    <w:spacing w:line="280" w:lineRule="exact"/>
                    <w:rPr>
                      <w:rFonts w:eastAsia="宋体"/>
                      <w:color w:val="auto"/>
                      <w:kern w:val="2"/>
                      <w:sz w:val="18"/>
                      <w:szCs w:val="18"/>
                    </w:rPr>
                  </w:pPr>
                  <w:r>
                    <w:rPr>
                      <w:rFonts w:hint="eastAsia" w:eastAsia="宋体"/>
                      <w:color w:val="auto"/>
                      <w:kern w:val="2"/>
                      <w:sz w:val="18"/>
                      <w:szCs w:val="18"/>
                      <w:lang w:val="en-US" w:eastAsia="zh-CN"/>
                    </w:rPr>
                    <w:t>最大超标倍数</w:t>
                  </w:r>
                </w:p>
              </w:tc>
            </w:tr>
            <w:tr w14:paraId="15A8D5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304" w:type="pct"/>
                  <w:tcBorders>
                    <w:tl2br w:val="nil"/>
                    <w:tr2bl w:val="nil"/>
                  </w:tcBorders>
                  <w:vAlign w:val="center"/>
                </w:tcPr>
                <w:p w14:paraId="35258A24">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1</w:t>
                  </w:r>
                </w:p>
              </w:tc>
              <w:tc>
                <w:tcPr>
                  <w:tcW w:w="350" w:type="pct"/>
                  <w:vMerge w:val="restart"/>
                  <w:tcBorders>
                    <w:tl2br w:val="nil"/>
                    <w:tr2bl w:val="nil"/>
                  </w:tcBorders>
                  <w:vAlign w:val="center"/>
                </w:tcPr>
                <w:p w14:paraId="6B11118E">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1#监测点</w:t>
                  </w:r>
                </w:p>
              </w:tc>
              <w:tc>
                <w:tcPr>
                  <w:tcW w:w="351" w:type="pct"/>
                  <w:tcBorders>
                    <w:tl2br w:val="nil"/>
                    <w:tr2bl w:val="nil"/>
                  </w:tcBorders>
                  <w:vAlign w:val="center"/>
                </w:tcPr>
                <w:p w14:paraId="6107CA1F">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TSP</w:t>
                  </w:r>
                </w:p>
              </w:tc>
              <w:tc>
                <w:tcPr>
                  <w:tcW w:w="309" w:type="pct"/>
                  <w:tcBorders>
                    <w:tl2br w:val="nil"/>
                    <w:tr2bl w:val="nil"/>
                  </w:tcBorders>
                  <w:vAlign w:val="center"/>
                </w:tcPr>
                <w:p w14:paraId="15B1D9F0">
                  <w:pPr>
                    <w:pStyle w:val="220"/>
                    <w:spacing w:line="280" w:lineRule="exact"/>
                    <w:rPr>
                      <w:rFonts w:hint="default"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12</w:t>
                  </w:r>
                </w:p>
              </w:tc>
              <w:tc>
                <w:tcPr>
                  <w:tcW w:w="1307" w:type="pct"/>
                  <w:tcBorders>
                    <w:tl2br w:val="nil"/>
                    <w:tr2bl w:val="nil"/>
                  </w:tcBorders>
                  <w:vAlign w:val="center"/>
                </w:tcPr>
                <w:p w14:paraId="503E8CBF">
                  <w:pPr>
                    <w:pStyle w:val="220"/>
                    <w:spacing w:line="280" w:lineRule="exact"/>
                    <w:rPr>
                      <w:rFonts w:hint="default" w:ascii="Times New Roman" w:hAnsi="Times New Roman" w:eastAsia="宋体" w:cs="Times New Roman"/>
                      <w:color w:val="auto"/>
                      <w:kern w:val="2"/>
                      <w:sz w:val="18"/>
                      <w:szCs w:val="18"/>
                      <w:lang w:val="en-US" w:eastAsia="zh-CN" w:bidi="ar-SA"/>
                    </w:rPr>
                  </w:pPr>
                  <w:r>
                    <w:rPr>
                      <w:rFonts w:hint="eastAsia" w:eastAsia="宋体"/>
                      <w:color w:val="auto"/>
                      <w:kern w:val="2"/>
                      <w:sz w:val="18"/>
                      <w:szCs w:val="18"/>
                      <w:lang w:val="en-US" w:eastAsia="zh-CN"/>
                    </w:rPr>
                    <w:t>106~109</w:t>
                  </w:r>
                  <w:r>
                    <w:rPr>
                      <w:rFonts w:eastAsia="宋体"/>
                      <w:color w:val="auto"/>
                      <w:kern w:val="2"/>
                      <w:sz w:val="18"/>
                      <w:szCs w:val="18"/>
                    </w:rPr>
                    <w:t>g/m</w:t>
                  </w:r>
                  <w:r>
                    <w:rPr>
                      <w:rFonts w:eastAsia="宋体"/>
                      <w:color w:val="auto"/>
                      <w:kern w:val="2"/>
                      <w:sz w:val="18"/>
                      <w:szCs w:val="18"/>
                      <w:vertAlign w:val="superscript"/>
                    </w:rPr>
                    <w:t>3</w:t>
                  </w:r>
                </w:p>
              </w:tc>
              <w:tc>
                <w:tcPr>
                  <w:tcW w:w="700" w:type="pct"/>
                  <w:tcBorders>
                    <w:tl2br w:val="nil"/>
                    <w:tr2bl w:val="nil"/>
                  </w:tcBorders>
                  <w:vAlign w:val="center"/>
                </w:tcPr>
                <w:p w14:paraId="42162195">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300μ</w:t>
                  </w:r>
                  <w:r>
                    <w:rPr>
                      <w:rFonts w:eastAsia="宋体"/>
                      <w:color w:val="auto"/>
                      <w:kern w:val="2"/>
                      <w:sz w:val="18"/>
                      <w:szCs w:val="18"/>
                    </w:rPr>
                    <w:t>g/m</w:t>
                  </w:r>
                  <w:r>
                    <w:rPr>
                      <w:rFonts w:eastAsia="宋体"/>
                      <w:color w:val="auto"/>
                      <w:kern w:val="2"/>
                      <w:sz w:val="18"/>
                      <w:szCs w:val="18"/>
                      <w:vertAlign w:val="superscript"/>
                    </w:rPr>
                    <w:t>3</w:t>
                  </w:r>
                </w:p>
              </w:tc>
              <w:tc>
                <w:tcPr>
                  <w:tcW w:w="684" w:type="pct"/>
                  <w:tcBorders>
                    <w:tl2br w:val="nil"/>
                    <w:tr2bl w:val="nil"/>
                  </w:tcBorders>
                  <w:vAlign w:val="center"/>
                </w:tcPr>
                <w:p w14:paraId="3146F381">
                  <w:pPr>
                    <w:pStyle w:val="220"/>
                    <w:spacing w:line="280" w:lineRule="exact"/>
                    <w:rPr>
                      <w:rFonts w:hint="default" w:ascii="Times New Roman" w:hAnsi="Times New Roman"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36.3</w:t>
                  </w:r>
                </w:p>
              </w:tc>
              <w:tc>
                <w:tcPr>
                  <w:tcW w:w="536" w:type="pct"/>
                  <w:tcBorders>
                    <w:tl2br w:val="nil"/>
                    <w:tr2bl w:val="nil"/>
                  </w:tcBorders>
                  <w:vAlign w:val="center"/>
                </w:tcPr>
                <w:p w14:paraId="5CC7EB36">
                  <w:pPr>
                    <w:pStyle w:val="220"/>
                    <w:spacing w:line="280" w:lineRule="exact"/>
                    <w:rPr>
                      <w:rFonts w:hint="default" w:ascii="Times New Roman" w:hAnsi="Times New Roman"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0</w:t>
                  </w:r>
                </w:p>
              </w:tc>
              <w:tc>
                <w:tcPr>
                  <w:tcW w:w="455" w:type="pct"/>
                  <w:tcBorders>
                    <w:tl2br w:val="nil"/>
                    <w:tr2bl w:val="nil"/>
                  </w:tcBorders>
                  <w:vAlign w:val="center"/>
                </w:tcPr>
                <w:p w14:paraId="68883B4B">
                  <w:pPr>
                    <w:pStyle w:val="220"/>
                    <w:spacing w:line="280" w:lineRule="exact"/>
                    <w:rPr>
                      <w:rFonts w:hint="default" w:ascii="Times New Roman" w:hAnsi="Times New Roman"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0</w:t>
                  </w:r>
                </w:p>
              </w:tc>
            </w:tr>
            <w:tr w14:paraId="667F4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304" w:type="pct"/>
                  <w:tcBorders>
                    <w:tl2br w:val="nil"/>
                    <w:tr2bl w:val="nil"/>
                  </w:tcBorders>
                  <w:vAlign w:val="center"/>
                </w:tcPr>
                <w:p w14:paraId="7A240589">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2</w:t>
                  </w:r>
                </w:p>
              </w:tc>
              <w:tc>
                <w:tcPr>
                  <w:tcW w:w="350" w:type="pct"/>
                  <w:vMerge w:val="continue"/>
                  <w:tcBorders>
                    <w:tl2br w:val="nil"/>
                    <w:tr2bl w:val="nil"/>
                  </w:tcBorders>
                  <w:vAlign w:val="center"/>
                </w:tcPr>
                <w:p w14:paraId="601A00D1">
                  <w:pPr>
                    <w:pStyle w:val="220"/>
                    <w:spacing w:line="280" w:lineRule="exact"/>
                    <w:rPr>
                      <w:rFonts w:hint="default" w:eastAsia="宋体"/>
                      <w:color w:val="auto"/>
                      <w:kern w:val="2"/>
                      <w:sz w:val="18"/>
                      <w:szCs w:val="18"/>
                      <w:lang w:val="en-US" w:eastAsia="zh-CN"/>
                    </w:rPr>
                  </w:pPr>
                </w:p>
              </w:tc>
              <w:tc>
                <w:tcPr>
                  <w:tcW w:w="351" w:type="pct"/>
                  <w:tcBorders>
                    <w:tl2br w:val="nil"/>
                    <w:tr2bl w:val="nil"/>
                  </w:tcBorders>
                  <w:vAlign w:val="center"/>
                </w:tcPr>
                <w:p w14:paraId="2B86CE6B">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NMHC</w:t>
                  </w:r>
                </w:p>
              </w:tc>
              <w:tc>
                <w:tcPr>
                  <w:tcW w:w="309" w:type="pct"/>
                  <w:tcBorders>
                    <w:tl2br w:val="nil"/>
                    <w:tr2bl w:val="nil"/>
                  </w:tcBorders>
                  <w:vAlign w:val="center"/>
                </w:tcPr>
                <w:p w14:paraId="479633A4">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12</w:t>
                  </w:r>
                </w:p>
              </w:tc>
              <w:tc>
                <w:tcPr>
                  <w:tcW w:w="1307" w:type="pct"/>
                  <w:tcBorders>
                    <w:tl2br w:val="nil"/>
                    <w:tr2bl w:val="nil"/>
                  </w:tcBorders>
                  <w:vAlign w:val="center"/>
                </w:tcPr>
                <w:p w14:paraId="3D937939">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0.42-~0.46m</w:t>
                  </w:r>
                  <w:r>
                    <w:rPr>
                      <w:rFonts w:eastAsia="宋体"/>
                      <w:color w:val="auto"/>
                      <w:kern w:val="2"/>
                      <w:sz w:val="18"/>
                      <w:szCs w:val="18"/>
                    </w:rPr>
                    <w:t>g/m</w:t>
                  </w:r>
                  <w:r>
                    <w:rPr>
                      <w:rFonts w:eastAsia="宋体"/>
                      <w:color w:val="auto"/>
                      <w:kern w:val="2"/>
                      <w:sz w:val="18"/>
                      <w:szCs w:val="18"/>
                      <w:vertAlign w:val="superscript"/>
                    </w:rPr>
                    <w:t>3</w:t>
                  </w:r>
                </w:p>
              </w:tc>
              <w:tc>
                <w:tcPr>
                  <w:tcW w:w="700" w:type="pct"/>
                  <w:tcBorders>
                    <w:tl2br w:val="nil"/>
                    <w:tr2bl w:val="nil"/>
                  </w:tcBorders>
                  <w:vAlign w:val="center"/>
                </w:tcPr>
                <w:p w14:paraId="7DF1CB74">
                  <w:pPr>
                    <w:pStyle w:val="220"/>
                    <w:spacing w:line="280" w:lineRule="exact"/>
                    <w:rPr>
                      <w:rFonts w:hint="default" w:eastAsia="宋体"/>
                      <w:color w:val="auto"/>
                      <w:kern w:val="2"/>
                      <w:sz w:val="18"/>
                      <w:szCs w:val="18"/>
                      <w:lang w:val="en-US" w:eastAsia="zh-CN"/>
                    </w:rPr>
                  </w:pPr>
                  <w:r>
                    <w:rPr>
                      <w:rFonts w:hint="eastAsia" w:eastAsia="宋体"/>
                      <w:color w:val="auto"/>
                      <w:kern w:val="2"/>
                      <w:sz w:val="18"/>
                      <w:szCs w:val="18"/>
                      <w:lang w:val="en-US" w:eastAsia="zh-CN"/>
                    </w:rPr>
                    <w:t>2.0m</w:t>
                  </w:r>
                  <w:r>
                    <w:rPr>
                      <w:rFonts w:eastAsia="宋体"/>
                      <w:color w:val="auto"/>
                      <w:kern w:val="2"/>
                      <w:sz w:val="18"/>
                      <w:szCs w:val="18"/>
                    </w:rPr>
                    <w:t>g/m</w:t>
                  </w:r>
                  <w:r>
                    <w:rPr>
                      <w:rFonts w:eastAsia="宋体"/>
                      <w:color w:val="auto"/>
                      <w:kern w:val="2"/>
                      <w:sz w:val="18"/>
                      <w:szCs w:val="18"/>
                      <w:vertAlign w:val="superscript"/>
                    </w:rPr>
                    <w:t>3</w:t>
                  </w:r>
                </w:p>
              </w:tc>
              <w:tc>
                <w:tcPr>
                  <w:tcW w:w="684" w:type="pct"/>
                  <w:tcBorders>
                    <w:tl2br w:val="nil"/>
                    <w:tr2bl w:val="nil"/>
                  </w:tcBorders>
                  <w:vAlign w:val="center"/>
                </w:tcPr>
                <w:p w14:paraId="1C0AB73C">
                  <w:pPr>
                    <w:pStyle w:val="220"/>
                    <w:spacing w:line="280" w:lineRule="exact"/>
                    <w:rPr>
                      <w:rFonts w:hint="default"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23.0</w:t>
                  </w:r>
                </w:p>
              </w:tc>
              <w:tc>
                <w:tcPr>
                  <w:tcW w:w="536" w:type="pct"/>
                  <w:tcBorders>
                    <w:tl2br w:val="nil"/>
                    <w:tr2bl w:val="nil"/>
                  </w:tcBorders>
                  <w:vAlign w:val="center"/>
                </w:tcPr>
                <w:p w14:paraId="03159376">
                  <w:pPr>
                    <w:pStyle w:val="220"/>
                    <w:spacing w:line="280" w:lineRule="exact"/>
                    <w:rPr>
                      <w:rFonts w:hint="default"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0</w:t>
                  </w:r>
                </w:p>
              </w:tc>
              <w:tc>
                <w:tcPr>
                  <w:tcW w:w="455" w:type="pct"/>
                  <w:tcBorders>
                    <w:tl2br w:val="nil"/>
                    <w:tr2bl w:val="nil"/>
                  </w:tcBorders>
                  <w:vAlign w:val="center"/>
                </w:tcPr>
                <w:p w14:paraId="5F694D45">
                  <w:pPr>
                    <w:pStyle w:val="220"/>
                    <w:spacing w:line="280" w:lineRule="exact"/>
                    <w:rPr>
                      <w:rFonts w:hint="default" w:eastAsia="宋体" w:cs="Times New Roman"/>
                      <w:color w:val="auto"/>
                      <w:kern w:val="2"/>
                      <w:sz w:val="18"/>
                      <w:szCs w:val="18"/>
                      <w:lang w:val="en-US" w:eastAsia="zh-CN" w:bidi="ar-SA"/>
                    </w:rPr>
                  </w:pPr>
                  <w:r>
                    <w:rPr>
                      <w:rFonts w:hint="eastAsia" w:eastAsia="宋体" w:cs="Times New Roman"/>
                      <w:color w:val="auto"/>
                      <w:kern w:val="2"/>
                      <w:sz w:val="18"/>
                      <w:szCs w:val="18"/>
                      <w:lang w:val="en-US" w:eastAsia="zh-CN" w:bidi="ar-SA"/>
                    </w:rPr>
                    <w:t>0</w:t>
                  </w:r>
                </w:p>
              </w:tc>
            </w:tr>
          </w:tbl>
          <w:p w14:paraId="64918FBE">
            <w:pPr>
              <w:spacing w:line="360" w:lineRule="auto"/>
              <w:ind w:firstLine="420" w:firstLineChars="200"/>
              <w:rPr>
                <w:rFonts w:hint="eastAsia"/>
                <w:color w:val="auto"/>
                <w:szCs w:val="21"/>
              </w:rPr>
            </w:pPr>
            <w:r>
              <w:rPr>
                <w:rFonts w:hint="eastAsia"/>
                <w:color w:val="auto"/>
                <w:lang w:val="en-US" w:eastAsia="zh-CN"/>
              </w:rPr>
              <w:t>根据引用监测资料显示，项目所在区域TSP日均浓度范围106~109</w:t>
            </w:r>
            <w:r>
              <w:rPr>
                <w:rFonts w:hint="eastAsia" w:eastAsia="宋体"/>
                <w:color w:val="auto"/>
                <w:kern w:val="2"/>
                <w:sz w:val="21"/>
                <w:szCs w:val="21"/>
                <w:lang w:val="en-US" w:eastAsia="zh-CN"/>
              </w:rPr>
              <w:t>μ</w:t>
            </w:r>
            <w:r>
              <w:rPr>
                <w:rFonts w:eastAsia="宋体"/>
                <w:color w:val="auto"/>
                <w:kern w:val="2"/>
                <w:sz w:val="21"/>
                <w:szCs w:val="21"/>
              </w:rPr>
              <w:t>g/m</w:t>
            </w:r>
            <w:r>
              <w:rPr>
                <w:rFonts w:eastAsia="宋体"/>
                <w:color w:val="auto"/>
                <w:kern w:val="2"/>
                <w:sz w:val="21"/>
                <w:szCs w:val="21"/>
                <w:vertAlign w:val="superscript"/>
              </w:rPr>
              <w:t>3</w:t>
            </w:r>
            <w:r>
              <w:rPr>
                <w:rFonts w:hint="eastAsia"/>
                <w:color w:val="auto"/>
                <w:lang w:val="en-US" w:eastAsia="zh-CN"/>
              </w:rPr>
              <w:t>之间，未超标，满足《环境空气质量标准》（GB3095-2026）中（过渡阶段）二级标准要求；NMHC浓度范围在0.42~0.46mg/m</w:t>
            </w:r>
            <w:r>
              <w:rPr>
                <w:rFonts w:hint="eastAsia"/>
                <w:color w:val="auto"/>
                <w:vertAlign w:val="superscript"/>
                <w:lang w:val="en-US" w:eastAsia="zh-CN"/>
              </w:rPr>
              <w:t>3</w:t>
            </w:r>
            <w:r>
              <w:rPr>
                <w:rFonts w:hint="eastAsia"/>
                <w:color w:val="auto"/>
                <w:lang w:val="en-US" w:eastAsia="zh-CN"/>
              </w:rPr>
              <w:t>之间，未超过参照的河北省《环境空气质量非甲烷总烃限值》（DB13/1577-2012）中二级标准要求。表明项目所在区域未受到TSP、NMHC污染影响。</w:t>
            </w:r>
          </w:p>
          <w:p w14:paraId="1A0BC69E">
            <w:pPr>
              <w:spacing w:line="360" w:lineRule="auto"/>
              <w:ind w:firstLine="422" w:firstLineChars="200"/>
              <w:rPr>
                <w:color w:val="auto"/>
                <w:szCs w:val="21"/>
              </w:rPr>
            </w:pPr>
            <w:r>
              <w:rPr>
                <w:rFonts w:hint="eastAsia"/>
                <w:b/>
                <w:bCs/>
                <w:color w:val="auto"/>
                <w:szCs w:val="21"/>
                <w:lang w:val="en-US" w:eastAsia="zh-CN"/>
              </w:rPr>
              <w:t>3.2</w:t>
            </w:r>
            <w:r>
              <w:rPr>
                <w:b/>
                <w:bCs/>
                <w:color w:val="auto"/>
                <w:szCs w:val="21"/>
              </w:rPr>
              <w:t>水环境质量现状</w:t>
            </w:r>
          </w:p>
          <w:p w14:paraId="38910992">
            <w:pPr>
              <w:spacing w:line="360" w:lineRule="auto"/>
              <w:ind w:firstLine="420" w:firstLineChars="200"/>
              <w:rPr>
                <w:color w:val="auto"/>
                <w:szCs w:val="21"/>
              </w:rPr>
            </w:pPr>
            <w:r>
              <w:rPr>
                <w:color w:val="auto"/>
                <w:szCs w:val="21"/>
              </w:rPr>
              <w:t>根据《环境影响评价技术导则 地表水环境》（HJ2.3-2018）对不同评价级别工作的深度要求，项目不外排废水，属于三级B类项目，</w:t>
            </w:r>
            <w:r>
              <w:rPr>
                <w:rFonts w:hint="eastAsia"/>
                <w:color w:val="auto"/>
                <w:szCs w:val="21"/>
                <w:lang w:val="en-US" w:eastAsia="zh-CN"/>
              </w:rPr>
              <w:t>未进行地表水环境</w:t>
            </w:r>
            <w:r>
              <w:rPr>
                <w:color w:val="auto"/>
                <w:szCs w:val="21"/>
              </w:rPr>
              <w:t>现状</w:t>
            </w:r>
            <w:r>
              <w:rPr>
                <w:rFonts w:hint="eastAsia"/>
                <w:color w:val="auto"/>
                <w:szCs w:val="21"/>
                <w:lang w:val="en-US" w:eastAsia="zh-CN"/>
              </w:rPr>
              <w:t>调查</w:t>
            </w:r>
            <w:r>
              <w:rPr>
                <w:color w:val="auto"/>
                <w:szCs w:val="21"/>
              </w:rPr>
              <w:t>。</w:t>
            </w:r>
          </w:p>
          <w:p w14:paraId="5E7E788C">
            <w:pPr>
              <w:spacing w:line="360" w:lineRule="auto"/>
              <w:ind w:firstLine="422" w:firstLineChars="200"/>
              <w:rPr>
                <w:color w:val="auto"/>
                <w:szCs w:val="21"/>
              </w:rPr>
            </w:pPr>
            <w:r>
              <w:rPr>
                <w:rFonts w:hint="eastAsia"/>
                <w:b/>
                <w:bCs/>
                <w:color w:val="auto"/>
                <w:szCs w:val="21"/>
                <w:lang w:val="en-US" w:eastAsia="zh-CN"/>
              </w:rPr>
              <w:t>3.3</w:t>
            </w:r>
            <w:r>
              <w:rPr>
                <w:b/>
                <w:bCs/>
                <w:color w:val="auto"/>
                <w:szCs w:val="21"/>
              </w:rPr>
              <w:t>声环境现状</w:t>
            </w:r>
          </w:p>
          <w:p w14:paraId="56611131">
            <w:pPr>
              <w:spacing w:line="360" w:lineRule="auto"/>
              <w:ind w:firstLine="420" w:firstLineChars="200"/>
              <w:rPr>
                <w:color w:val="auto"/>
                <w:szCs w:val="21"/>
              </w:rPr>
            </w:pPr>
            <w:r>
              <w:rPr>
                <w:color w:val="auto"/>
                <w:szCs w:val="21"/>
              </w:rPr>
              <w:t>本</w:t>
            </w:r>
            <w:r>
              <w:rPr>
                <w:rFonts w:hint="eastAsia"/>
                <w:color w:val="auto"/>
                <w:szCs w:val="21"/>
              </w:rPr>
              <w:t>项目</w:t>
            </w:r>
            <w:r>
              <w:rPr>
                <w:color w:val="auto"/>
                <w:szCs w:val="21"/>
              </w:rPr>
              <w:t>占地外</w:t>
            </w:r>
            <w:r>
              <w:rPr>
                <w:rFonts w:hint="eastAsia"/>
                <w:color w:val="auto"/>
                <w:szCs w:val="21"/>
              </w:rPr>
              <w:t>50m</w:t>
            </w:r>
            <w:r>
              <w:rPr>
                <w:color w:val="auto"/>
                <w:szCs w:val="21"/>
              </w:rPr>
              <w:t>范围内无环境敏感点</w:t>
            </w:r>
            <w:r>
              <w:rPr>
                <w:rFonts w:hint="eastAsia"/>
                <w:color w:val="auto"/>
                <w:szCs w:val="21"/>
              </w:rPr>
              <w:t>，</w:t>
            </w:r>
            <w:r>
              <w:rPr>
                <w:color w:val="auto"/>
                <w:szCs w:val="21"/>
              </w:rPr>
              <w:t>故不做现状声环境质量调查</w:t>
            </w:r>
            <w:r>
              <w:rPr>
                <w:rFonts w:hint="eastAsia"/>
                <w:color w:val="auto"/>
                <w:szCs w:val="21"/>
              </w:rPr>
              <w:t>。</w:t>
            </w:r>
          </w:p>
          <w:p w14:paraId="0C99A4F1">
            <w:pPr>
              <w:spacing w:line="360" w:lineRule="auto"/>
              <w:ind w:firstLine="422" w:firstLineChars="200"/>
              <w:rPr>
                <w:b/>
                <w:bCs/>
                <w:color w:val="auto"/>
                <w:szCs w:val="21"/>
              </w:rPr>
            </w:pPr>
            <w:r>
              <w:rPr>
                <w:rFonts w:hint="eastAsia"/>
                <w:b/>
                <w:bCs/>
                <w:color w:val="auto"/>
                <w:szCs w:val="21"/>
                <w:lang w:val="en-US" w:eastAsia="zh-CN"/>
              </w:rPr>
              <w:t>3.4</w:t>
            </w:r>
            <w:r>
              <w:rPr>
                <w:b/>
                <w:bCs/>
                <w:color w:val="auto"/>
                <w:szCs w:val="21"/>
              </w:rPr>
              <w:t>地下水环境和</w:t>
            </w:r>
            <w:r>
              <w:rPr>
                <w:rFonts w:hint="eastAsia"/>
                <w:b/>
                <w:bCs/>
                <w:color w:val="auto"/>
                <w:szCs w:val="21"/>
                <w:lang w:val="zh-CN"/>
              </w:rPr>
              <w:t>土壤环境</w:t>
            </w:r>
            <w:r>
              <w:rPr>
                <w:b/>
                <w:bCs/>
                <w:color w:val="auto"/>
                <w:szCs w:val="21"/>
              </w:rPr>
              <w:t>现状</w:t>
            </w:r>
          </w:p>
          <w:p w14:paraId="1A3B6B3D">
            <w:pPr>
              <w:spacing w:line="360" w:lineRule="auto"/>
              <w:ind w:firstLine="420" w:firstLineChars="200"/>
              <w:rPr>
                <w:color w:val="auto"/>
                <w:szCs w:val="21"/>
              </w:rPr>
            </w:pPr>
            <w:r>
              <w:rPr>
                <w:rFonts w:hint="eastAsia"/>
                <w:color w:val="auto"/>
                <w:szCs w:val="21"/>
              </w:rPr>
              <w:t>根据《建设项目环境影响报告表编制技术指南（污染影响类）》（试行）中要求：“原则上不开展地下水、土壤环境质量现状调查”，本项目</w:t>
            </w:r>
            <w:r>
              <w:rPr>
                <w:rFonts w:hint="eastAsia"/>
                <w:bCs/>
                <w:color w:val="auto"/>
                <w:szCs w:val="21"/>
                <w:lang w:val="en-US" w:eastAsia="zh-CN"/>
              </w:rPr>
              <w:t>相关规范要求进行</w:t>
            </w:r>
            <w:r>
              <w:rPr>
                <w:rFonts w:hint="eastAsia"/>
                <w:bCs/>
                <w:color w:val="auto"/>
                <w:szCs w:val="21"/>
              </w:rPr>
              <w:t>建设，满足防渗要求，</w:t>
            </w:r>
            <w:r>
              <w:rPr>
                <w:rFonts w:hint="eastAsia"/>
                <w:color w:val="auto"/>
                <w:szCs w:val="21"/>
              </w:rPr>
              <w:t>故本次评价针对本项目未开展地下水和土壤环境质量现状调查。</w:t>
            </w:r>
          </w:p>
        </w:tc>
      </w:tr>
      <w:tr w14:paraId="7A4131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8" w:hRule="atLeast"/>
          <w:jc w:val="center"/>
        </w:trPr>
        <w:tc>
          <w:tcPr>
            <w:tcW w:w="800" w:type="dxa"/>
            <w:vAlign w:val="center"/>
          </w:tcPr>
          <w:p w14:paraId="2D32FCC4">
            <w:pPr>
              <w:adjustRightInd w:val="0"/>
              <w:snapToGrid w:val="0"/>
              <w:jc w:val="center"/>
              <w:rPr>
                <w:color w:val="auto"/>
                <w:kern w:val="0"/>
                <w:szCs w:val="21"/>
              </w:rPr>
            </w:pPr>
            <w:r>
              <w:rPr>
                <w:rFonts w:hAnsi="宋体"/>
                <w:color w:val="auto"/>
                <w:kern w:val="0"/>
                <w:szCs w:val="21"/>
              </w:rPr>
              <w:t>环境</w:t>
            </w:r>
          </w:p>
          <w:p w14:paraId="3CAC4259">
            <w:pPr>
              <w:adjustRightInd w:val="0"/>
              <w:snapToGrid w:val="0"/>
              <w:jc w:val="center"/>
              <w:rPr>
                <w:color w:val="auto"/>
                <w:kern w:val="0"/>
                <w:szCs w:val="21"/>
              </w:rPr>
            </w:pPr>
            <w:r>
              <w:rPr>
                <w:rFonts w:hAnsi="宋体"/>
                <w:color w:val="auto"/>
                <w:kern w:val="0"/>
                <w:szCs w:val="21"/>
              </w:rPr>
              <w:t>保护</w:t>
            </w:r>
          </w:p>
          <w:p w14:paraId="79971C9F">
            <w:pPr>
              <w:adjustRightInd w:val="0"/>
              <w:snapToGrid w:val="0"/>
              <w:jc w:val="center"/>
              <w:rPr>
                <w:color w:val="auto"/>
                <w:kern w:val="0"/>
                <w:szCs w:val="21"/>
              </w:rPr>
            </w:pPr>
            <w:r>
              <w:rPr>
                <w:rFonts w:hAnsi="宋体"/>
                <w:color w:val="auto"/>
                <w:kern w:val="0"/>
                <w:szCs w:val="21"/>
              </w:rPr>
              <w:t>目标</w:t>
            </w:r>
          </w:p>
        </w:tc>
        <w:tc>
          <w:tcPr>
            <w:tcW w:w="8190" w:type="dxa"/>
            <w:vAlign w:val="center"/>
          </w:tcPr>
          <w:p w14:paraId="44106893">
            <w:pPr>
              <w:spacing w:line="360" w:lineRule="auto"/>
              <w:ind w:firstLine="420" w:firstLineChars="200"/>
              <w:rPr>
                <w:color w:val="auto"/>
                <w:szCs w:val="21"/>
              </w:rPr>
            </w:pPr>
            <w:r>
              <w:rPr>
                <w:rFonts w:hint="eastAsia"/>
                <w:color w:val="auto"/>
                <w:szCs w:val="21"/>
              </w:rPr>
              <w:t>根据《建设项目环境影响报告表评价技术指南（污染影响类）（试行）》，确定本项目评价范围内环境保护目标：</w:t>
            </w:r>
          </w:p>
          <w:p w14:paraId="19017ED7">
            <w:pPr>
              <w:spacing w:line="360" w:lineRule="auto"/>
              <w:ind w:firstLine="420" w:firstLineChars="200"/>
              <w:rPr>
                <w:color w:val="auto"/>
                <w:szCs w:val="21"/>
              </w:rPr>
            </w:pPr>
            <w:r>
              <w:rPr>
                <w:rFonts w:hint="eastAsia"/>
                <w:color w:val="auto"/>
                <w:szCs w:val="21"/>
              </w:rPr>
              <w:t>1、大气环境保护目标：经调查，项目厂界外500m范围</w:t>
            </w:r>
            <w:r>
              <w:rPr>
                <w:rFonts w:hint="eastAsia"/>
                <w:color w:val="auto"/>
                <w:szCs w:val="21"/>
                <w:lang w:val="en-US" w:eastAsia="zh-CN"/>
              </w:rPr>
              <w:t>内无</w:t>
            </w:r>
            <w:r>
              <w:rPr>
                <w:rFonts w:hint="eastAsia"/>
                <w:color w:val="auto"/>
                <w:szCs w:val="21"/>
              </w:rPr>
              <w:t>环境空气保护目标；</w:t>
            </w:r>
          </w:p>
          <w:p w14:paraId="6FF78A1C">
            <w:pPr>
              <w:spacing w:line="360" w:lineRule="auto"/>
              <w:ind w:firstLine="420" w:firstLineChars="200"/>
              <w:rPr>
                <w:color w:val="auto"/>
                <w:szCs w:val="21"/>
              </w:rPr>
            </w:pPr>
            <w:r>
              <w:rPr>
                <w:rFonts w:hint="eastAsia"/>
                <w:color w:val="auto"/>
                <w:szCs w:val="21"/>
              </w:rPr>
              <w:t>2、声环境保护目标：经调查，项目厂界外50米范围内无声环境保护目标；</w:t>
            </w:r>
          </w:p>
          <w:p w14:paraId="27683849">
            <w:pPr>
              <w:spacing w:line="360" w:lineRule="auto"/>
              <w:ind w:firstLine="420" w:firstLineChars="200"/>
              <w:rPr>
                <w:color w:val="auto"/>
                <w:szCs w:val="21"/>
              </w:rPr>
            </w:pPr>
            <w:r>
              <w:rPr>
                <w:rFonts w:hint="eastAsia"/>
                <w:color w:val="auto"/>
                <w:szCs w:val="21"/>
              </w:rPr>
              <w:t>3、地下水环境保护目标：经调查，项目厂界外500米范围内无地下水集中式饮用水水源和热水、矿泉水、温泉等特殊地下水资源；</w:t>
            </w:r>
          </w:p>
          <w:p w14:paraId="262FAEF6">
            <w:pPr>
              <w:spacing w:line="360" w:lineRule="auto"/>
              <w:ind w:firstLine="420" w:firstLineChars="200"/>
              <w:rPr>
                <w:color w:val="auto"/>
                <w:szCs w:val="21"/>
              </w:rPr>
            </w:pPr>
            <w:r>
              <w:rPr>
                <w:rFonts w:hint="eastAsia"/>
                <w:color w:val="auto"/>
                <w:szCs w:val="21"/>
              </w:rPr>
              <w:t>4、生态环境保护目标：经调查，项目用地范围内无生态环境保护目标。</w:t>
            </w:r>
          </w:p>
          <w:p w14:paraId="0E92ECB8">
            <w:pPr>
              <w:spacing w:line="360" w:lineRule="auto"/>
              <w:ind w:firstLine="420" w:firstLineChars="200"/>
              <w:rPr>
                <w:color w:val="auto"/>
                <w:kern w:val="0"/>
                <w:szCs w:val="21"/>
              </w:rPr>
            </w:pPr>
            <w:r>
              <w:rPr>
                <w:rFonts w:hint="eastAsia"/>
                <w:color w:val="auto"/>
                <w:szCs w:val="21"/>
              </w:rPr>
              <w:t>项目地理位置</w:t>
            </w:r>
            <w:r>
              <w:rPr>
                <w:rFonts w:hint="eastAsia"/>
                <w:color w:val="auto"/>
                <w:szCs w:val="21"/>
                <w:lang w:val="en-US" w:eastAsia="zh-CN"/>
              </w:rPr>
              <w:t>图</w:t>
            </w:r>
            <w:r>
              <w:rPr>
                <w:rFonts w:hint="eastAsia"/>
                <w:color w:val="auto"/>
                <w:szCs w:val="21"/>
              </w:rPr>
              <w:t>见附图1。</w:t>
            </w:r>
          </w:p>
        </w:tc>
      </w:tr>
      <w:tr w14:paraId="0079F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tcMar>
              <w:left w:w="28" w:type="dxa"/>
              <w:right w:w="28" w:type="dxa"/>
            </w:tcMar>
            <w:vAlign w:val="center"/>
          </w:tcPr>
          <w:p w14:paraId="2D98C35C">
            <w:pPr>
              <w:adjustRightInd w:val="0"/>
              <w:snapToGrid w:val="0"/>
              <w:jc w:val="center"/>
              <w:rPr>
                <w:color w:val="auto"/>
                <w:kern w:val="0"/>
                <w:szCs w:val="21"/>
              </w:rPr>
            </w:pPr>
            <w:r>
              <w:rPr>
                <w:rFonts w:hAnsi="宋体"/>
                <w:color w:val="auto"/>
                <w:kern w:val="0"/>
                <w:szCs w:val="21"/>
              </w:rPr>
              <w:t>污染</w:t>
            </w:r>
          </w:p>
          <w:p w14:paraId="736EBFA5">
            <w:pPr>
              <w:adjustRightInd w:val="0"/>
              <w:snapToGrid w:val="0"/>
              <w:jc w:val="center"/>
              <w:rPr>
                <w:color w:val="auto"/>
                <w:kern w:val="0"/>
                <w:szCs w:val="21"/>
              </w:rPr>
            </w:pPr>
            <w:r>
              <w:rPr>
                <w:rFonts w:hAnsi="宋体"/>
                <w:color w:val="auto"/>
                <w:kern w:val="0"/>
                <w:szCs w:val="21"/>
              </w:rPr>
              <w:t>物排</w:t>
            </w:r>
          </w:p>
          <w:p w14:paraId="20661DB7">
            <w:pPr>
              <w:adjustRightInd w:val="0"/>
              <w:snapToGrid w:val="0"/>
              <w:jc w:val="center"/>
              <w:rPr>
                <w:color w:val="auto"/>
                <w:kern w:val="0"/>
                <w:szCs w:val="21"/>
              </w:rPr>
            </w:pPr>
            <w:r>
              <w:rPr>
                <w:rFonts w:hAnsi="宋体"/>
                <w:color w:val="auto"/>
                <w:kern w:val="0"/>
                <w:szCs w:val="21"/>
              </w:rPr>
              <w:t>放控</w:t>
            </w:r>
          </w:p>
          <w:p w14:paraId="40E6387D">
            <w:pPr>
              <w:adjustRightInd w:val="0"/>
              <w:snapToGrid w:val="0"/>
              <w:jc w:val="center"/>
              <w:rPr>
                <w:color w:val="auto"/>
                <w:kern w:val="0"/>
                <w:szCs w:val="21"/>
              </w:rPr>
            </w:pPr>
            <w:r>
              <w:rPr>
                <w:rFonts w:hAnsi="宋体"/>
                <w:color w:val="auto"/>
                <w:kern w:val="0"/>
                <w:szCs w:val="21"/>
              </w:rPr>
              <w:t>制标</w:t>
            </w:r>
          </w:p>
          <w:p w14:paraId="2BB0861A">
            <w:pPr>
              <w:adjustRightInd w:val="0"/>
              <w:snapToGrid w:val="0"/>
              <w:jc w:val="center"/>
              <w:rPr>
                <w:color w:val="auto"/>
                <w:kern w:val="0"/>
                <w:szCs w:val="21"/>
              </w:rPr>
            </w:pPr>
            <w:r>
              <w:rPr>
                <w:rFonts w:hAnsi="宋体"/>
                <w:color w:val="auto"/>
                <w:kern w:val="0"/>
                <w:szCs w:val="21"/>
              </w:rPr>
              <w:t>准</w:t>
            </w:r>
          </w:p>
        </w:tc>
        <w:tc>
          <w:tcPr>
            <w:tcW w:w="8190" w:type="dxa"/>
            <w:vAlign w:val="center"/>
          </w:tcPr>
          <w:p w14:paraId="56A25A4F">
            <w:pPr>
              <w:spacing w:line="360" w:lineRule="auto"/>
              <w:jc w:val="left"/>
              <w:outlineLvl w:val="0"/>
              <w:rPr>
                <w:b/>
                <w:color w:val="auto"/>
                <w:szCs w:val="21"/>
              </w:rPr>
            </w:pPr>
            <w:r>
              <w:rPr>
                <w:rFonts w:hint="eastAsia"/>
                <w:b/>
                <w:color w:val="auto"/>
                <w:szCs w:val="21"/>
                <w:lang w:val="en-US" w:eastAsia="zh-CN"/>
              </w:rPr>
              <w:t>3.5</w:t>
            </w:r>
            <w:r>
              <w:rPr>
                <w:b/>
                <w:color w:val="auto"/>
                <w:szCs w:val="21"/>
              </w:rPr>
              <w:t>废气</w:t>
            </w:r>
          </w:p>
          <w:p w14:paraId="2E675A7C">
            <w:pPr>
              <w:autoSpaceDE w:val="0"/>
              <w:autoSpaceDN w:val="0"/>
              <w:adjustRightInd w:val="0"/>
              <w:spacing w:line="312" w:lineRule="auto"/>
              <w:ind w:firstLine="420" w:firstLineChars="200"/>
              <w:rPr>
                <w:szCs w:val="21"/>
              </w:rPr>
            </w:pPr>
            <w:r>
              <w:rPr>
                <w:rFonts w:hint="eastAsia"/>
                <w:szCs w:val="21"/>
              </w:rPr>
              <w:t>加工工序粉尘、喷漆过程产生的漆雾执行《大气污染物综合排放标准》（GB16297-1996）表2中二级标准限值要求</w:t>
            </w:r>
            <w:r>
              <w:rPr>
                <w:szCs w:val="21"/>
              </w:rPr>
              <w:t>。</w:t>
            </w:r>
          </w:p>
          <w:p w14:paraId="71AD7351">
            <w:pPr>
              <w:jc w:val="center"/>
              <w:rPr>
                <w:rFonts w:eastAsia="黑体"/>
                <w:b/>
                <w:sz w:val="18"/>
                <w:szCs w:val="18"/>
                <w:vertAlign w:val="superscript"/>
              </w:rPr>
            </w:pPr>
            <w:r>
              <w:rPr>
                <w:b/>
                <w:sz w:val="18"/>
                <w:szCs w:val="18"/>
              </w:rPr>
              <w:t>表3</w:t>
            </w:r>
            <w:r>
              <w:rPr>
                <w:rFonts w:hint="eastAsia"/>
                <w:b/>
                <w:sz w:val="18"/>
                <w:szCs w:val="18"/>
                <w:lang w:val="en-US" w:eastAsia="zh-CN"/>
              </w:rPr>
              <w:t>.5</w:t>
            </w:r>
            <w:r>
              <w:rPr>
                <w:b/>
                <w:sz w:val="18"/>
                <w:szCs w:val="18"/>
              </w:rPr>
              <w:t>-</w:t>
            </w:r>
            <w:r>
              <w:rPr>
                <w:rFonts w:hint="eastAsia"/>
                <w:b/>
                <w:sz w:val="18"/>
                <w:szCs w:val="18"/>
                <w:lang w:val="en-US" w:eastAsia="zh-CN"/>
              </w:rPr>
              <w:t>1</w:t>
            </w:r>
            <w:r>
              <w:rPr>
                <w:b/>
                <w:sz w:val="18"/>
                <w:szCs w:val="18"/>
              </w:rPr>
              <w:t xml:space="preserve">    大气污染物综合排放标准    单位：m</w:t>
            </w:r>
            <w:r>
              <w:rPr>
                <w:rFonts w:eastAsia="黑体"/>
                <w:b/>
                <w:sz w:val="18"/>
                <w:szCs w:val="18"/>
              </w:rPr>
              <w:t>g/Nm</w:t>
            </w:r>
            <w:r>
              <w:rPr>
                <w:rFonts w:eastAsia="黑体"/>
                <w:b/>
                <w:sz w:val="18"/>
                <w:szCs w:val="18"/>
                <w:vertAlign w:val="superscript"/>
              </w:rPr>
              <w:t>3</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681"/>
              <w:gridCol w:w="1336"/>
              <w:gridCol w:w="810"/>
              <w:gridCol w:w="1694"/>
              <w:gridCol w:w="1289"/>
            </w:tblGrid>
            <w:tr w14:paraId="48046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14" w:type="pct"/>
                  <w:vMerge w:val="restart"/>
                  <w:vAlign w:val="center"/>
                </w:tcPr>
                <w:p w14:paraId="12A4FC0D">
                  <w:pPr>
                    <w:spacing w:line="240" w:lineRule="atLeast"/>
                    <w:jc w:val="center"/>
                    <w:rPr>
                      <w:sz w:val="18"/>
                      <w:szCs w:val="18"/>
                    </w:rPr>
                  </w:pPr>
                  <w:r>
                    <w:rPr>
                      <w:rFonts w:hint="eastAsia"/>
                      <w:sz w:val="18"/>
                      <w:szCs w:val="18"/>
                    </w:rPr>
                    <w:t>污染物</w:t>
                  </w:r>
                </w:p>
              </w:tc>
              <w:tc>
                <w:tcPr>
                  <w:tcW w:w="1058" w:type="pct"/>
                  <w:vMerge w:val="restart"/>
                  <w:vAlign w:val="center"/>
                </w:tcPr>
                <w:p w14:paraId="6A8ED4F2">
                  <w:pPr>
                    <w:spacing w:line="240" w:lineRule="atLeast"/>
                    <w:jc w:val="center"/>
                    <w:rPr>
                      <w:sz w:val="18"/>
                      <w:szCs w:val="18"/>
                    </w:rPr>
                  </w:pPr>
                  <w:r>
                    <w:rPr>
                      <w:sz w:val="18"/>
                      <w:szCs w:val="18"/>
                    </w:rPr>
                    <w:t>最高允许排放浓度mg</w:t>
                  </w:r>
                  <w:r>
                    <w:rPr>
                      <w:rFonts w:hint="eastAsia"/>
                      <w:sz w:val="18"/>
                      <w:szCs w:val="18"/>
                    </w:rPr>
                    <w:t>/m</w:t>
                  </w:r>
                  <w:r>
                    <w:rPr>
                      <w:rFonts w:hint="eastAsia"/>
                      <w:sz w:val="18"/>
                      <w:szCs w:val="18"/>
                      <w:vertAlign w:val="superscript"/>
                    </w:rPr>
                    <w:t>3</w:t>
                  </w:r>
                </w:p>
              </w:tc>
              <w:tc>
                <w:tcPr>
                  <w:tcW w:w="1351" w:type="pct"/>
                  <w:gridSpan w:val="2"/>
                  <w:vAlign w:val="center"/>
                </w:tcPr>
                <w:p w14:paraId="000D2428">
                  <w:pPr>
                    <w:spacing w:line="240" w:lineRule="atLeast"/>
                    <w:jc w:val="center"/>
                    <w:rPr>
                      <w:sz w:val="18"/>
                      <w:szCs w:val="18"/>
                    </w:rPr>
                  </w:pPr>
                  <w:r>
                    <w:rPr>
                      <w:sz w:val="18"/>
                      <w:szCs w:val="18"/>
                    </w:rPr>
                    <w:t>最高允许排放速率kg</w:t>
                  </w:r>
                  <w:r>
                    <w:rPr>
                      <w:rFonts w:hint="eastAsia"/>
                      <w:sz w:val="18"/>
                      <w:szCs w:val="18"/>
                    </w:rPr>
                    <w:t>/h</w:t>
                  </w:r>
                </w:p>
              </w:tc>
              <w:tc>
                <w:tcPr>
                  <w:tcW w:w="1877" w:type="pct"/>
                  <w:gridSpan w:val="2"/>
                  <w:vAlign w:val="center"/>
                </w:tcPr>
                <w:p w14:paraId="43198ACC">
                  <w:pPr>
                    <w:spacing w:line="240" w:lineRule="atLeast"/>
                    <w:jc w:val="center"/>
                    <w:rPr>
                      <w:sz w:val="18"/>
                      <w:szCs w:val="18"/>
                    </w:rPr>
                  </w:pPr>
                  <w:r>
                    <w:rPr>
                      <w:sz w:val="18"/>
                      <w:szCs w:val="18"/>
                    </w:rPr>
                    <w:t>无组织浓度监控限值</w:t>
                  </w:r>
                  <w:r>
                    <w:rPr>
                      <w:rFonts w:hint="eastAsia"/>
                      <w:sz w:val="18"/>
                      <w:szCs w:val="18"/>
                    </w:rPr>
                    <w:t>/</w:t>
                  </w:r>
                </w:p>
                <w:p w14:paraId="23B65560">
                  <w:pPr>
                    <w:spacing w:line="240" w:lineRule="atLeast"/>
                    <w:jc w:val="center"/>
                    <w:rPr>
                      <w:sz w:val="18"/>
                      <w:szCs w:val="18"/>
                    </w:rPr>
                  </w:pPr>
                  <w:r>
                    <w:rPr>
                      <w:rFonts w:hint="eastAsia"/>
                      <w:sz w:val="18"/>
                      <w:szCs w:val="18"/>
                    </w:rPr>
                    <w:t>企业边界排放限值</w:t>
                  </w:r>
                </w:p>
              </w:tc>
            </w:tr>
            <w:tr w14:paraId="50456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14" w:type="pct"/>
                  <w:vMerge w:val="continue"/>
                  <w:vAlign w:val="center"/>
                </w:tcPr>
                <w:p w14:paraId="4A85F744">
                  <w:pPr>
                    <w:spacing w:line="240" w:lineRule="atLeast"/>
                    <w:jc w:val="center"/>
                    <w:rPr>
                      <w:sz w:val="18"/>
                      <w:szCs w:val="18"/>
                    </w:rPr>
                  </w:pPr>
                </w:p>
              </w:tc>
              <w:tc>
                <w:tcPr>
                  <w:tcW w:w="1058" w:type="pct"/>
                  <w:vMerge w:val="continue"/>
                  <w:vAlign w:val="center"/>
                </w:tcPr>
                <w:p w14:paraId="35B33DFC">
                  <w:pPr>
                    <w:spacing w:line="240" w:lineRule="atLeast"/>
                    <w:jc w:val="center"/>
                    <w:rPr>
                      <w:sz w:val="18"/>
                      <w:szCs w:val="18"/>
                    </w:rPr>
                  </w:pPr>
                </w:p>
              </w:tc>
              <w:tc>
                <w:tcPr>
                  <w:tcW w:w="841" w:type="pct"/>
                  <w:vAlign w:val="center"/>
                </w:tcPr>
                <w:p w14:paraId="533AD30B">
                  <w:pPr>
                    <w:spacing w:line="240" w:lineRule="atLeast"/>
                    <w:jc w:val="center"/>
                    <w:rPr>
                      <w:sz w:val="18"/>
                      <w:szCs w:val="18"/>
                    </w:rPr>
                  </w:pPr>
                  <w:r>
                    <w:rPr>
                      <w:sz w:val="18"/>
                      <w:szCs w:val="18"/>
                    </w:rPr>
                    <w:t>排气筒高度m</w:t>
                  </w:r>
                </w:p>
              </w:tc>
              <w:tc>
                <w:tcPr>
                  <w:tcW w:w="510" w:type="pct"/>
                  <w:vAlign w:val="center"/>
                </w:tcPr>
                <w:p w14:paraId="1C9A0E48">
                  <w:pPr>
                    <w:spacing w:line="240" w:lineRule="atLeast"/>
                    <w:jc w:val="center"/>
                    <w:rPr>
                      <w:sz w:val="18"/>
                      <w:szCs w:val="18"/>
                    </w:rPr>
                  </w:pPr>
                  <w:r>
                    <w:rPr>
                      <w:sz w:val="18"/>
                      <w:szCs w:val="18"/>
                    </w:rPr>
                    <w:t>二级</w:t>
                  </w:r>
                </w:p>
              </w:tc>
              <w:tc>
                <w:tcPr>
                  <w:tcW w:w="1066" w:type="pct"/>
                  <w:vAlign w:val="center"/>
                </w:tcPr>
                <w:p w14:paraId="24F49EBF">
                  <w:pPr>
                    <w:spacing w:line="240" w:lineRule="atLeast"/>
                    <w:jc w:val="center"/>
                    <w:rPr>
                      <w:sz w:val="18"/>
                      <w:szCs w:val="18"/>
                    </w:rPr>
                  </w:pPr>
                  <w:r>
                    <w:rPr>
                      <w:sz w:val="18"/>
                      <w:szCs w:val="18"/>
                    </w:rPr>
                    <w:t>监控点</w:t>
                  </w:r>
                </w:p>
              </w:tc>
              <w:tc>
                <w:tcPr>
                  <w:tcW w:w="811" w:type="pct"/>
                  <w:vAlign w:val="center"/>
                </w:tcPr>
                <w:p w14:paraId="2E59DCB0">
                  <w:pPr>
                    <w:spacing w:line="240" w:lineRule="atLeast"/>
                    <w:jc w:val="center"/>
                    <w:rPr>
                      <w:sz w:val="18"/>
                      <w:szCs w:val="18"/>
                    </w:rPr>
                  </w:pPr>
                  <w:r>
                    <w:rPr>
                      <w:sz w:val="18"/>
                      <w:szCs w:val="18"/>
                    </w:rPr>
                    <w:t>浓度mg</w:t>
                  </w:r>
                  <w:r>
                    <w:rPr>
                      <w:rFonts w:hint="eastAsia"/>
                      <w:sz w:val="18"/>
                      <w:szCs w:val="18"/>
                    </w:rPr>
                    <w:t>/m</w:t>
                  </w:r>
                  <w:r>
                    <w:rPr>
                      <w:rFonts w:hint="eastAsia"/>
                      <w:sz w:val="18"/>
                      <w:szCs w:val="18"/>
                      <w:vertAlign w:val="superscript"/>
                    </w:rPr>
                    <w:t>3</w:t>
                  </w:r>
                </w:p>
              </w:tc>
            </w:tr>
            <w:tr w14:paraId="0EAFB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4" w:type="pct"/>
                  <w:vAlign w:val="center"/>
                </w:tcPr>
                <w:p w14:paraId="3A9AC2C4">
                  <w:pPr>
                    <w:spacing w:line="240" w:lineRule="atLeast"/>
                    <w:jc w:val="center"/>
                    <w:rPr>
                      <w:sz w:val="18"/>
                      <w:szCs w:val="18"/>
                    </w:rPr>
                  </w:pPr>
                  <w:r>
                    <w:rPr>
                      <w:rFonts w:hint="eastAsia"/>
                      <w:sz w:val="18"/>
                      <w:szCs w:val="18"/>
                    </w:rPr>
                    <w:t>颗粒物</w:t>
                  </w:r>
                </w:p>
              </w:tc>
              <w:tc>
                <w:tcPr>
                  <w:tcW w:w="1058" w:type="pct"/>
                  <w:vAlign w:val="center"/>
                </w:tcPr>
                <w:p w14:paraId="703CAFA6">
                  <w:pPr>
                    <w:spacing w:line="240" w:lineRule="atLeast"/>
                    <w:jc w:val="center"/>
                    <w:rPr>
                      <w:sz w:val="18"/>
                      <w:szCs w:val="18"/>
                    </w:rPr>
                  </w:pPr>
                  <w:r>
                    <w:rPr>
                      <w:rFonts w:hint="eastAsia"/>
                      <w:sz w:val="18"/>
                      <w:szCs w:val="18"/>
                    </w:rPr>
                    <w:t>120</w:t>
                  </w:r>
                </w:p>
              </w:tc>
              <w:tc>
                <w:tcPr>
                  <w:tcW w:w="841" w:type="pct"/>
                  <w:vAlign w:val="center"/>
                </w:tcPr>
                <w:p w14:paraId="443D922A">
                  <w:pPr>
                    <w:spacing w:line="240" w:lineRule="atLeast"/>
                    <w:jc w:val="center"/>
                    <w:rPr>
                      <w:sz w:val="18"/>
                      <w:szCs w:val="18"/>
                    </w:rPr>
                  </w:pPr>
                  <w:r>
                    <w:rPr>
                      <w:rFonts w:hint="eastAsia"/>
                      <w:sz w:val="18"/>
                      <w:szCs w:val="18"/>
                    </w:rPr>
                    <w:t>15</w:t>
                  </w:r>
                </w:p>
              </w:tc>
              <w:tc>
                <w:tcPr>
                  <w:tcW w:w="510" w:type="pct"/>
                  <w:vAlign w:val="center"/>
                </w:tcPr>
                <w:p w14:paraId="185613EE">
                  <w:pPr>
                    <w:spacing w:line="240" w:lineRule="atLeast"/>
                    <w:jc w:val="center"/>
                    <w:rPr>
                      <w:sz w:val="18"/>
                      <w:szCs w:val="18"/>
                    </w:rPr>
                  </w:pPr>
                  <w:r>
                    <w:rPr>
                      <w:rFonts w:hint="eastAsia"/>
                      <w:sz w:val="18"/>
                      <w:szCs w:val="18"/>
                    </w:rPr>
                    <w:t>3.5</w:t>
                  </w:r>
                </w:p>
              </w:tc>
              <w:tc>
                <w:tcPr>
                  <w:tcW w:w="1066" w:type="pct"/>
                  <w:vAlign w:val="center"/>
                </w:tcPr>
                <w:p w14:paraId="2DE0D6E5">
                  <w:pPr>
                    <w:spacing w:line="240" w:lineRule="atLeast"/>
                    <w:jc w:val="center"/>
                    <w:rPr>
                      <w:sz w:val="18"/>
                      <w:szCs w:val="18"/>
                    </w:rPr>
                  </w:pPr>
                  <w:r>
                    <w:rPr>
                      <w:sz w:val="18"/>
                      <w:szCs w:val="18"/>
                    </w:rPr>
                    <w:t>周界外浓度最高点</w:t>
                  </w:r>
                </w:p>
              </w:tc>
              <w:tc>
                <w:tcPr>
                  <w:tcW w:w="811" w:type="pct"/>
                  <w:vAlign w:val="center"/>
                </w:tcPr>
                <w:p w14:paraId="182EE623">
                  <w:pPr>
                    <w:spacing w:line="240" w:lineRule="atLeast"/>
                    <w:jc w:val="center"/>
                    <w:rPr>
                      <w:sz w:val="18"/>
                      <w:szCs w:val="18"/>
                    </w:rPr>
                  </w:pPr>
                  <w:r>
                    <w:rPr>
                      <w:rFonts w:hint="eastAsia"/>
                      <w:sz w:val="18"/>
                      <w:szCs w:val="18"/>
                    </w:rPr>
                    <w:t>1.0</w:t>
                  </w:r>
                </w:p>
              </w:tc>
            </w:tr>
          </w:tbl>
          <w:p w14:paraId="045A768E">
            <w:pPr>
              <w:autoSpaceDE w:val="0"/>
              <w:autoSpaceDN w:val="0"/>
              <w:adjustRightInd w:val="0"/>
              <w:spacing w:line="312" w:lineRule="auto"/>
              <w:ind w:firstLine="420" w:firstLineChars="200"/>
              <w:rPr>
                <w:szCs w:val="21"/>
              </w:rPr>
            </w:pPr>
            <w:r>
              <w:rPr>
                <w:rFonts w:hint="eastAsia"/>
                <w:szCs w:val="21"/>
                <w:lang w:val="en-US" w:eastAsia="zh-CN"/>
              </w:rPr>
              <w:t>干燥、胶粘、</w:t>
            </w:r>
            <w:r>
              <w:rPr>
                <w:rFonts w:hint="eastAsia"/>
                <w:szCs w:val="21"/>
              </w:rPr>
              <w:t>喷漆</w:t>
            </w:r>
            <w:r>
              <w:rPr>
                <w:rFonts w:hint="eastAsia"/>
                <w:szCs w:val="21"/>
                <w:lang w:val="en-US" w:eastAsia="zh-CN"/>
              </w:rPr>
              <w:t>工序</w:t>
            </w:r>
            <w:r>
              <w:rPr>
                <w:rFonts w:hint="eastAsia"/>
                <w:szCs w:val="21"/>
              </w:rPr>
              <w:t>产生的有机废气有组织排放参考执行《山西省重点行业挥发性有机物（VOCs）2017年专项治理方案》（晋气防办【2017】32号）中表1工业涂装排放限值；</w:t>
            </w:r>
          </w:p>
          <w:p w14:paraId="2C01E82D">
            <w:pPr>
              <w:jc w:val="center"/>
              <w:rPr>
                <w:rFonts w:eastAsia="黑体"/>
                <w:b/>
                <w:sz w:val="18"/>
                <w:szCs w:val="18"/>
                <w:vertAlign w:val="superscript"/>
              </w:rPr>
            </w:pPr>
            <w:r>
              <w:rPr>
                <w:b/>
                <w:sz w:val="18"/>
                <w:szCs w:val="18"/>
              </w:rPr>
              <w:t>表3</w:t>
            </w:r>
            <w:r>
              <w:rPr>
                <w:rFonts w:hint="eastAsia"/>
                <w:b/>
                <w:sz w:val="18"/>
                <w:szCs w:val="18"/>
                <w:lang w:val="en-US" w:eastAsia="zh-CN"/>
              </w:rPr>
              <w:t>.5-2</w:t>
            </w:r>
            <w:r>
              <w:rPr>
                <w:b/>
                <w:sz w:val="18"/>
                <w:szCs w:val="18"/>
              </w:rPr>
              <w:t xml:space="preserve">    </w:t>
            </w:r>
            <w:r>
              <w:rPr>
                <w:rFonts w:hint="eastAsia"/>
                <w:b/>
                <w:sz w:val="18"/>
                <w:szCs w:val="18"/>
              </w:rPr>
              <w:t>工业</w:t>
            </w:r>
            <w:r>
              <w:rPr>
                <w:b/>
                <w:sz w:val="18"/>
                <w:szCs w:val="18"/>
              </w:rPr>
              <w:t>涂装有组织排放限值    单位：m</w:t>
            </w:r>
            <w:r>
              <w:rPr>
                <w:rFonts w:eastAsia="黑体"/>
                <w:b/>
                <w:sz w:val="18"/>
                <w:szCs w:val="18"/>
              </w:rPr>
              <w:t>g/Nm</w:t>
            </w:r>
            <w:r>
              <w:rPr>
                <w:rFonts w:eastAsia="黑体"/>
                <w:b/>
                <w:sz w:val="18"/>
                <w:szCs w:val="18"/>
                <w:vertAlign w:val="superscript"/>
              </w:rPr>
              <w:t>3</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681"/>
              <w:gridCol w:w="2146"/>
              <w:gridCol w:w="1416"/>
              <w:gridCol w:w="1567"/>
            </w:tblGrid>
            <w:tr w14:paraId="3D8956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70" w:hRule="atLeast"/>
              </w:trPr>
              <w:tc>
                <w:tcPr>
                  <w:tcW w:w="714" w:type="pct"/>
                  <w:vAlign w:val="center"/>
                </w:tcPr>
                <w:p w14:paraId="0C16D3AF">
                  <w:pPr>
                    <w:spacing w:line="240" w:lineRule="atLeast"/>
                    <w:jc w:val="center"/>
                    <w:rPr>
                      <w:sz w:val="18"/>
                      <w:szCs w:val="18"/>
                    </w:rPr>
                  </w:pPr>
                  <w:r>
                    <w:rPr>
                      <w:sz w:val="18"/>
                      <w:szCs w:val="18"/>
                    </w:rPr>
                    <w:t>工艺设施</w:t>
                  </w:r>
                </w:p>
              </w:tc>
              <w:tc>
                <w:tcPr>
                  <w:tcW w:w="1058" w:type="pct"/>
                  <w:vAlign w:val="center"/>
                </w:tcPr>
                <w:p w14:paraId="54F26C35">
                  <w:pPr>
                    <w:spacing w:line="240" w:lineRule="atLeast"/>
                    <w:jc w:val="center"/>
                    <w:rPr>
                      <w:sz w:val="18"/>
                      <w:szCs w:val="18"/>
                    </w:rPr>
                  </w:pPr>
                  <w:r>
                    <w:rPr>
                      <w:sz w:val="18"/>
                      <w:szCs w:val="18"/>
                    </w:rPr>
                    <w:t>污染物项目</w:t>
                  </w:r>
                </w:p>
              </w:tc>
              <w:tc>
                <w:tcPr>
                  <w:tcW w:w="1351" w:type="pct"/>
                  <w:vAlign w:val="center"/>
                </w:tcPr>
                <w:p w14:paraId="1F64F29C">
                  <w:pPr>
                    <w:spacing w:line="240" w:lineRule="atLeast"/>
                    <w:jc w:val="center"/>
                    <w:rPr>
                      <w:sz w:val="18"/>
                      <w:szCs w:val="18"/>
                    </w:rPr>
                  </w:pPr>
                  <w:r>
                    <w:rPr>
                      <w:sz w:val="18"/>
                      <w:szCs w:val="18"/>
                    </w:rPr>
                    <w:t>最高允许排放浓度mg</w:t>
                  </w:r>
                  <w:r>
                    <w:rPr>
                      <w:rFonts w:hint="eastAsia"/>
                      <w:sz w:val="18"/>
                      <w:szCs w:val="18"/>
                    </w:rPr>
                    <w:t>/m</w:t>
                  </w:r>
                  <w:r>
                    <w:rPr>
                      <w:rFonts w:hint="eastAsia"/>
                      <w:sz w:val="18"/>
                      <w:szCs w:val="18"/>
                      <w:vertAlign w:val="superscript"/>
                    </w:rPr>
                    <w:t>3</w:t>
                  </w:r>
                </w:p>
              </w:tc>
              <w:tc>
                <w:tcPr>
                  <w:tcW w:w="891" w:type="pct"/>
                  <w:vAlign w:val="center"/>
                </w:tcPr>
                <w:p w14:paraId="75F8F0CE">
                  <w:pPr>
                    <w:spacing w:line="240" w:lineRule="atLeast"/>
                    <w:jc w:val="center"/>
                    <w:rPr>
                      <w:sz w:val="18"/>
                      <w:szCs w:val="18"/>
                    </w:rPr>
                  </w:pPr>
                  <w:r>
                    <w:rPr>
                      <w:sz w:val="18"/>
                      <w:szCs w:val="18"/>
                    </w:rPr>
                    <w:t>最低去除效率</w:t>
                  </w:r>
                  <w:r>
                    <w:rPr>
                      <w:rFonts w:hint="eastAsia"/>
                      <w:sz w:val="18"/>
                      <w:szCs w:val="18"/>
                    </w:rPr>
                    <w:t>%</w:t>
                  </w:r>
                </w:p>
              </w:tc>
              <w:tc>
                <w:tcPr>
                  <w:tcW w:w="986" w:type="pct"/>
                  <w:vAlign w:val="center"/>
                </w:tcPr>
                <w:p w14:paraId="19AB67B3">
                  <w:pPr>
                    <w:spacing w:line="240" w:lineRule="atLeast"/>
                    <w:jc w:val="center"/>
                    <w:rPr>
                      <w:sz w:val="18"/>
                      <w:szCs w:val="18"/>
                    </w:rPr>
                  </w:pPr>
                  <w:r>
                    <w:rPr>
                      <w:sz w:val="18"/>
                      <w:szCs w:val="18"/>
                    </w:rPr>
                    <w:t>污染物排放监控位置</w:t>
                  </w:r>
                </w:p>
              </w:tc>
            </w:tr>
            <w:tr w14:paraId="70F62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4" w:type="pct"/>
                  <w:vMerge w:val="restart"/>
                  <w:vAlign w:val="center"/>
                </w:tcPr>
                <w:p w14:paraId="4095CC20">
                  <w:pPr>
                    <w:spacing w:line="240" w:lineRule="atLeast"/>
                    <w:jc w:val="center"/>
                    <w:rPr>
                      <w:sz w:val="18"/>
                      <w:szCs w:val="18"/>
                    </w:rPr>
                  </w:pPr>
                  <w:r>
                    <w:rPr>
                      <w:sz w:val="18"/>
                      <w:szCs w:val="18"/>
                    </w:rPr>
                    <w:t>有机废气排放口</w:t>
                  </w:r>
                </w:p>
              </w:tc>
              <w:tc>
                <w:tcPr>
                  <w:tcW w:w="1058" w:type="pct"/>
                  <w:vAlign w:val="center"/>
                </w:tcPr>
                <w:p w14:paraId="0DCD9601">
                  <w:pPr>
                    <w:spacing w:line="240" w:lineRule="atLeast"/>
                    <w:jc w:val="center"/>
                    <w:rPr>
                      <w:sz w:val="18"/>
                      <w:szCs w:val="18"/>
                    </w:rPr>
                  </w:pPr>
                  <w:r>
                    <w:rPr>
                      <w:sz w:val="18"/>
                      <w:szCs w:val="18"/>
                    </w:rPr>
                    <w:t>非甲烷总烃</w:t>
                  </w:r>
                </w:p>
              </w:tc>
              <w:tc>
                <w:tcPr>
                  <w:tcW w:w="1351" w:type="pct"/>
                  <w:vAlign w:val="center"/>
                </w:tcPr>
                <w:p w14:paraId="1B2A4265">
                  <w:pPr>
                    <w:spacing w:line="240" w:lineRule="atLeast"/>
                    <w:jc w:val="center"/>
                    <w:rPr>
                      <w:sz w:val="18"/>
                      <w:szCs w:val="18"/>
                    </w:rPr>
                  </w:pPr>
                  <w:r>
                    <w:rPr>
                      <w:rFonts w:hint="eastAsia"/>
                      <w:sz w:val="18"/>
                      <w:szCs w:val="18"/>
                    </w:rPr>
                    <w:t>60</w:t>
                  </w:r>
                </w:p>
              </w:tc>
              <w:tc>
                <w:tcPr>
                  <w:tcW w:w="891" w:type="pct"/>
                  <w:vAlign w:val="center"/>
                </w:tcPr>
                <w:p w14:paraId="62E2AF47">
                  <w:pPr>
                    <w:spacing w:line="240" w:lineRule="atLeast"/>
                    <w:jc w:val="center"/>
                    <w:rPr>
                      <w:sz w:val="18"/>
                      <w:szCs w:val="18"/>
                    </w:rPr>
                  </w:pPr>
                  <w:r>
                    <w:rPr>
                      <w:rFonts w:hint="eastAsia"/>
                      <w:sz w:val="18"/>
                      <w:szCs w:val="18"/>
                    </w:rPr>
                    <w:t>70</w:t>
                  </w:r>
                </w:p>
              </w:tc>
              <w:tc>
                <w:tcPr>
                  <w:tcW w:w="986" w:type="pct"/>
                  <w:vAlign w:val="center"/>
                </w:tcPr>
                <w:p w14:paraId="0A8566A9">
                  <w:pPr>
                    <w:spacing w:line="240" w:lineRule="atLeast"/>
                    <w:jc w:val="center"/>
                    <w:rPr>
                      <w:sz w:val="18"/>
                      <w:szCs w:val="18"/>
                    </w:rPr>
                  </w:pPr>
                  <w:r>
                    <w:rPr>
                      <w:sz w:val="18"/>
                      <w:szCs w:val="18"/>
                    </w:rPr>
                    <w:t>车间或生产设施排气筒</w:t>
                  </w:r>
                </w:p>
              </w:tc>
            </w:tr>
            <w:tr w14:paraId="60964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4" w:type="pct"/>
                  <w:vMerge w:val="continue"/>
                  <w:vAlign w:val="center"/>
                </w:tcPr>
                <w:p w14:paraId="4C7FBFCD">
                  <w:pPr>
                    <w:spacing w:line="240" w:lineRule="atLeast"/>
                    <w:jc w:val="center"/>
                    <w:rPr>
                      <w:sz w:val="18"/>
                      <w:szCs w:val="18"/>
                    </w:rPr>
                  </w:pPr>
                </w:p>
              </w:tc>
              <w:tc>
                <w:tcPr>
                  <w:tcW w:w="1058" w:type="pct"/>
                  <w:vAlign w:val="center"/>
                </w:tcPr>
                <w:p w14:paraId="483E74D7">
                  <w:pPr>
                    <w:spacing w:line="240" w:lineRule="atLeast"/>
                    <w:jc w:val="center"/>
                    <w:rPr>
                      <w:sz w:val="18"/>
                      <w:szCs w:val="18"/>
                    </w:rPr>
                  </w:pPr>
                  <w:r>
                    <w:rPr>
                      <w:sz w:val="18"/>
                      <w:szCs w:val="18"/>
                    </w:rPr>
                    <w:t>苯</w:t>
                  </w:r>
                </w:p>
              </w:tc>
              <w:tc>
                <w:tcPr>
                  <w:tcW w:w="1351" w:type="pct"/>
                  <w:vAlign w:val="center"/>
                </w:tcPr>
                <w:p w14:paraId="0285A0FC">
                  <w:pPr>
                    <w:spacing w:line="240" w:lineRule="atLeast"/>
                    <w:jc w:val="center"/>
                    <w:rPr>
                      <w:sz w:val="18"/>
                      <w:szCs w:val="18"/>
                    </w:rPr>
                  </w:pPr>
                  <w:r>
                    <w:rPr>
                      <w:rFonts w:hint="eastAsia"/>
                      <w:sz w:val="18"/>
                      <w:szCs w:val="18"/>
                    </w:rPr>
                    <w:t>1</w:t>
                  </w:r>
                </w:p>
              </w:tc>
              <w:tc>
                <w:tcPr>
                  <w:tcW w:w="891" w:type="pct"/>
                  <w:vAlign w:val="center"/>
                </w:tcPr>
                <w:p w14:paraId="469C51DC">
                  <w:pPr>
                    <w:spacing w:line="240" w:lineRule="atLeast"/>
                    <w:jc w:val="center"/>
                    <w:rPr>
                      <w:sz w:val="18"/>
                      <w:szCs w:val="18"/>
                    </w:rPr>
                  </w:pPr>
                  <w:r>
                    <w:rPr>
                      <w:rFonts w:hint="eastAsia"/>
                      <w:sz w:val="18"/>
                      <w:szCs w:val="18"/>
                    </w:rPr>
                    <w:t>/</w:t>
                  </w:r>
                </w:p>
              </w:tc>
              <w:tc>
                <w:tcPr>
                  <w:tcW w:w="986" w:type="pct"/>
                  <w:vAlign w:val="center"/>
                </w:tcPr>
                <w:p w14:paraId="65A6A66F">
                  <w:pPr>
                    <w:spacing w:line="240" w:lineRule="atLeast"/>
                    <w:jc w:val="center"/>
                    <w:rPr>
                      <w:sz w:val="18"/>
                      <w:szCs w:val="18"/>
                    </w:rPr>
                  </w:pPr>
                  <w:r>
                    <w:rPr>
                      <w:rFonts w:hint="eastAsia"/>
                      <w:sz w:val="18"/>
                      <w:szCs w:val="18"/>
                    </w:rPr>
                    <w:t>/</w:t>
                  </w:r>
                </w:p>
              </w:tc>
            </w:tr>
            <w:tr w14:paraId="36E74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4" w:type="pct"/>
                  <w:vMerge w:val="continue"/>
                  <w:vAlign w:val="center"/>
                </w:tcPr>
                <w:p w14:paraId="0A33DE4B">
                  <w:pPr>
                    <w:spacing w:line="240" w:lineRule="atLeast"/>
                    <w:jc w:val="center"/>
                    <w:rPr>
                      <w:sz w:val="18"/>
                      <w:szCs w:val="18"/>
                    </w:rPr>
                  </w:pPr>
                </w:p>
              </w:tc>
              <w:tc>
                <w:tcPr>
                  <w:tcW w:w="1058" w:type="pct"/>
                  <w:vAlign w:val="center"/>
                </w:tcPr>
                <w:p w14:paraId="2ABAE049">
                  <w:pPr>
                    <w:spacing w:line="240" w:lineRule="atLeast"/>
                    <w:jc w:val="center"/>
                    <w:rPr>
                      <w:sz w:val="18"/>
                      <w:szCs w:val="18"/>
                    </w:rPr>
                  </w:pPr>
                  <w:r>
                    <w:rPr>
                      <w:sz w:val="18"/>
                      <w:szCs w:val="18"/>
                    </w:rPr>
                    <w:t>甲苯与二甲苯合计</w:t>
                  </w:r>
                </w:p>
              </w:tc>
              <w:tc>
                <w:tcPr>
                  <w:tcW w:w="1351" w:type="pct"/>
                  <w:vAlign w:val="center"/>
                </w:tcPr>
                <w:p w14:paraId="6F6FD652">
                  <w:pPr>
                    <w:spacing w:line="240" w:lineRule="atLeast"/>
                    <w:jc w:val="center"/>
                    <w:rPr>
                      <w:sz w:val="18"/>
                      <w:szCs w:val="18"/>
                    </w:rPr>
                  </w:pPr>
                  <w:r>
                    <w:rPr>
                      <w:rFonts w:hint="eastAsia"/>
                      <w:sz w:val="18"/>
                      <w:szCs w:val="18"/>
                    </w:rPr>
                    <w:t>20</w:t>
                  </w:r>
                </w:p>
              </w:tc>
              <w:tc>
                <w:tcPr>
                  <w:tcW w:w="891" w:type="pct"/>
                  <w:vAlign w:val="center"/>
                </w:tcPr>
                <w:p w14:paraId="70E1BBDF">
                  <w:pPr>
                    <w:spacing w:line="240" w:lineRule="atLeast"/>
                    <w:jc w:val="center"/>
                    <w:rPr>
                      <w:sz w:val="18"/>
                      <w:szCs w:val="18"/>
                    </w:rPr>
                  </w:pPr>
                  <w:r>
                    <w:rPr>
                      <w:rFonts w:hint="eastAsia"/>
                      <w:sz w:val="18"/>
                      <w:szCs w:val="18"/>
                    </w:rPr>
                    <w:t>/</w:t>
                  </w:r>
                </w:p>
              </w:tc>
              <w:tc>
                <w:tcPr>
                  <w:tcW w:w="986" w:type="pct"/>
                  <w:vAlign w:val="center"/>
                </w:tcPr>
                <w:p w14:paraId="3B13090E">
                  <w:pPr>
                    <w:spacing w:line="240" w:lineRule="atLeast"/>
                    <w:jc w:val="center"/>
                    <w:rPr>
                      <w:sz w:val="18"/>
                      <w:szCs w:val="18"/>
                    </w:rPr>
                  </w:pPr>
                  <w:r>
                    <w:rPr>
                      <w:rFonts w:hint="eastAsia"/>
                      <w:sz w:val="18"/>
                      <w:szCs w:val="18"/>
                    </w:rPr>
                    <w:t>/</w:t>
                  </w:r>
                </w:p>
              </w:tc>
            </w:tr>
          </w:tbl>
          <w:p w14:paraId="758BD798">
            <w:pPr>
              <w:spacing w:line="360" w:lineRule="auto"/>
              <w:ind w:firstLine="420" w:firstLineChars="200"/>
              <w:rPr>
                <w:szCs w:val="21"/>
              </w:rPr>
            </w:pPr>
            <w:r>
              <w:rPr>
                <w:rFonts w:hint="eastAsia"/>
                <w:szCs w:val="21"/>
              </w:rPr>
              <w:t>挥发性有机物（以非甲烷总烃计）无组织排放执行《挥发性有机物无组织排放控制标准》（</w:t>
            </w:r>
            <w:r>
              <w:rPr>
                <w:szCs w:val="21"/>
              </w:rPr>
              <w:t>GB 37822-2019</w:t>
            </w:r>
            <w:r>
              <w:rPr>
                <w:rFonts w:hint="eastAsia"/>
                <w:szCs w:val="21"/>
              </w:rPr>
              <w:t>）中相关要求；</w:t>
            </w:r>
          </w:p>
          <w:p w14:paraId="7CB08D6E">
            <w:pPr>
              <w:jc w:val="center"/>
              <w:rPr>
                <w:rFonts w:eastAsia="黑体"/>
                <w:b/>
                <w:sz w:val="18"/>
                <w:szCs w:val="18"/>
                <w:vertAlign w:val="superscript"/>
              </w:rPr>
            </w:pPr>
            <w:r>
              <w:rPr>
                <w:b/>
                <w:sz w:val="18"/>
                <w:szCs w:val="18"/>
              </w:rPr>
              <w:t>表3</w:t>
            </w:r>
            <w:r>
              <w:rPr>
                <w:rFonts w:hint="eastAsia"/>
                <w:b/>
                <w:sz w:val="18"/>
                <w:szCs w:val="18"/>
                <w:lang w:val="en-US" w:eastAsia="zh-CN"/>
              </w:rPr>
              <w:t>.5-3</w:t>
            </w:r>
            <w:r>
              <w:rPr>
                <w:rFonts w:hint="eastAsia"/>
                <w:b/>
                <w:sz w:val="18"/>
                <w:szCs w:val="18"/>
              </w:rPr>
              <w:t xml:space="preserve"> </w:t>
            </w:r>
            <w:r>
              <w:rPr>
                <w:b/>
                <w:sz w:val="18"/>
                <w:szCs w:val="18"/>
              </w:rPr>
              <w:t xml:space="preserve">   </w:t>
            </w:r>
            <w:r>
              <w:rPr>
                <w:rFonts w:hint="eastAsia"/>
                <w:b/>
                <w:sz w:val="18"/>
                <w:szCs w:val="18"/>
              </w:rPr>
              <w:t>挥发性有机物无组织排放控制标准</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2094"/>
              <w:gridCol w:w="2674"/>
              <w:gridCol w:w="1764"/>
            </w:tblGrid>
            <w:tr w14:paraId="7787B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889" w:type="pct"/>
                  <w:vAlign w:val="center"/>
                </w:tcPr>
                <w:p w14:paraId="37DC1807">
                  <w:pPr>
                    <w:spacing w:line="240" w:lineRule="atLeast"/>
                    <w:jc w:val="center"/>
                    <w:rPr>
                      <w:sz w:val="18"/>
                      <w:szCs w:val="18"/>
                    </w:rPr>
                  </w:pPr>
                  <w:r>
                    <w:rPr>
                      <w:sz w:val="18"/>
                      <w:szCs w:val="18"/>
                    </w:rPr>
                    <w:t>污染物项目</w:t>
                  </w:r>
                </w:p>
              </w:tc>
              <w:tc>
                <w:tcPr>
                  <w:tcW w:w="1318" w:type="pct"/>
                  <w:vAlign w:val="center"/>
                </w:tcPr>
                <w:p w14:paraId="0CA63A8B">
                  <w:pPr>
                    <w:spacing w:line="240" w:lineRule="atLeast"/>
                    <w:jc w:val="center"/>
                    <w:rPr>
                      <w:sz w:val="18"/>
                      <w:szCs w:val="18"/>
                    </w:rPr>
                  </w:pPr>
                  <w:r>
                    <w:rPr>
                      <w:sz w:val="18"/>
                      <w:szCs w:val="18"/>
                    </w:rPr>
                    <w:t>特别排放限值mg</w:t>
                  </w:r>
                  <w:r>
                    <w:rPr>
                      <w:rFonts w:hint="eastAsia"/>
                      <w:sz w:val="18"/>
                      <w:szCs w:val="18"/>
                    </w:rPr>
                    <w:t>/m</w:t>
                  </w:r>
                  <w:r>
                    <w:rPr>
                      <w:rFonts w:hint="eastAsia"/>
                      <w:sz w:val="18"/>
                      <w:szCs w:val="18"/>
                      <w:vertAlign w:val="superscript"/>
                    </w:rPr>
                    <w:t>3</w:t>
                  </w:r>
                </w:p>
              </w:tc>
              <w:tc>
                <w:tcPr>
                  <w:tcW w:w="1683" w:type="pct"/>
                  <w:vAlign w:val="center"/>
                </w:tcPr>
                <w:p w14:paraId="16377D22">
                  <w:pPr>
                    <w:spacing w:line="240" w:lineRule="atLeast"/>
                    <w:jc w:val="center"/>
                    <w:rPr>
                      <w:sz w:val="18"/>
                      <w:szCs w:val="18"/>
                    </w:rPr>
                  </w:pPr>
                  <w:r>
                    <w:rPr>
                      <w:rFonts w:hint="eastAsia"/>
                      <w:sz w:val="18"/>
                      <w:szCs w:val="18"/>
                    </w:rPr>
                    <w:t>限值含义</w:t>
                  </w:r>
                </w:p>
              </w:tc>
              <w:tc>
                <w:tcPr>
                  <w:tcW w:w="1110" w:type="pct"/>
                  <w:vAlign w:val="center"/>
                </w:tcPr>
                <w:p w14:paraId="6F49D846">
                  <w:pPr>
                    <w:spacing w:line="240" w:lineRule="atLeast"/>
                    <w:jc w:val="center"/>
                    <w:rPr>
                      <w:sz w:val="18"/>
                      <w:szCs w:val="18"/>
                    </w:rPr>
                  </w:pPr>
                  <w:r>
                    <w:rPr>
                      <w:rFonts w:hint="eastAsia"/>
                      <w:sz w:val="18"/>
                      <w:szCs w:val="18"/>
                    </w:rPr>
                    <w:t>无组织</w:t>
                  </w:r>
                  <w:r>
                    <w:rPr>
                      <w:sz w:val="18"/>
                      <w:szCs w:val="18"/>
                    </w:rPr>
                    <w:t>排放监控位置</w:t>
                  </w:r>
                </w:p>
              </w:tc>
            </w:tr>
            <w:tr w14:paraId="362E66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89" w:type="pct"/>
                  <w:vMerge w:val="restart"/>
                  <w:vAlign w:val="center"/>
                </w:tcPr>
                <w:p w14:paraId="4F220749">
                  <w:pPr>
                    <w:spacing w:line="240" w:lineRule="atLeast"/>
                    <w:jc w:val="center"/>
                    <w:rPr>
                      <w:sz w:val="18"/>
                      <w:szCs w:val="18"/>
                    </w:rPr>
                  </w:pPr>
                  <w:r>
                    <w:rPr>
                      <w:rFonts w:hint="eastAsia"/>
                      <w:sz w:val="18"/>
                      <w:szCs w:val="18"/>
                    </w:rPr>
                    <w:t>NMHC</w:t>
                  </w:r>
                </w:p>
              </w:tc>
              <w:tc>
                <w:tcPr>
                  <w:tcW w:w="1318" w:type="pct"/>
                  <w:vAlign w:val="center"/>
                </w:tcPr>
                <w:p w14:paraId="5942E50E">
                  <w:pPr>
                    <w:spacing w:line="240" w:lineRule="atLeast"/>
                    <w:jc w:val="center"/>
                    <w:rPr>
                      <w:sz w:val="18"/>
                      <w:szCs w:val="18"/>
                    </w:rPr>
                  </w:pPr>
                  <w:r>
                    <w:rPr>
                      <w:rFonts w:hint="eastAsia"/>
                      <w:sz w:val="18"/>
                      <w:szCs w:val="18"/>
                    </w:rPr>
                    <w:t>6</w:t>
                  </w:r>
                </w:p>
              </w:tc>
              <w:tc>
                <w:tcPr>
                  <w:tcW w:w="1683" w:type="pct"/>
                  <w:vAlign w:val="center"/>
                </w:tcPr>
                <w:p w14:paraId="1264F0CF">
                  <w:pPr>
                    <w:spacing w:line="240" w:lineRule="atLeast"/>
                    <w:jc w:val="center"/>
                    <w:rPr>
                      <w:sz w:val="18"/>
                      <w:szCs w:val="18"/>
                    </w:rPr>
                  </w:pPr>
                  <w:r>
                    <w:rPr>
                      <w:sz w:val="18"/>
                      <w:szCs w:val="18"/>
                    </w:rPr>
                    <w:t>监控点处</w:t>
                  </w:r>
                  <w:r>
                    <w:rPr>
                      <w:rFonts w:hint="eastAsia"/>
                      <w:sz w:val="18"/>
                      <w:szCs w:val="18"/>
                    </w:rPr>
                    <w:t>1h平均浓度值</w:t>
                  </w:r>
                </w:p>
              </w:tc>
              <w:tc>
                <w:tcPr>
                  <w:tcW w:w="1110" w:type="pct"/>
                  <w:vMerge w:val="restart"/>
                  <w:vAlign w:val="center"/>
                </w:tcPr>
                <w:p w14:paraId="3D3B54A2">
                  <w:pPr>
                    <w:spacing w:line="240" w:lineRule="atLeast"/>
                    <w:jc w:val="center"/>
                    <w:rPr>
                      <w:sz w:val="18"/>
                      <w:szCs w:val="18"/>
                    </w:rPr>
                  </w:pPr>
                  <w:r>
                    <w:rPr>
                      <w:sz w:val="18"/>
                      <w:szCs w:val="18"/>
                    </w:rPr>
                    <w:t>在厂房外设置监控点</w:t>
                  </w:r>
                </w:p>
              </w:tc>
            </w:tr>
            <w:tr w14:paraId="06491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89" w:type="pct"/>
                  <w:vMerge w:val="continue"/>
                  <w:vAlign w:val="center"/>
                </w:tcPr>
                <w:p w14:paraId="2A42AFE2">
                  <w:pPr>
                    <w:spacing w:line="240" w:lineRule="atLeast"/>
                    <w:jc w:val="center"/>
                    <w:rPr>
                      <w:sz w:val="18"/>
                      <w:szCs w:val="18"/>
                    </w:rPr>
                  </w:pPr>
                </w:p>
              </w:tc>
              <w:tc>
                <w:tcPr>
                  <w:tcW w:w="1318" w:type="pct"/>
                  <w:vAlign w:val="center"/>
                </w:tcPr>
                <w:p w14:paraId="10042215">
                  <w:pPr>
                    <w:spacing w:line="240" w:lineRule="atLeast"/>
                    <w:jc w:val="center"/>
                    <w:rPr>
                      <w:sz w:val="18"/>
                      <w:szCs w:val="18"/>
                    </w:rPr>
                  </w:pPr>
                  <w:r>
                    <w:rPr>
                      <w:rFonts w:hint="eastAsia"/>
                      <w:sz w:val="18"/>
                      <w:szCs w:val="18"/>
                    </w:rPr>
                    <w:t>20</w:t>
                  </w:r>
                </w:p>
              </w:tc>
              <w:tc>
                <w:tcPr>
                  <w:tcW w:w="1683" w:type="pct"/>
                  <w:vAlign w:val="center"/>
                </w:tcPr>
                <w:p w14:paraId="67886C78">
                  <w:pPr>
                    <w:spacing w:line="240" w:lineRule="atLeast"/>
                    <w:jc w:val="center"/>
                    <w:rPr>
                      <w:sz w:val="18"/>
                      <w:szCs w:val="18"/>
                    </w:rPr>
                  </w:pPr>
                  <w:r>
                    <w:rPr>
                      <w:sz w:val="18"/>
                      <w:szCs w:val="18"/>
                    </w:rPr>
                    <w:t>监控点</w:t>
                  </w:r>
                  <w:r>
                    <w:rPr>
                      <w:rFonts w:hint="eastAsia"/>
                      <w:sz w:val="18"/>
                      <w:szCs w:val="18"/>
                    </w:rPr>
                    <w:t>任意一次浓度值</w:t>
                  </w:r>
                </w:p>
              </w:tc>
              <w:tc>
                <w:tcPr>
                  <w:tcW w:w="1110" w:type="pct"/>
                  <w:vMerge w:val="continue"/>
                  <w:vAlign w:val="center"/>
                </w:tcPr>
                <w:p w14:paraId="361E7C28">
                  <w:pPr>
                    <w:spacing w:line="240" w:lineRule="atLeast"/>
                    <w:jc w:val="center"/>
                    <w:rPr>
                      <w:sz w:val="18"/>
                      <w:szCs w:val="18"/>
                    </w:rPr>
                  </w:pPr>
                </w:p>
              </w:tc>
            </w:tr>
          </w:tbl>
          <w:p w14:paraId="10E36CD1">
            <w:pPr>
              <w:spacing w:line="360" w:lineRule="auto"/>
              <w:ind w:firstLine="420" w:firstLineChars="200"/>
              <w:rPr>
                <w:szCs w:val="21"/>
              </w:rPr>
            </w:pPr>
            <w:r>
              <w:rPr>
                <w:rFonts w:hint="eastAsia"/>
                <w:szCs w:val="21"/>
              </w:rPr>
              <w:t>厂区内职工食堂设置2个基本灶头，食堂油烟排放执行《饮食业油烟排放标准（试行）》（GB18483-2001）中“小型”标准要求。</w:t>
            </w:r>
          </w:p>
          <w:p w14:paraId="6948EBF9">
            <w:pPr>
              <w:jc w:val="center"/>
              <w:rPr>
                <w:rFonts w:eastAsia="黑体"/>
                <w:b/>
                <w:sz w:val="18"/>
                <w:szCs w:val="18"/>
                <w:vertAlign w:val="superscript"/>
              </w:rPr>
            </w:pPr>
            <w:r>
              <w:rPr>
                <w:b/>
                <w:sz w:val="18"/>
                <w:szCs w:val="18"/>
              </w:rPr>
              <w:t>表3</w:t>
            </w:r>
            <w:r>
              <w:rPr>
                <w:rFonts w:hint="eastAsia"/>
                <w:b/>
                <w:sz w:val="18"/>
                <w:szCs w:val="18"/>
                <w:lang w:val="en-US" w:eastAsia="zh-CN"/>
              </w:rPr>
              <w:t>.5-4</w:t>
            </w:r>
            <w:r>
              <w:rPr>
                <w:b/>
                <w:sz w:val="18"/>
                <w:szCs w:val="18"/>
              </w:rPr>
              <w:t xml:space="preserve">    </w:t>
            </w:r>
            <w:r>
              <w:rPr>
                <w:rFonts w:hint="eastAsia"/>
                <w:b/>
                <w:sz w:val="18"/>
                <w:szCs w:val="18"/>
              </w:rPr>
              <w:t>饮食业单位的规模划分</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962"/>
              <w:gridCol w:w="1627"/>
              <w:gridCol w:w="1578"/>
              <w:gridCol w:w="777"/>
            </w:tblGrid>
            <w:tr w14:paraId="670BA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494" w:type="pct"/>
                  <w:vAlign w:val="center"/>
                </w:tcPr>
                <w:p w14:paraId="0F6AFE90">
                  <w:pPr>
                    <w:spacing w:line="240" w:lineRule="atLeast"/>
                    <w:jc w:val="center"/>
                    <w:rPr>
                      <w:sz w:val="18"/>
                      <w:szCs w:val="18"/>
                    </w:rPr>
                  </w:pPr>
                  <w:r>
                    <w:rPr>
                      <w:sz w:val="18"/>
                      <w:szCs w:val="18"/>
                    </w:rPr>
                    <w:t>规模</w:t>
                  </w:r>
                </w:p>
              </w:tc>
              <w:tc>
                <w:tcPr>
                  <w:tcW w:w="1024" w:type="pct"/>
                  <w:vAlign w:val="center"/>
                </w:tcPr>
                <w:p w14:paraId="71228D24">
                  <w:pPr>
                    <w:spacing w:line="240" w:lineRule="atLeast"/>
                    <w:jc w:val="center"/>
                    <w:rPr>
                      <w:sz w:val="18"/>
                      <w:szCs w:val="18"/>
                    </w:rPr>
                  </w:pPr>
                  <w:r>
                    <w:rPr>
                      <w:sz w:val="18"/>
                      <w:szCs w:val="18"/>
                    </w:rPr>
                    <w:t>小型</w:t>
                  </w:r>
                </w:p>
              </w:tc>
              <w:tc>
                <w:tcPr>
                  <w:tcW w:w="993" w:type="pct"/>
                  <w:vAlign w:val="center"/>
                </w:tcPr>
                <w:p w14:paraId="0069E358">
                  <w:pPr>
                    <w:spacing w:line="240" w:lineRule="atLeast"/>
                    <w:jc w:val="center"/>
                    <w:rPr>
                      <w:sz w:val="18"/>
                      <w:szCs w:val="18"/>
                    </w:rPr>
                  </w:pPr>
                  <w:r>
                    <w:rPr>
                      <w:sz w:val="18"/>
                      <w:szCs w:val="18"/>
                    </w:rPr>
                    <w:t>中型</w:t>
                  </w:r>
                </w:p>
              </w:tc>
              <w:tc>
                <w:tcPr>
                  <w:tcW w:w="489" w:type="pct"/>
                  <w:vAlign w:val="center"/>
                </w:tcPr>
                <w:p w14:paraId="51D65667">
                  <w:pPr>
                    <w:spacing w:line="240" w:lineRule="atLeast"/>
                    <w:jc w:val="center"/>
                    <w:rPr>
                      <w:sz w:val="18"/>
                      <w:szCs w:val="18"/>
                    </w:rPr>
                  </w:pPr>
                  <w:r>
                    <w:rPr>
                      <w:sz w:val="18"/>
                      <w:szCs w:val="18"/>
                    </w:rPr>
                    <w:t>大型</w:t>
                  </w:r>
                </w:p>
              </w:tc>
            </w:tr>
            <w:tr w14:paraId="498CB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94" w:type="pct"/>
                  <w:vAlign w:val="center"/>
                </w:tcPr>
                <w:p w14:paraId="24C28671">
                  <w:pPr>
                    <w:spacing w:line="240" w:lineRule="atLeast"/>
                    <w:jc w:val="center"/>
                    <w:rPr>
                      <w:sz w:val="18"/>
                      <w:szCs w:val="18"/>
                    </w:rPr>
                  </w:pPr>
                  <w:r>
                    <w:rPr>
                      <w:sz w:val="18"/>
                      <w:szCs w:val="18"/>
                    </w:rPr>
                    <w:t>基准灶头数</w:t>
                  </w:r>
                </w:p>
              </w:tc>
              <w:tc>
                <w:tcPr>
                  <w:tcW w:w="1024" w:type="pct"/>
                  <w:vAlign w:val="center"/>
                </w:tcPr>
                <w:p w14:paraId="5643A707">
                  <w:pPr>
                    <w:spacing w:line="240" w:lineRule="atLeast"/>
                    <w:jc w:val="center"/>
                    <w:rPr>
                      <w:sz w:val="18"/>
                      <w:szCs w:val="18"/>
                    </w:rPr>
                  </w:pPr>
                  <w:r>
                    <w:rPr>
                      <w:sz w:val="18"/>
                      <w:szCs w:val="18"/>
                    </w:rPr>
                    <w:t>≥</w:t>
                  </w:r>
                  <w:r>
                    <w:rPr>
                      <w:rFonts w:hint="eastAsia"/>
                      <w:sz w:val="18"/>
                      <w:szCs w:val="18"/>
                    </w:rPr>
                    <w:t>1，＜3</w:t>
                  </w:r>
                </w:p>
              </w:tc>
              <w:tc>
                <w:tcPr>
                  <w:tcW w:w="993" w:type="pct"/>
                  <w:vAlign w:val="center"/>
                </w:tcPr>
                <w:p w14:paraId="253F07F6">
                  <w:pPr>
                    <w:spacing w:line="240" w:lineRule="atLeast"/>
                    <w:jc w:val="center"/>
                    <w:rPr>
                      <w:sz w:val="18"/>
                      <w:szCs w:val="18"/>
                    </w:rPr>
                  </w:pPr>
                  <w:r>
                    <w:rPr>
                      <w:sz w:val="18"/>
                      <w:szCs w:val="18"/>
                    </w:rPr>
                    <w:t>≥</w:t>
                  </w:r>
                  <w:r>
                    <w:rPr>
                      <w:rFonts w:hint="eastAsia"/>
                      <w:sz w:val="18"/>
                      <w:szCs w:val="18"/>
                    </w:rPr>
                    <w:t>3，＜6</w:t>
                  </w:r>
                </w:p>
              </w:tc>
              <w:tc>
                <w:tcPr>
                  <w:tcW w:w="489" w:type="pct"/>
                  <w:vAlign w:val="center"/>
                </w:tcPr>
                <w:p w14:paraId="3C45F7F3">
                  <w:pPr>
                    <w:spacing w:line="240" w:lineRule="atLeast"/>
                    <w:jc w:val="center"/>
                    <w:rPr>
                      <w:sz w:val="18"/>
                      <w:szCs w:val="18"/>
                    </w:rPr>
                  </w:pPr>
                  <w:r>
                    <w:rPr>
                      <w:sz w:val="18"/>
                      <w:szCs w:val="18"/>
                    </w:rPr>
                    <w:t>≥</w:t>
                  </w:r>
                  <w:r>
                    <w:rPr>
                      <w:rFonts w:hint="eastAsia"/>
                      <w:sz w:val="18"/>
                      <w:szCs w:val="18"/>
                    </w:rPr>
                    <w:t>6</w:t>
                  </w:r>
                </w:p>
              </w:tc>
            </w:tr>
            <w:tr w14:paraId="643267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94" w:type="pct"/>
                  <w:vAlign w:val="center"/>
                </w:tcPr>
                <w:p w14:paraId="26627706">
                  <w:pPr>
                    <w:spacing w:line="240" w:lineRule="atLeast"/>
                    <w:jc w:val="center"/>
                    <w:rPr>
                      <w:sz w:val="18"/>
                      <w:szCs w:val="18"/>
                    </w:rPr>
                  </w:pPr>
                  <w:r>
                    <w:rPr>
                      <w:sz w:val="18"/>
                      <w:szCs w:val="18"/>
                    </w:rPr>
                    <w:t>对应灶头总功率</w:t>
                  </w:r>
                  <w:r>
                    <w:rPr>
                      <w:rFonts w:hint="eastAsia"/>
                      <w:sz w:val="18"/>
                      <w:szCs w:val="18"/>
                    </w:rPr>
                    <w:t>（10</w:t>
                  </w:r>
                  <w:r>
                    <w:rPr>
                      <w:rFonts w:hint="eastAsia"/>
                      <w:sz w:val="18"/>
                      <w:szCs w:val="18"/>
                      <w:vertAlign w:val="superscript"/>
                    </w:rPr>
                    <w:t>8</w:t>
                  </w:r>
                  <w:r>
                    <w:rPr>
                      <w:rFonts w:hint="eastAsia"/>
                      <w:sz w:val="18"/>
                      <w:szCs w:val="18"/>
                    </w:rPr>
                    <w:t>J/h）</w:t>
                  </w:r>
                </w:p>
              </w:tc>
              <w:tc>
                <w:tcPr>
                  <w:tcW w:w="1024" w:type="pct"/>
                  <w:vAlign w:val="center"/>
                </w:tcPr>
                <w:p w14:paraId="7CCC14B3">
                  <w:pPr>
                    <w:spacing w:line="240" w:lineRule="atLeast"/>
                    <w:jc w:val="center"/>
                    <w:rPr>
                      <w:sz w:val="18"/>
                      <w:szCs w:val="18"/>
                    </w:rPr>
                  </w:pPr>
                  <w:r>
                    <w:rPr>
                      <w:rFonts w:hint="eastAsia"/>
                      <w:sz w:val="18"/>
                      <w:szCs w:val="18"/>
                    </w:rPr>
                    <w:t>1.67，＜5.00</w:t>
                  </w:r>
                </w:p>
              </w:tc>
              <w:tc>
                <w:tcPr>
                  <w:tcW w:w="993" w:type="pct"/>
                  <w:vAlign w:val="center"/>
                </w:tcPr>
                <w:p w14:paraId="2F9CF825">
                  <w:pPr>
                    <w:spacing w:line="240" w:lineRule="atLeast"/>
                    <w:jc w:val="center"/>
                    <w:rPr>
                      <w:sz w:val="18"/>
                      <w:szCs w:val="18"/>
                    </w:rPr>
                  </w:pPr>
                  <w:r>
                    <w:rPr>
                      <w:sz w:val="18"/>
                      <w:szCs w:val="18"/>
                    </w:rPr>
                    <w:t>≥</w:t>
                  </w:r>
                  <w:r>
                    <w:rPr>
                      <w:rFonts w:hint="eastAsia"/>
                      <w:sz w:val="18"/>
                      <w:szCs w:val="18"/>
                    </w:rPr>
                    <w:t>5.00，＜10</w:t>
                  </w:r>
                </w:p>
              </w:tc>
              <w:tc>
                <w:tcPr>
                  <w:tcW w:w="489" w:type="pct"/>
                  <w:vAlign w:val="center"/>
                </w:tcPr>
                <w:p w14:paraId="7EF51A4F">
                  <w:pPr>
                    <w:spacing w:line="240" w:lineRule="atLeast"/>
                    <w:jc w:val="center"/>
                    <w:rPr>
                      <w:sz w:val="18"/>
                      <w:szCs w:val="18"/>
                    </w:rPr>
                  </w:pPr>
                  <w:r>
                    <w:rPr>
                      <w:sz w:val="18"/>
                      <w:szCs w:val="18"/>
                    </w:rPr>
                    <w:t>≥</w:t>
                  </w:r>
                  <w:r>
                    <w:rPr>
                      <w:rFonts w:hint="eastAsia"/>
                      <w:sz w:val="18"/>
                      <w:szCs w:val="18"/>
                    </w:rPr>
                    <w:t>10</w:t>
                  </w:r>
                </w:p>
              </w:tc>
            </w:tr>
            <w:tr w14:paraId="3A7386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94" w:type="pct"/>
                  <w:vAlign w:val="center"/>
                </w:tcPr>
                <w:p w14:paraId="2EE13736">
                  <w:pPr>
                    <w:spacing w:line="240" w:lineRule="atLeast"/>
                    <w:jc w:val="center"/>
                    <w:rPr>
                      <w:sz w:val="18"/>
                      <w:szCs w:val="18"/>
                    </w:rPr>
                  </w:pPr>
                  <w:r>
                    <w:rPr>
                      <w:rFonts w:hint="eastAsia"/>
                      <w:sz w:val="18"/>
                      <w:szCs w:val="18"/>
                    </w:rPr>
                    <w:t>对应排气罩灶面总投影面积（m</w:t>
                  </w:r>
                  <w:r>
                    <w:rPr>
                      <w:rFonts w:hint="eastAsia"/>
                      <w:sz w:val="18"/>
                      <w:szCs w:val="18"/>
                      <w:vertAlign w:val="superscript"/>
                    </w:rPr>
                    <w:t>2</w:t>
                  </w:r>
                  <w:r>
                    <w:rPr>
                      <w:rFonts w:hint="eastAsia"/>
                      <w:sz w:val="18"/>
                      <w:szCs w:val="18"/>
                    </w:rPr>
                    <w:t>）</w:t>
                  </w:r>
                </w:p>
              </w:tc>
              <w:tc>
                <w:tcPr>
                  <w:tcW w:w="1024" w:type="pct"/>
                  <w:vAlign w:val="center"/>
                </w:tcPr>
                <w:p w14:paraId="088D6768">
                  <w:pPr>
                    <w:spacing w:line="240" w:lineRule="atLeast"/>
                    <w:jc w:val="center"/>
                    <w:rPr>
                      <w:sz w:val="18"/>
                      <w:szCs w:val="18"/>
                    </w:rPr>
                  </w:pPr>
                  <w:r>
                    <w:rPr>
                      <w:sz w:val="18"/>
                      <w:szCs w:val="18"/>
                    </w:rPr>
                    <w:t>≥</w:t>
                  </w:r>
                  <w:r>
                    <w:rPr>
                      <w:rFonts w:hint="eastAsia"/>
                      <w:sz w:val="18"/>
                      <w:szCs w:val="18"/>
                    </w:rPr>
                    <w:t>1.1，＜3.3</w:t>
                  </w:r>
                </w:p>
              </w:tc>
              <w:tc>
                <w:tcPr>
                  <w:tcW w:w="993" w:type="pct"/>
                  <w:vAlign w:val="center"/>
                </w:tcPr>
                <w:p w14:paraId="35C1D9F3">
                  <w:pPr>
                    <w:spacing w:line="240" w:lineRule="atLeast"/>
                    <w:jc w:val="center"/>
                    <w:rPr>
                      <w:sz w:val="18"/>
                      <w:szCs w:val="18"/>
                    </w:rPr>
                  </w:pPr>
                  <w:r>
                    <w:rPr>
                      <w:sz w:val="18"/>
                      <w:szCs w:val="18"/>
                    </w:rPr>
                    <w:t>≥</w:t>
                  </w:r>
                  <w:r>
                    <w:rPr>
                      <w:rFonts w:hint="eastAsia"/>
                      <w:sz w:val="18"/>
                      <w:szCs w:val="18"/>
                    </w:rPr>
                    <w:t>3.3，＜6.6</w:t>
                  </w:r>
                </w:p>
              </w:tc>
              <w:tc>
                <w:tcPr>
                  <w:tcW w:w="489" w:type="pct"/>
                  <w:vAlign w:val="center"/>
                </w:tcPr>
                <w:p w14:paraId="1F92CEE2">
                  <w:pPr>
                    <w:spacing w:line="240" w:lineRule="atLeast"/>
                    <w:jc w:val="center"/>
                    <w:rPr>
                      <w:sz w:val="18"/>
                      <w:szCs w:val="18"/>
                    </w:rPr>
                  </w:pPr>
                  <w:r>
                    <w:rPr>
                      <w:sz w:val="18"/>
                      <w:szCs w:val="18"/>
                    </w:rPr>
                    <w:t>≥</w:t>
                  </w:r>
                  <w:r>
                    <w:rPr>
                      <w:rFonts w:hint="eastAsia"/>
                      <w:sz w:val="18"/>
                      <w:szCs w:val="18"/>
                    </w:rPr>
                    <w:t>6.6</w:t>
                  </w:r>
                </w:p>
              </w:tc>
            </w:tr>
          </w:tbl>
          <w:p w14:paraId="54412E39">
            <w:pPr>
              <w:jc w:val="center"/>
              <w:rPr>
                <w:rFonts w:eastAsia="黑体"/>
                <w:b/>
                <w:sz w:val="18"/>
                <w:szCs w:val="18"/>
                <w:vertAlign w:val="superscript"/>
              </w:rPr>
            </w:pPr>
            <w:r>
              <w:rPr>
                <w:b/>
                <w:sz w:val="18"/>
                <w:szCs w:val="18"/>
              </w:rPr>
              <w:t>表3</w:t>
            </w:r>
            <w:r>
              <w:rPr>
                <w:rFonts w:hint="eastAsia"/>
                <w:b/>
                <w:sz w:val="18"/>
                <w:szCs w:val="18"/>
                <w:lang w:val="en-US" w:eastAsia="zh-CN"/>
              </w:rPr>
              <w:t xml:space="preserve">.5-5 </w:t>
            </w:r>
            <w:r>
              <w:rPr>
                <w:b/>
                <w:sz w:val="18"/>
                <w:szCs w:val="18"/>
              </w:rPr>
              <w:t xml:space="preserve">   </w:t>
            </w:r>
            <w:r>
              <w:rPr>
                <w:rFonts w:hint="eastAsia"/>
                <w:b/>
                <w:sz w:val="18"/>
                <w:szCs w:val="18"/>
              </w:rPr>
              <w:t>油烟最高允许排放浓度和油烟净化设施最低去除效率</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715"/>
              <w:gridCol w:w="980"/>
              <w:gridCol w:w="980"/>
              <w:gridCol w:w="982"/>
              <w:gridCol w:w="1287"/>
            </w:tblGrid>
            <w:tr w14:paraId="1C1ECB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38" w:type="pct"/>
                  <w:vAlign w:val="center"/>
                </w:tcPr>
                <w:p w14:paraId="45BBC216">
                  <w:pPr>
                    <w:spacing w:line="240" w:lineRule="atLeast"/>
                    <w:jc w:val="center"/>
                    <w:rPr>
                      <w:sz w:val="18"/>
                      <w:szCs w:val="18"/>
                    </w:rPr>
                  </w:pPr>
                  <w:r>
                    <w:rPr>
                      <w:sz w:val="18"/>
                      <w:szCs w:val="18"/>
                    </w:rPr>
                    <w:t>规模</w:t>
                  </w:r>
                </w:p>
              </w:tc>
              <w:tc>
                <w:tcPr>
                  <w:tcW w:w="617" w:type="pct"/>
                  <w:vAlign w:val="center"/>
                </w:tcPr>
                <w:p w14:paraId="22E6C90F">
                  <w:pPr>
                    <w:spacing w:line="240" w:lineRule="atLeast"/>
                    <w:jc w:val="center"/>
                    <w:rPr>
                      <w:sz w:val="18"/>
                      <w:szCs w:val="18"/>
                    </w:rPr>
                  </w:pPr>
                  <w:r>
                    <w:rPr>
                      <w:sz w:val="18"/>
                      <w:szCs w:val="18"/>
                    </w:rPr>
                    <w:t>小型</w:t>
                  </w:r>
                </w:p>
              </w:tc>
              <w:tc>
                <w:tcPr>
                  <w:tcW w:w="617" w:type="pct"/>
                  <w:vAlign w:val="center"/>
                </w:tcPr>
                <w:p w14:paraId="0511171F">
                  <w:pPr>
                    <w:spacing w:line="240" w:lineRule="atLeast"/>
                    <w:jc w:val="center"/>
                    <w:rPr>
                      <w:sz w:val="18"/>
                      <w:szCs w:val="18"/>
                    </w:rPr>
                  </w:pPr>
                  <w:r>
                    <w:rPr>
                      <w:sz w:val="18"/>
                      <w:szCs w:val="18"/>
                    </w:rPr>
                    <w:t>中型</w:t>
                  </w:r>
                </w:p>
              </w:tc>
              <w:tc>
                <w:tcPr>
                  <w:tcW w:w="617" w:type="pct"/>
                  <w:vAlign w:val="center"/>
                </w:tcPr>
                <w:p w14:paraId="36A0A564">
                  <w:pPr>
                    <w:spacing w:line="240" w:lineRule="atLeast"/>
                    <w:jc w:val="center"/>
                    <w:rPr>
                      <w:sz w:val="18"/>
                      <w:szCs w:val="18"/>
                    </w:rPr>
                  </w:pPr>
                  <w:r>
                    <w:rPr>
                      <w:sz w:val="18"/>
                      <w:szCs w:val="18"/>
                    </w:rPr>
                    <w:t>大型</w:t>
                  </w:r>
                </w:p>
              </w:tc>
              <w:tc>
                <w:tcPr>
                  <w:tcW w:w="810" w:type="pct"/>
                  <w:vAlign w:val="center"/>
                </w:tcPr>
                <w:p w14:paraId="0FE42EAE">
                  <w:pPr>
                    <w:spacing w:line="240" w:lineRule="atLeast"/>
                    <w:jc w:val="center"/>
                    <w:rPr>
                      <w:sz w:val="18"/>
                      <w:szCs w:val="18"/>
                    </w:rPr>
                  </w:pPr>
                  <w:r>
                    <w:rPr>
                      <w:sz w:val="18"/>
                      <w:szCs w:val="18"/>
                    </w:rPr>
                    <w:t>本项目</w:t>
                  </w:r>
                </w:p>
              </w:tc>
            </w:tr>
            <w:tr w14:paraId="04995C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338" w:type="pct"/>
                  <w:vAlign w:val="center"/>
                </w:tcPr>
                <w:p w14:paraId="452D087A">
                  <w:pPr>
                    <w:spacing w:line="240" w:lineRule="atLeast"/>
                    <w:jc w:val="center"/>
                    <w:rPr>
                      <w:sz w:val="18"/>
                      <w:szCs w:val="18"/>
                    </w:rPr>
                  </w:pPr>
                  <w:r>
                    <w:rPr>
                      <w:sz w:val="18"/>
                      <w:szCs w:val="18"/>
                    </w:rPr>
                    <w:t>最高允许排放浓度mg</w:t>
                  </w:r>
                  <w:r>
                    <w:rPr>
                      <w:rFonts w:hint="eastAsia"/>
                      <w:sz w:val="18"/>
                      <w:szCs w:val="18"/>
                    </w:rPr>
                    <w:t>/m</w:t>
                  </w:r>
                  <w:r>
                    <w:rPr>
                      <w:rFonts w:hint="eastAsia"/>
                      <w:sz w:val="18"/>
                      <w:szCs w:val="18"/>
                      <w:vertAlign w:val="superscript"/>
                    </w:rPr>
                    <w:t>3</w:t>
                  </w:r>
                </w:p>
              </w:tc>
              <w:tc>
                <w:tcPr>
                  <w:tcW w:w="1852" w:type="pct"/>
                  <w:gridSpan w:val="3"/>
                  <w:vAlign w:val="center"/>
                </w:tcPr>
                <w:p w14:paraId="1796AEC4">
                  <w:pPr>
                    <w:spacing w:line="240" w:lineRule="atLeast"/>
                    <w:jc w:val="center"/>
                    <w:rPr>
                      <w:sz w:val="18"/>
                      <w:szCs w:val="18"/>
                    </w:rPr>
                  </w:pPr>
                  <w:r>
                    <w:rPr>
                      <w:rFonts w:hint="eastAsia"/>
                      <w:sz w:val="18"/>
                      <w:szCs w:val="18"/>
                    </w:rPr>
                    <w:t>2.0</w:t>
                  </w:r>
                </w:p>
              </w:tc>
              <w:tc>
                <w:tcPr>
                  <w:tcW w:w="810" w:type="pct"/>
                  <w:vAlign w:val="center"/>
                </w:tcPr>
                <w:p w14:paraId="489F98F1">
                  <w:pPr>
                    <w:spacing w:line="240" w:lineRule="atLeast"/>
                    <w:jc w:val="center"/>
                    <w:rPr>
                      <w:sz w:val="18"/>
                      <w:szCs w:val="18"/>
                    </w:rPr>
                  </w:pPr>
                  <w:r>
                    <w:rPr>
                      <w:rFonts w:hint="eastAsia"/>
                      <w:sz w:val="18"/>
                      <w:szCs w:val="18"/>
                    </w:rPr>
                    <w:t>＜2.0</w:t>
                  </w:r>
                </w:p>
              </w:tc>
            </w:tr>
            <w:tr w14:paraId="535C18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338" w:type="pct"/>
                  <w:vAlign w:val="center"/>
                </w:tcPr>
                <w:p w14:paraId="49AE156C">
                  <w:pPr>
                    <w:spacing w:line="240" w:lineRule="atLeast"/>
                    <w:jc w:val="center"/>
                    <w:rPr>
                      <w:sz w:val="18"/>
                      <w:szCs w:val="18"/>
                    </w:rPr>
                  </w:pPr>
                  <w:r>
                    <w:rPr>
                      <w:sz w:val="18"/>
                      <w:szCs w:val="18"/>
                    </w:rPr>
                    <w:t>净化设施最低去除效率</w:t>
                  </w:r>
                  <w:r>
                    <w:rPr>
                      <w:rFonts w:hint="eastAsia"/>
                      <w:sz w:val="18"/>
                      <w:szCs w:val="18"/>
                    </w:rPr>
                    <w:t>%</w:t>
                  </w:r>
                </w:p>
              </w:tc>
              <w:tc>
                <w:tcPr>
                  <w:tcW w:w="617" w:type="pct"/>
                  <w:vAlign w:val="center"/>
                </w:tcPr>
                <w:p w14:paraId="652F0E83">
                  <w:pPr>
                    <w:spacing w:line="240" w:lineRule="atLeast"/>
                    <w:jc w:val="center"/>
                    <w:rPr>
                      <w:sz w:val="18"/>
                      <w:szCs w:val="18"/>
                    </w:rPr>
                  </w:pPr>
                  <w:r>
                    <w:rPr>
                      <w:rFonts w:hint="eastAsia"/>
                      <w:sz w:val="18"/>
                      <w:szCs w:val="18"/>
                    </w:rPr>
                    <w:t>60</w:t>
                  </w:r>
                </w:p>
              </w:tc>
              <w:tc>
                <w:tcPr>
                  <w:tcW w:w="617" w:type="pct"/>
                  <w:vAlign w:val="center"/>
                </w:tcPr>
                <w:p w14:paraId="66249549">
                  <w:pPr>
                    <w:spacing w:line="240" w:lineRule="atLeast"/>
                    <w:jc w:val="center"/>
                    <w:rPr>
                      <w:sz w:val="18"/>
                      <w:szCs w:val="18"/>
                    </w:rPr>
                  </w:pPr>
                  <w:r>
                    <w:rPr>
                      <w:rFonts w:hint="eastAsia"/>
                      <w:sz w:val="18"/>
                      <w:szCs w:val="18"/>
                    </w:rPr>
                    <w:t>75</w:t>
                  </w:r>
                </w:p>
              </w:tc>
              <w:tc>
                <w:tcPr>
                  <w:tcW w:w="617" w:type="pct"/>
                  <w:vAlign w:val="center"/>
                </w:tcPr>
                <w:p w14:paraId="0E1AE28B">
                  <w:pPr>
                    <w:spacing w:line="240" w:lineRule="atLeast"/>
                    <w:jc w:val="center"/>
                    <w:rPr>
                      <w:sz w:val="18"/>
                      <w:szCs w:val="18"/>
                    </w:rPr>
                  </w:pPr>
                  <w:r>
                    <w:rPr>
                      <w:rFonts w:hint="eastAsia"/>
                      <w:sz w:val="18"/>
                      <w:szCs w:val="18"/>
                    </w:rPr>
                    <w:t>85</w:t>
                  </w:r>
                </w:p>
              </w:tc>
              <w:tc>
                <w:tcPr>
                  <w:tcW w:w="810" w:type="pct"/>
                  <w:vAlign w:val="center"/>
                </w:tcPr>
                <w:p w14:paraId="439FC8BE">
                  <w:pPr>
                    <w:spacing w:line="240" w:lineRule="atLeast"/>
                    <w:jc w:val="center"/>
                    <w:rPr>
                      <w:sz w:val="18"/>
                      <w:szCs w:val="18"/>
                    </w:rPr>
                  </w:pPr>
                  <w:r>
                    <w:rPr>
                      <w:rFonts w:hint="eastAsia"/>
                      <w:sz w:val="18"/>
                      <w:szCs w:val="18"/>
                    </w:rPr>
                    <w:t>85</w:t>
                  </w:r>
                </w:p>
              </w:tc>
            </w:tr>
          </w:tbl>
          <w:p w14:paraId="696F798C">
            <w:pPr>
              <w:spacing w:line="360" w:lineRule="auto"/>
              <w:rPr>
                <w:b/>
                <w:color w:val="000000"/>
                <w:szCs w:val="21"/>
              </w:rPr>
            </w:pPr>
            <w:r>
              <w:rPr>
                <w:rFonts w:hint="eastAsia"/>
                <w:b/>
                <w:color w:val="000000"/>
                <w:szCs w:val="21"/>
                <w:lang w:val="en-US" w:eastAsia="zh-CN"/>
              </w:rPr>
              <w:t>3.6</w:t>
            </w:r>
            <w:r>
              <w:rPr>
                <w:b/>
                <w:color w:val="000000"/>
                <w:szCs w:val="21"/>
              </w:rPr>
              <w:t>废水</w:t>
            </w:r>
          </w:p>
          <w:p w14:paraId="6A22A4AC">
            <w:pPr>
              <w:spacing w:line="360" w:lineRule="auto"/>
              <w:ind w:firstLine="420" w:firstLineChars="200"/>
              <w:rPr>
                <w:szCs w:val="21"/>
              </w:rPr>
            </w:pPr>
            <w:r>
              <w:rPr>
                <w:szCs w:val="21"/>
              </w:rPr>
              <w:t>项目主要废水为生活污水和车间地面冲洗水，经</w:t>
            </w:r>
            <w:r>
              <w:rPr>
                <w:rFonts w:hint="eastAsia"/>
                <w:szCs w:val="21"/>
              </w:rPr>
              <w:t>化粪池</w:t>
            </w:r>
            <w:r>
              <w:rPr>
                <w:szCs w:val="21"/>
              </w:rPr>
              <w:t>收集后通入市政污水管网</w:t>
            </w:r>
            <w:r>
              <w:rPr>
                <w:rFonts w:hint="eastAsia"/>
                <w:szCs w:val="21"/>
              </w:rPr>
              <w:t>，</w:t>
            </w:r>
            <w:r>
              <w:rPr>
                <w:szCs w:val="21"/>
              </w:rPr>
              <w:t>最终进入</w:t>
            </w:r>
            <w:r>
              <w:rPr>
                <w:bCs/>
                <w:color w:val="000000"/>
                <w:szCs w:val="21"/>
              </w:rPr>
              <w:t>大同市御东污水处理厂</w:t>
            </w:r>
            <w:r>
              <w:rPr>
                <w:szCs w:val="21"/>
              </w:rPr>
              <w:t>。执行《</w:t>
            </w:r>
            <w:r>
              <w:rPr>
                <w:rFonts w:hint="eastAsia"/>
                <w:szCs w:val="21"/>
              </w:rPr>
              <w:t>污水</w:t>
            </w:r>
            <w:r>
              <w:rPr>
                <w:szCs w:val="21"/>
              </w:rPr>
              <w:t>排入城镇下水道水质标准》（GB/T</w:t>
            </w:r>
            <w:r>
              <w:rPr>
                <w:rFonts w:hint="eastAsia"/>
                <w:szCs w:val="21"/>
              </w:rPr>
              <w:t xml:space="preserve"> 31962-2015</w:t>
            </w:r>
            <w:r>
              <w:rPr>
                <w:szCs w:val="21"/>
              </w:rPr>
              <w:t>）中</w:t>
            </w:r>
            <w:r>
              <w:rPr>
                <w:rFonts w:hint="eastAsia"/>
                <w:szCs w:val="21"/>
              </w:rPr>
              <w:t>A级</w:t>
            </w:r>
            <w:r>
              <w:rPr>
                <w:szCs w:val="21"/>
              </w:rPr>
              <w:t>标准要求。</w:t>
            </w:r>
          </w:p>
          <w:p w14:paraId="3C173572">
            <w:pPr>
              <w:spacing w:line="240" w:lineRule="exact"/>
              <w:ind w:firstLine="361" w:firstLineChars="200"/>
              <w:jc w:val="center"/>
              <w:rPr>
                <w:sz w:val="18"/>
                <w:szCs w:val="18"/>
              </w:rPr>
            </w:pPr>
            <w:r>
              <w:rPr>
                <w:b/>
                <w:bCs/>
                <w:sz w:val="18"/>
                <w:szCs w:val="18"/>
              </w:rPr>
              <w:t>表</w:t>
            </w:r>
            <w:r>
              <w:rPr>
                <w:rFonts w:hint="eastAsia"/>
                <w:b/>
                <w:bCs/>
                <w:sz w:val="18"/>
                <w:szCs w:val="18"/>
              </w:rPr>
              <w:t>3</w:t>
            </w:r>
            <w:r>
              <w:rPr>
                <w:rFonts w:hint="eastAsia"/>
                <w:b/>
                <w:bCs/>
                <w:sz w:val="18"/>
                <w:szCs w:val="18"/>
                <w:lang w:val="en-US" w:eastAsia="zh-CN"/>
              </w:rPr>
              <w:t>.6-1</w:t>
            </w:r>
            <w:r>
              <w:rPr>
                <w:rFonts w:hint="eastAsia"/>
                <w:b/>
                <w:bCs/>
                <w:sz w:val="18"/>
                <w:szCs w:val="18"/>
              </w:rPr>
              <w:t xml:space="preserve">    污水</w:t>
            </w:r>
            <w:r>
              <w:rPr>
                <w:b/>
                <w:bCs/>
                <w:sz w:val="18"/>
                <w:szCs w:val="18"/>
              </w:rPr>
              <w:t>排入城镇下水道水质标准</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3745"/>
              <w:gridCol w:w="2343"/>
              <w:gridCol w:w="1856"/>
            </w:tblGrid>
            <w:tr w14:paraId="707B2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3" w:hRule="atLeast"/>
              </w:trPr>
              <w:tc>
                <w:tcPr>
                  <w:tcW w:w="2357" w:type="pct"/>
                  <w:vMerge w:val="restart"/>
                  <w:vAlign w:val="center"/>
                </w:tcPr>
                <w:p w14:paraId="0967FDCB">
                  <w:pPr>
                    <w:snapToGrid w:val="0"/>
                    <w:spacing w:line="320" w:lineRule="exact"/>
                    <w:ind w:left="-101" w:leftChars="-49" w:hanging="2"/>
                    <w:jc w:val="center"/>
                    <w:rPr>
                      <w:sz w:val="18"/>
                      <w:szCs w:val="18"/>
                    </w:rPr>
                  </w:pPr>
                  <w:r>
                    <w:rPr>
                      <w:rFonts w:hint="eastAsia"/>
                      <w:sz w:val="18"/>
                      <w:szCs w:val="18"/>
                    </w:rPr>
                    <w:t>污水</w:t>
                  </w:r>
                  <w:r>
                    <w:rPr>
                      <w:sz w:val="18"/>
                      <w:szCs w:val="18"/>
                    </w:rPr>
                    <w:t>排入城镇下水道水质标准（GB/T</w:t>
                  </w:r>
                  <w:r>
                    <w:rPr>
                      <w:rFonts w:hint="eastAsia"/>
                      <w:sz w:val="18"/>
                      <w:szCs w:val="18"/>
                    </w:rPr>
                    <w:t xml:space="preserve"> 31962-2015</w:t>
                  </w:r>
                  <w:r>
                    <w:rPr>
                      <w:sz w:val="18"/>
                      <w:szCs w:val="18"/>
                    </w:rPr>
                    <w:t>）中</w:t>
                  </w:r>
                  <w:r>
                    <w:rPr>
                      <w:rFonts w:hint="eastAsia"/>
                      <w:sz w:val="18"/>
                      <w:szCs w:val="18"/>
                    </w:rPr>
                    <w:t>A级</w:t>
                  </w:r>
                  <w:r>
                    <w:rPr>
                      <w:sz w:val="18"/>
                      <w:szCs w:val="18"/>
                    </w:rPr>
                    <w:t>标准要求</w:t>
                  </w:r>
                </w:p>
              </w:tc>
              <w:tc>
                <w:tcPr>
                  <w:tcW w:w="1475" w:type="pct"/>
                  <w:vAlign w:val="center"/>
                </w:tcPr>
                <w:p w14:paraId="74B6D3A7">
                  <w:pPr>
                    <w:snapToGrid w:val="0"/>
                    <w:spacing w:line="320" w:lineRule="exact"/>
                    <w:ind w:left="-101" w:leftChars="-49" w:hanging="2"/>
                    <w:jc w:val="center"/>
                    <w:rPr>
                      <w:sz w:val="18"/>
                      <w:szCs w:val="18"/>
                    </w:rPr>
                  </w:pPr>
                  <w:r>
                    <w:rPr>
                      <w:sz w:val="18"/>
                      <w:szCs w:val="18"/>
                    </w:rPr>
                    <w:t>BOD</w:t>
                  </w:r>
                  <w:r>
                    <w:rPr>
                      <w:sz w:val="18"/>
                      <w:szCs w:val="18"/>
                      <w:vertAlign w:val="subscript"/>
                    </w:rPr>
                    <w:t>5</w:t>
                  </w:r>
                </w:p>
              </w:tc>
              <w:tc>
                <w:tcPr>
                  <w:tcW w:w="1168" w:type="pct"/>
                  <w:vAlign w:val="center"/>
                </w:tcPr>
                <w:p w14:paraId="45AA7444">
                  <w:pPr>
                    <w:snapToGrid w:val="0"/>
                    <w:spacing w:line="320" w:lineRule="exact"/>
                    <w:ind w:left="-101" w:leftChars="-49" w:hanging="2"/>
                    <w:jc w:val="center"/>
                    <w:rPr>
                      <w:sz w:val="18"/>
                      <w:szCs w:val="18"/>
                    </w:rPr>
                  </w:pPr>
                  <w:r>
                    <w:rPr>
                      <w:rFonts w:hint="eastAsia"/>
                      <w:sz w:val="18"/>
                      <w:szCs w:val="18"/>
                    </w:rPr>
                    <w:t>35</w:t>
                  </w:r>
                  <w:r>
                    <w:rPr>
                      <w:sz w:val="18"/>
                      <w:szCs w:val="18"/>
                    </w:rPr>
                    <w:t>0mg/L</w:t>
                  </w:r>
                </w:p>
              </w:tc>
            </w:tr>
            <w:tr w14:paraId="0910D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3" w:hRule="atLeast"/>
              </w:trPr>
              <w:tc>
                <w:tcPr>
                  <w:tcW w:w="2357" w:type="pct"/>
                  <w:vMerge w:val="continue"/>
                  <w:vAlign w:val="center"/>
                </w:tcPr>
                <w:p w14:paraId="1EF36762">
                  <w:pPr>
                    <w:snapToGrid w:val="0"/>
                    <w:spacing w:line="320" w:lineRule="exact"/>
                    <w:ind w:left="-101" w:leftChars="-49" w:hanging="2"/>
                    <w:jc w:val="center"/>
                    <w:rPr>
                      <w:sz w:val="18"/>
                      <w:szCs w:val="18"/>
                    </w:rPr>
                  </w:pPr>
                </w:p>
              </w:tc>
              <w:tc>
                <w:tcPr>
                  <w:tcW w:w="1475" w:type="pct"/>
                  <w:vAlign w:val="center"/>
                </w:tcPr>
                <w:p w14:paraId="05FD405C">
                  <w:pPr>
                    <w:snapToGrid w:val="0"/>
                    <w:spacing w:line="320" w:lineRule="exact"/>
                    <w:ind w:left="-101" w:leftChars="-49" w:hanging="2"/>
                    <w:jc w:val="center"/>
                    <w:rPr>
                      <w:sz w:val="18"/>
                      <w:szCs w:val="18"/>
                    </w:rPr>
                  </w:pPr>
                  <w:r>
                    <w:rPr>
                      <w:rFonts w:hint="eastAsia"/>
                      <w:sz w:val="18"/>
                      <w:szCs w:val="18"/>
                    </w:rPr>
                    <w:t>SS</w:t>
                  </w:r>
                </w:p>
              </w:tc>
              <w:tc>
                <w:tcPr>
                  <w:tcW w:w="1168" w:type="pct"/>
                  <w:vAlign w:val="center"/>
                </w:tcPr>
                <w:p w14:paraId="5911CB7D">
                  <w:pPr>
                    <w:snapToGrid w:val="0"/>
                    <w:spacing w:line="320" w:lineRule="exact"/>
                    <w:ind w:left="-101" w:leftChars="-49" w:hanging="2"/>
                    <w:jc w:val="center"/>
                    <w:rPr>
                      <w:sz w:val="18"/>
                      <w:szCs w:val="18"/>
                    </w:rPr>
                  </w:pPr>
                  <w:r>
                    <w:rPr>
                      <w:rFonts w:hint="eastAsia"/>
                      <w:sz w:val="18"/>
                      <w:szCs w:val="18"/>
                    </w:rPr>
                    <w:t>400</w:t>
                  </w:r>
                  <w:r>
                    <w:rPr>
                      <w:sz w:val="18"/>
                      <w:szCs w:val="18"/>
                    </w:rPr>
                    <w:t>mg/L</w:t>
                  </w:r>
                </w:p>
              </w:tc>
            </w:tr>
            <w:tr w14:paraId="036BF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3" w:hRule="atLeast"/>
              </w:trPr>
              <w:tc>
                <w:tcPr>
                  <w:tcW w:w="2357" w:type="pct"/>
                  <w:vMerge w:val="continue"/>
                  <w:vAlign w:val="center"/>
                </w:tcPr>
                <w:p w14:paraId="4E218D4D">
                  <w:pPr>
                    <w:snapToGrid w:val="0"/>
                    <w:spacing w:line="320" w:lineRule="exact"/>
                    <w:ind w:left="-101" w:leftChars="-49" w:hanging="2"/>
                    <w:jc w:val="center"/>
                    <w:rPr>
                      <w:sz w:val="18"/>
                      <w:szCs w:val="18"/>
                    </w:rPr>
                  </w:pPr>
                </w:p>
              </w:tc>
              <w:tc>
                <w:tcPr>
                  <w:tcW w:w="1475" w:type="pct"/>
                  <w:vAlign w:val="center"/>
                </w:tcPr>
                <w:p w14:paraId="4CDED3D1">
                  <w:pPr>
                    <w:snapToGrid w:val="0"/>
                    <w:spacing w:line="320" w:lineRule="exact"/>
                    <w:ind w:left="-101" w:leftChars="-49" w:hanging="2"/>
                    <w:jc w:val="center"/>
                    <w:rPr>
                      <w:sz w:val="18"/>
                      <w:szCs w:val="18"/>
                    </w:rPr>
                  </w:pPr>
                  <w:r>
                    <w:rPr>
                      <w:sz w:val="18"/>
                      <w:szCs w:val="18"/>
                    </w:rPr>
                    <w:t>氨氮</w:t>
                  </w:r>
                </w:p>
              </w:tc>
              <w:tc>
                <w:tcPr>
                  <w:tcW w:w="1168" w:type="pct"/>
                  <w:vAlign w:val="center"/>
                </w:tcPr>
                <w:p w14:paraId="5EEBF21D">
                  <w:pPr>
                    <w:snapToGrid w:val="0"/>
                    <w:spacing w:line="320" w:lineRule="exact"/>
                    <w:ind w:left="-101" w:leftChars="-49" w:hanging="2"/>
                    <w:jc w:val="center"/>
                    <w:rPr>
                      <w:sz w:val="18"/>
                      <w:szCs w:val="18"/>
                    </w:rPr>
                  </w:pPr>
                  <w:r>
                    <w:rPr>
                      <w:rFonts w:hint="eastAsia"/>
                      <w:sz w:val="18"/>
                      <w:szCs w:val="18"/>
                    </w:rPr>
                    <w:t>45</w:t>
                  </w:r>
                  <w:r>
                    <w:rPr>
                      <w:sz w:val="18"/>
                      <w:szCs w:val="18"/>
                    </w:rPr>
                    <w:t>mg/L</w:t>
                  </w:r>
                </w:p>
              </w:tc>
            </w:tr>
            <w:tr w14:paraId="11E2F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13" w:hRule="atLeast"/>
              </w:trPr>
              <w:tc>
                <w:tcPr>
                  <w:tcW w:w="2357" w:type="pct"/>
                  <w:vMerge w:val="continue"/>
                  <w:vAlign w:val="center"/>
                </w:tcPr>
                <w:p w14:paraId="359C3551">
                  <w:pPr>
                    <w:snapToGrid w:val="0"/>
                    <w:spacing w:line="320" w:lineRule="exact"/>
                    <w:ind w:left="-101" w:leftChars="-49" w:hanging="2"/>
                    <w:jc w:val="center"/>
                    <w:rPr>
                      <w:sz w:val="18"/>
                      <w:szCs w:val="18"/>
                    </w:rPr>
                  </w:pPr>
                </w:p>
              </w:tc>
              <w:tc>
                <w:tcPr>
                  <w:tcW w:w="1475" w:type="pct"/>
                  <w:vAlign w:val="center"/>
                </w:tcPr>
                <w:p w14:paraId="60281D46">
                  <w:pPr>
                    <w:snapToGrid w:val="0"/>
                    <w:spacing w:line="320" w:lineRule="exact"/>
                    <w:ind w:left="-101" w:leftChars="-49" w:hanging="2"/>
                    <w:jc w:val="center"/>
                    <w:rPr>
                      <w:sz w:val="18"/>
                      <w:szCs w:val="18"/>
                    </w:rPr>
                  </w:pPr>
                  <w:r>
                    <w:rPr>
                      <w:rFonts w:hint="eastAsia"/>
                      <w:sz w:val="18"/>
                      <w:szCs w:val="18"/>
                    </w:rPr>
                    <w:t>COD</w:t>
                  </w:r>
                </w:p>
              </w:tc>
              <w:tc>
                <w:tcPr>
                  <w:tcW w:w="1168" w:type="pct"/>
                  <w:vAlign w:val="center"/>
                </w:tcPr>
                <w:p w14:paraId="4CB02FAF">
                  <w:pPr>
                    <w:snapToGrid w:val="0"/>
                    <w:spacing w:line="320" w:lineRule="exact"/>
                    <w:ind w:left="-101" w:leftChars="-49" w:hanging="2"/>
                    <w:jc w:val="center"/>
                    <w:rPr>
                      <w:sz w:val="18"/>
                      <w:szCs w:val="18"/>
                    </w:rPr>
                  </w:pPr>
                  <w:r>
                    <w:rPr>
                      <w:rFonts w:hint="eastAsia"/>
                      <w:sz w:val="18"/>
                      <w:szCs w:val="18"/>
                    </w:rPr>
                    <w:t>50</w:t>
                  </w:r>
                  <w:r>
                    <w:rPr>
                      <w:sz w:val="18"/>
                      <w:szCs w:val="18"/>
                    </w:rPr>
                    <w:t>0mg/L</w:t>
                  </w:r>
                </w:p>
              </w:tc>
            </w:tr>
          </w:tbl>
          <w:p w14:paraId="24848AAA">
            <w:pPr>
              <w:spacing w:line="360" w:lineRule="auto"/>
              <w:rPr>
                <w:b/>
                <w:color w:val="000000"/>
                <w:szCs w:val="21"/>
              </w:rPr>
            </w:pPr>
            <w:r>
              <w:rPr>
                <w:rFonts w:hint="eastAsia"/>
                <w:b/>
                <w:color w:val="000000"/>
                <w:szCs w:val="21"/>
                <w:lang w:val="en-US" w:eastAsia="zh-CN"/>
              </w:rPr>
              <w:t>3.7</w:t>
            </w:r>
            <w:r>
              <w:rPr>
                <w:b/>
                <w:color w:val="000000"/>
                <w:szCs w:val="21"/>
              </w:rPr>
              <w:t>噪声</w:t>
            </w:r>
          </w:p>
          <w:p w14:paraId="6045D1AC">
            <w:pPr>
              <w:spacing w:line="360" w:lineRule="auto"/>
              <w:ind w:firstLine="420" w:firstLineChars="200"/>
              <w:rPr>
                <w:color w:val="auto"/>
                <w:szCs w:val="21"/>
              </w:rPr>
            </w:pPr>
            <w:r>
              <w:rPr>
                <w:color w:val="auto"/>
                <w:szCs w:val="21"/>
              </w:rPr>
              <w:t>施工噪声执行《建筑施工噪声排放标准》（GB12523-20</w:t>
            </w:r>
            <w:r>
              <w:rPr>
                <w:rFonts w:hint="eastAsia"/>
                <w:color w:val="auto"/>
                <w:szCs w:val="21"/>
                <w:lang w:val="en-US" w:eastAsia="zh-CN"/>
              </w:rPr>
              <w:t>25</w:t>
            </w:r>
            <w:r>
              <w:rPr>
                <w:color w:val="auto"/>
                <w:szCs w:val="21"/>
              </w:rPr>
              <w:t>）相关要求。</w:t>
            </w:r>
          </w:p>
          <w:p w14:paraId="749B6AC2">
            <w:pPr>
              <w:spacing w:line="240" w:lineRule="exact"/>
              <w:jc w:val="center"/>
              <w:rPr>
                <w:b/>
                <w:bCs/>
                <w:color w:val="auto"/>
                <w:sz w:val="18"/>
                <w:szCs w:val="18"/>
              </w:rPr>
            </w:pPr>
            <w:r>
              <w:rPr>
                <w:b/>
                <w:bCs/>
                <w:color w:val="auto"/>
                <w:sz w:val="18"/>
                <w:szCs w:val="18"/>
              </w:rPr>
              <w:t>表</w:t>
            </w:r>
            <w:r>
              <w:rPr>
                <w:rFonts w:hint="eastAsia"/>
                <w:b/>
                <w:bCs/>
                <w:color w:val="auto"/>
                <w:sz w:val="18"/>
                <w:szCs w:val="18"/>
                <w:lang w:val="en-US" w:eastAsia="zh-CN"/>
              </w:rPr>
              <w:t>3.7-1</w:t>
            </w:r>
            <w:r>
              <w:rPr>
                <w:rFonts w:hint="eastAsia"/>
                <w:b/>
                <w:bCs/>
                <w:color w:val="auto"/>
                <w:sz w:val="18"/>
                <w:szCs w:val="18"/>
              </w:rPr>
              <w:t xml:space="preserve"> </w:t>
            </w:r>
            <w:r>
              <w:rPr>
                <w:b/>
                <w:bCs/>
                <w:color w:val="auto"/>
                <w:sz w:val="18"/>
                <w:szCs w:val="18"/>
              </w:rPr>
              <w:t xml:space="preserve">   施工期噪声限值     单位：dB（A）</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131"/>
              <w:gridCol w:w="3813"/>
            </w:tblGrid>
            <w:tr w14:paraId="27D610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90" w:hRule="atLeast"/>
                <w:jc w:val="center"/>
              </w:trPr>
              <w:tc>
                <w:tcPr>
                  <w:tcW w:w="2600" w:type="pct"/>
                  <w:vAlign w:val="center"/>
                </w:tcPr>
                <w:p w14:paraId="4F570040">
                  <w:pPr>
                    <w:snapToGrid w:val="0"/>
                    <w:spacing w:line="320" w:lineRule="exact"/>
                    <w:ind w:left="-101" w:leftChars="-49" w:hanging="2"/>
                    <w:jc w:val="center"/>
                    <w:rPr>
                      <w:color w:val="auto"/>
                      <w:sz w:val="18"/>
                      <w:szCs w:val="18"/>
                    </w:rPr>
                  </w:pPr>
                  <w:r>
                    <w:rPr>
                      <w:color w:val="auto"/>
                      <w:sz w:val="18"/>
                      <w:szCs w:val="18"/>
                    </w:rPr>
                    <w:t>昼间</w:t>
                  </w:r>
                </w:p>
              </w:tc>
              <w:tc>
                <w:tcPr>
                  <w:tcW w:w="2400" w:type="pct"/>
                  <w:vAlign w:val="center"/>
                </w:tcPr>
                <w:p w14:paraId="5A3CBAFE">
                  <w:pPr>
                    <w:snapToGrid w:val="0"/>
                    <w:spacing w:line="320" w:lineRule="exact"/>
                    <w:ind w:left="-101" w:leftChars="-49" w:hanging="2"/>
                    <w:jc w:val="center"/>
                    <w:rPr>
                      <w:color w:val="auto"/>
                      <w:sz w:val="18"/>
                      <w:szCs w:val="18"/>
                    </w:rPr>
                  </w:pPr>
                  <w:r>
                    <w:rPr>
                      <w:color w:val="auto"/>
                      <w:sz w:val="18"/>
                      <w:szCs w:val="18"/>
                    </w:rPr>
                    <w:t>夜间</w:t>
                  </w:r>
                </w:p>
              </w:tc>
            </w:tr>
            <w:tr w14:paraId="5C11C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2600" w:type="pct"/>
                  <w:vAlign w:val="center"/>
                </w:tcPr>
                <w:p w14:paraId="4B08829D">
                  <w:pPr>
                    <w:snapToGrid w:val="0"/>
                    <w:spacing w:line="320" w:lineRule="exact"/>
                    <w:ind w:left="-101" w:leftChars="-49" w:hanging="2"/>
                    <w:jc w:val="center"/>
                    <w:rPr>
                      <w:color w:val="auto"/>
                      <w:sz w:val="18"/>
                      <w:szCs w:val="18"/>
                    </w:rPr>
                  </w:pPr>
                  <w:r>
                    <w:rPr>
                      <w:color w:val="auto"/>
                      <w:sz w:val="18"/>
                      <w:szCs w:val="18"/>
                    </w:rPr>
                    <w:t>70</w:t>
                  </w:r>
                </w:p>
              </w:tc>
              <w:tc>
                <w:tcPr>
                  <w:tcW w:w="2400" w:type="pct"/>
                  <w:vAlign w:val="center"/>
                </w:tcPr>
                <w:p w14:paraId="70DD394D">
                  <w:pPr>
                    <w:snapToGrid w:val="0"/>
                    <w:spacing w:line="320" w:lineRule="exact"/>
                    <w:ind w:left="-101" w:leftChars="-49" w:hanging="2"/>
                    <w:jc w:val="center"/>
                    <w:rPr>
                      <w:color w:val="auto"/>
                      <w:sz w:val="18"/>
                      <w:szCs w:val="18"/>
                    </w:rPr>
                  </w:pPr>
                  <w:r>
                    <w:rPr>
                      <w:color w:val="auto"/>
                      <w:sz w:val="18"/>
                      <w:szCs w:val="18"/>
                    </w:rPr>
                    <w:t>55</w:t>
                  </w:r>
                </w:p>
              </w:tc>
            </w:tr>
          </w:tbl>
          <w:p w14:paraId="2EBD12B4">
            <w:pPr>
              <w:spacing w:line="360" w:lineRule="auto"/>
              <w:ind w:firstLine="420" w:firstLineChars="200"/>
              <w:rPr>
                <w:color w:val="auto"/>
                <w:szCs w:val="21"/>
              </w:rPr>
            </w:pPr>
            <w:r>
              <w:rPr>
                <w:color w:val="auto"/>
                <w:szCs w:val="21"/>
              </w:rPr>
              <w:t>运营期厂界噪声执行《工业企业厂界环境噪声排放标准》（GB12348-2008）中2类标准要求。</w:t>
            </w:r>
          </w:p>
          <w:p w14:paraId="5D2D0447">
            <w:pPr>
              <w:spacing w:line="240" w:lineRule="exact"/>
              <w:jc w:val="center"/>
              <w:rPr>
                <w:b/>
                <w:bCs/>
                <w:color w:val="auto"/>
                <w:sz w:val="18"/>
                <w:szCs w:val="18"/>
              </w:rPr>
            </w:pPr>
            <w:r>
              <w:rPr>
                <w:b/>
                <w:bCs/>
                <w:color w:val="auto"/>
                <w:sz w:val="18"/>
                <w:szCs w:val="18"/>
              </w:rPr>
              <w:t>表</w:t>
            </w:r>
            <w:r>
              <w:rPr>
                <w:rFonts w:hint="eastAsia"/>
                <w:b/>
                <w:bCs/>
                <w:color w:val="auto"/>
                <w:sz w:val="18"/>
                <w:szCs w:val="18"/>
              </w:rPr>
              <w:t>3</w:t>
            </w:r>
            <w:r>
              <w:rPr>
                <w:rFonts w:hint="eastAsia"/>
                <w:b/>
                <w:bCs/>
                <w:color w:val="auto"/>
                <w:sz w:val="18"/>
                <w:szCs w:val="18"/>
                <w:lang w:val="en-US" w:eastAsia="zh-CN"/>
              </w:rPr>
              <w:t>.7-2</w:t>
            </w:r>
            <w:r>
              <w:rPr>
                <w:b/>
                <w:bCs/>
                <w:color w:val="auto"/>
                <w:sz w:val="18"/>
                <w:szCs w:val="18"/>
              </w:rPr>
              <w:t xml:space="preserve">    工业企业厂界环境噪声排放标准  单位：dB（A）</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12"/>
              <w:gridCol w:w="1339"/>
              <w:gridCol w:w="1560"/>
              <w:gridCol w:w="3833"/>
            </w:tblGrid>
            <w:tr w14:paraId="4C950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89" w:hRule="atLeast"/>
                <w:jc w:val="center"/>
              </w:trPr>
              <w:tc>
                <w:tcPr>
                  <w:tcW w:w="763" w:type="pct"/>
                  <w:vAlign w:val="center"/>
                </w:tcPr>
                <w:p w14:paraId="24608349">
                  <w:pPr>
                    <w:snapToGrid w:val="0"/>
                    <w:spacing w:line="320" w:lineRule="exact"/>
                    <w:ind w:left="-101" w:leftChars="-49" w:hanging="2"/>
                    <w:jc w:val="center"/>
                    <w:rPr>
                      <w:color w:val="auto"/>
                      <w:sz w:val="18"/>
                      <w:szCs w:val="18"/>
                    </w:rPr>
                  </w:pPr>
                  <w:r>
                    <w:rPr>
                      <w:color w:val="auto"/>
                      <w:sz w:val="18"/>
                      <w:szCs w:val="18"/>
                    </w:rPr>
                    <w:t>类别</w:t>
                  </w:r>
                </w:p>
              </w:tc>
              <w:tc>
                <w:tcPr>
                  <w:tcW w:w="843" w:type="pct"/>
                  <w:vAlign w:val="center"/>
                </w:tcPr>
                <w:p w14:paraId="2D5B9315">
                  <w:pPr>
                    <w:snapToGrid w:val="0"/>
                    <w:spacing w:line="320" w:lineRule="exact"/>
                    <w:ind w:left="-101" w:leftChars="-49" w:hanging="2"/>
                    <w:jc w:val="center"/>
                    <w:rPr>
                      <w:color w:val="auto"/>
                      <w:sz w:val="18"/>
                      <w:szCs w:val="18"/>
                    </w:rPr>
                  </w:pPr>
                  <w:r>
                    <w:rPr>
                      <w:color w:val="auto"/>
                      <w:sz w:val="18"/>
                      <w:szCs w:val="18"/>
                    </w:rPr>
                    <w:t>昼间</w:t>
                  </w:r>
                </w:p>
              </w:tc>
              <w:tc>
                <w:tcPr>
                  <w:tcW w:w="982" w:type="pct"/>
                  <w:tcBorders>
                    <w:right w:val="single" w:color="auto" w:sz="4" w:space="0"/>
                  </w:tcBorders>
                  <w:vAlign w:val="center"/>
                </w:tcPr>
                <w:p w14:paraId="44517906">
                  <w:pPr>
                    <w:snapToGrid w:val="0"/>
                    <w:spacing w:line="320" w:lineRule="exact"/>
                    <w:ind w:left="-101" w:leftChars="-49" w:hanging="2"/>
                    <w:jc w:val="center"/>
                    <w:rPr>
                      <w:color w:val="auto"/>
                      <w:sz w:val="18"/>
                      <w:szCs w:val="18"/>
                    </w:rPr>
                  </w:pPr>
                  <w:r>
                    <w:rPr>
                      <w:color w:val="auto"/>
                      <w:sz w:val="18"/>
                      <w:szCs w:val="18"/>
                    </w:rPr>
                    <w:t>夜间</w:t>
                  </w:r>
                </w:p>
              </w:tc>
              <w:tc>
                <w:tcPr>
                  <w:tcW w:w="2412" w:type="pct"/>
                  <w:tcBorders>
                    <w:left w:val="single" w:color="auto" w:sz="4" w:space="0"/>
                  </w:tcBorders>
                  <w:vAlign w:val="center"/>
                </w:tcPr>
                <w:p w14:paraId="08D589B0">
                  <w:pPr>
                    <w:snapToGrid w:val="0"/>
                    <w:spacing w:line="320" w:lineRule="exact"/>
                    <w:jc w:val="center"/>
                    <w:rPr>
                      <w:color w:val="auto"/>
                      <w:sz w:val="18"/>
                      <w:szCs w:val="18"/>
                    </w:rPr>
                  </w:pPr>
                  <w:r>
                    <w:rPr>
                      <w:color w:val="auto"/>
                      <w:sz w:val="18"/>
                      <w:szCs w:val="18"/>
                    </w:rPr>
                    <w:t>备注</w:t>
                  </w:r>
                </w:p>
              </w:tc>
            </w:tr>
            <w:tr w14:paraId="1733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9" w:hRule="atLeast"/>
                <w:jc w:val="center"/>
              </w:trPr>
              <w:tc>
                <w:tcPr>
                  <w:tcW w:w="763" w:type="pct"/>
                  <w:vAlign w:val="center"/>
                </w:tcPr>
                <w:p w14:paraId="12940A43">
                  <w:pPr>
                    <w:snapToGrid w:val="0"/>
                    <w:spacing w:line="320" w:lineRule="exact"/>
                    <w:ind w:left="-101" w:leftChars="-49" w:hanging="2"/>
                    <w:jc w:val="center"/>
                    <w:rPr>
                      <w:color w:val="auto"/>
                      <w:sz w:val="18"/>
                      <w:szCs w:val="18"/>
                    </w:rPr>
                  </w:pPr>
                  <w:r>
                    <w:rPr>
                      <w:color w:val="auto"/>
                      <w:sz w:val="18"/>
                      <w:szCs w:val="18"/>
                    </w:rPr>
                    <w:t>2</w:t>
                  </w:r>
                </w:p>
              </w:tc>
              <w:tc>
                <w:tcPr>
                  <w:tcW w:w="843" w:type="pct"/>
                  <w:vAlign w:val="center"/>
                </w:tcPr>
                <w:p w14:paraId="1878BFB2">
                  <w:pPr>
                    <w:snapToGrid w:val="0"/>
                    <w:spacing w:line="320" w:lineRule="exact"/>
                    <w:ind w:left="-101" w:leftChars="-49" w:hanging="2"/>
                    <w:jc w:val="center"/>
                    <w:rPr>
                      <w:color w:val="auto"/>
                      <w:sz w:val="18"/>
                      <w:szCs w:val="18"/>
                    </w:rPr>
                  </w:pPr>
                  <w:r>
                    <w:rPr>
                      <w:color w:val="auto"/>
                      <w:sz w:val="18"/>
                      <w:szCs w:val="18"/>
                    </w:rPr>
                    <w:t>60</w:t>
                  </w:r>
                </w:p>
              </w:tc>
              <w:tc>
                <w:tcPr>
                  <w:tcW w:w="982" w:type="pct"/>
                  <w:tcBorders>
                    <w:right w:val="single" w:color="auto" w:sz="4" w:space="0"/>
                  </w:tcBorders>
                  <w:vAlign w:val="center"/>
                </w:tcPr>
                <w:p w14:paraId="1F64ED75">
                  <w:pPr>
                    <w:snapToGrid w:val="0"/>
                    <w:spacing w:line="320" w:lineRule="exact"/>
                    <w:ind w:left="-101" w:leftChars="-49" w:hanging="2"/>
                    <w:jc w:val="center"/>
                    <w:rPr>
                      <w:color w:val="auto"/>
                      <w:sz w:val="18"/>
                      <w:szCs w:val="18"/>
                    </w:rPr>
                  </w:pPr>
                  <w:r>
                    <w:rPr>
                      <w:color w:val="auto"/>
                      <w:sz w:val="18"/>
                      <w:szCs w:val="18"/>
                    </w:rPr>
                    <w:t>50</w:t>
                  </w:r>
                </w:p>
              </w:tc>
              <w:tc>
                <w:tcPr>
                  <w:tcW w:w="2412" w:type="pct"/>
                  <w:tcBorders>
                    <w:left w:val="single" w:color="auto" w:sz="4" w:space="0"/>
                  </w:tcBorders>
                  <w:vAlign w:val="center"/>
                </w:tcPr>
                <w:p w14:paraId="2EDF72B7">
                  <w:pPr>
                    <w:snapToGrid w:val="0"/>
                    <w:spacing w:line="320" w:lineRule="exact"/>
                    <w:jc w:val="center"/>
                    <w:rPr>
                      <w:color w:val="auto"/>
                      <w:sz w:val="18"/>
                      <w:szCs w:val="18"/>
                    </w:rPr>
                  </w:pPr>
                  <w:r>
                    <w:rPr>
                      <w:color w:val="auto"/>
                      <w:sz w:val="18"/>
                      <w:szCs w:val="18"/>
                    </w:rPr>
                    <w:t>厂界</w:t>
                  </w:r>
                </w:p>
              </w:tc>
            </w:tr>
          </w:tbl>
          <w:p w14:paraId="2A245CF9">
            <w:pPr>
              <w:tabs>
                <w:tab w:val="left" w:pos="3780"/>
                <w:tab w:val="left" w:pos="6195"/>
                <w:tab w:val="left" w:pos="8613"/>
              </w:tabs>
              <w:spacing w:line="360" w:lineRule="auto"/>
              <w:rPr>
                <w:b/>
                <w:color w:val="000000"/>
                <w:szCs w:val="21"/>
              </w:rPr>
            </w:pPr>
            <w:r>
              <w:rPr>
                <w:rFonts w:hint="eastAsia"/>
                <w:b/>
                <w:color w:val="000000"/>
                <w:szCs w:val="21"/>
                <w:lang w:val="en-US" w:eastAsia="zh-CN"/>
              </w:rPr>
              <w:t>3.8</w:t>
            </w:r>
            <w:r>
              <w:rPr>
                <w:b/>
                <w:color w:val="000000"/>
                <w:szCs w:val="21"/>
              </w:rPr>
              <w:t>固体废物</w:t>
            </w:r>
          </w:p>
          <w:p w14:paraId="574E4F4C">
            <w:pPr>
              <w:tabs>
                <w:tab w:val="left" w:pos="3780"/>
                <w:tab w:val="left" w:pos="6195"/>
                <w:tab w:val="left" w:pos="8613"/>
              </w:tabs>
              <w:spacing w:line="360" w:lineRule="auto"/>
              <w:ind w:firstLine="420" w:firstLineChars="200"/>
              <w:rPr>
                <w:rFonts w:hint="default" w:eastAsia="宋体"/>
                <w:color w:val="000000"/>
                <w:szCs w:val="21"/>
                <w:lang w:val="en-US" w:eastAsia="zh-CN"/>
              </w:rPr>
            </w:pPr>
            <w:r>
              <w:rPr>
                <w:szCs w:val="21"/>
              </w:rPr>
              <w:t>固体废物执行《一般工业固体废物贮存和填埋污染控制标准》（GB 18599-2020）的有关规定</w:t>
            </w:r>
            <w:r>
              <w:rPr>
                <w:rFonts w:hint="eastAsia"/>
                <w:szCs w:val="21"/>
              </w:rPr>
              <w:t>；</w:t>
            </w:r>
            <w:r>
              <w:rPr>
                <w:color w:val="000000"/>
                <w:szCs w:val="21"/>
              </w:rPr>
              <w:t>危险废物执行《危险废物贮存污染控制标准》（GB18597-20</w:t>
            </w:r>
            <w:r>
              <w:rPr>
                <w:rFonts w:hint="eastAsia"/>
                <w:color w:val="000000"/>
                <w:szCs w:val="21"/>
              </w:rPr>
              <w:t>23</w:t>
            </w:r>
            <w:r>
              <w:rPr>
                <w:color w:val="000000"/>
                <w:szCs w:val="21"/>
              </w:rPr>
              <w:t>）要求</w:t>
            </w:r>
            <w:r>
              <w:rPr>
                <w:rFonts w:hint="eastAsia"/>
                <w:color w:val="000000"/>
                <w:szCs w:val="21"/>
                <w:lang w:eastAsia="zh-CN"/>
              </w:rPr>
              <w:t>，</w:t>
            </w:r>
            <w:r>
              <w:rPr>
                <w:rFonts w:hint="eastAsia"/>
                <w:color w:val="auto"/>
                <w:szCs w:val="21"/>
              </w:rPr>
              <w:t>危险废物的收集贮存运输等执行</w:t>
            </w:r>
            <w:r>
              <w:rPr>
                <w:color w:val="auto"/>
                <w:szCs w:val="21"/>
              </w:rPr>
              <w:t>《危险废物收集、贮存、运输技术规范》（HJ2025-2012）中相关要求</w:t>
            </w:r>
            <w:r>
              <w:rPr>
                <w:rFonts w:hint="eastAsia"/>
                <w:color w:val="auto"/>
                <w:szCs w:val="21"/>
              </w:rPr>
              <w:t>。</w:t>
            </w:r>
            <w:r>
              <w:rPr>
                <w:rFonts w:hint="eastAsia"/>
                <w:color w:val="auto"/>
                <w:szCs w:val="21"/>
                <w:lang w:val="en-US" w:eastAsia="zh-CN"/>
              </w:rPr>
              <w:t>生活垃圾定期委托环卫部门清运处置。</w:t>
            </w:r>
          </w:p>
          <w:p w14:paraId="0CA9F6C3">
            <w:pPr>
              <w:tabs>
                <w:tab w:val="left" w:pos="3780"/>
                <w:tab w:val="left" w:pos="6195"/>
                <w:tab w:val="left" w:pos="8613"/>
              </w:tabs>
              <w:spacing w:line="360" w:lineRule="auto"/>
              <w:ind w:firstLine="420" w:firstLineChars="200"/>
              <w:rPr>
                <w:color w:val="auto"/>
                <w:szCs w:val="21"/>
              </w:rPr>
            </w:pPr>
          </w:p>
        </w:tc>
      </w:tr>
      <w:tr w14:paraId="6F6E0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7" w:hRule="atLeast"/>
          <w:jc w:val="center"/>
        </w:trPr>
        <w:tc>
          <w:tcPr>
            <w:tcW w:w="800" w:type="dxa"/>
            <w:vAlign w:val="center"/>
          </w:tcPr>
          <w:p w14:paraId="75D464E7">
            <w:pPr>
              <w:adjustRightInd w:val="0"/>
              <w:snapToGrid w:val="0"/>
              <w:jc w:val="center"/>
              <w:rPr>
                <w:color w:val="auto"/>
                <w:kern w:val="0"/>
                <w:szCs w:val="21"/>
              </w:rPr>
            </w:pPr>
            <w:r>
              <w:rPr>
                <w:rFonts w:hAnsi="宋体"/>
                <w:color w:val="auto"/>
                <w:kern w:val="0"/>
                <w:szCs w:val="21"/>
              </w:rPr>
              <w:t>总量</w:t>
            </w:r>
          </w:p>
          <w:p w14:paraId="06535AB3">
            <w:pPr>
              <w:adjustRightInd w:val="0"/>
              <w:snapToGrid w:val="0"/>
              <w:jc w:val="center"/>
              <w:rPr>
                <w:color w:val="auto"/>
                <w:kern w:val="0"/>
                <w:szCs w:val="21"/>
              </w:rPr>
            </w:pPr>
            <w:r>
              <w:rPr>
                <w:rFonts w:hAnsi="宋体"/>
                <w:color w:val="auto"/>
                <w:kern w:val="0"/>
                <w:szCs w:val="21"/>
              </w:rPr>
              <w:t>控制</w:t>
            </w:r>
          </w:p>
          <w:p w14:paraId="659E8643">
            <w:pPr>
              <w:adjustRightInd w:val="0"/>
              <w:snapToGrid w:val="0"/>
              <w:jc w:val="center"/>
              <w:rPr>
                <w:color w:val="auto"/>
                <w:kern w:val="0"/>
                <w:szCs w:val="21"/>
              </w:rPr>
            </w:pPr>
            <w:r>
              <w:rPr>
                <w:rFonts w:hAnsi="宋体"/>
                <w:color w:val="auto"/>
                <w:kern w:val="0"/>
                <w:szCs w:val="21"/>
              </w:rPr>
              <w:t>指标</w:t>
            </w:r>
          </w:p>
        </w:tc>
        <w:tc>
          <w:tcPr>
            <w:tcW w:w="8190" w:type="dxa"/>
            <w:vAlign w:val="center"/>
          </w:tcPr>
          <w:p w14:paraId="2CF2E7E9">
            <w:pPr>
              <w:tabs>
                <w:tab w:val="left" w:pos="3780"/>
                <w:tab w:val="left" w:pos="6195"/>
                <w:tab w:val="left" w:pos="8613"/>
              </w:tabs>
              <w:spacing w:line="360" w:lineRule="auto"/>
              <w:ind w:firstLine="420" w:firstLineChars="200"/>
              <w:rPr>
                <w:rFonts w:hint="eastAsia"/>
                <w:color w:val="auto"/>
                <w:szCs w:val="21"/>
              </w:rPr>
            </w:pPr>
            <w:r>
              <w:rPr>
                <w:rFonts w:hint="eastAsia"/>
                <w:color w:val="auto"/>
                <w:szCs w:val="21"/>
              </w:rPr>
              <w:t>根据《</w:t>
            </w:r>
            <w:r>
              <w:rPr>
                <w:rFonts w:hint="eastAsia"/>
                <w:color w:val="auto"/>
                <w:szCs w:val="21"/>
                <w:lang w:val="en-US" w:eastAsia="zh-CN"/>
              </w:rPr>
              <w:t>山西省生态环境厅关于印发&lt;建设项目主要污染物总量指标核定办法&gt;的通知</w:t>
            </w:r>
            <w:r>
              <w:rPr>
                <w:rFonts w:hint="eastAsia"/>
                <w:color w:val="auto"/>
                <w:szCs w:val="21"/>
              </w:rPr>
              <w:t>》（晋环规[2023]1号）要求，进行总量控制的主要污染物包括颗粒物、SO</w:t>
            </w:r>
            <w:r>
              <w:rPr>
                <w:rFonts w:hint="eastAsia"/>
                <w:color w:val="auto"/>
                <w:szCs w:val="21"/>
                <w:vertAlign w:val="subscript"/>
              </w:rPr>
              <w:t>2</w:t>
            </w:r>
            <w:r>
              <w:rPr>
                <w:rFonts w:hint="eastAsia"/>
                <w:color w:val="auto"/>
                <w:szCs w:val="21"/>
              </w:rPr>
              <w:t>、NOx、挥发性有机物、化学需氧量、氨氮。废气二氧化硫、氮氧化物、颗粒物排放量分别不大于3吨/年，挥发性有机物排放量不大于0.3吨/年；废水化学需氧量排放量不大于1吨/年和氨氮排放量不大于0.5吨/年的建设项目，主要污染物排放总量指标可直接予以核定，不需进行主要污染物总量置换。</w:t>
            </w:r>
          </w:p>
          <w:p w14:paraId="7821B4EE">
            <w:pPr>
              <w:tabs>
                <w:tab w:val="left" w:pos="3780"/>
                <w:tab w:val="left" w:pos="6195"/>
                <w:tab w:val="left" w:pos="8613"/>
              </w:tabs>
              <w:spacing w:line="36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根据环评分析计算，本项目完成后全厂污染物排放量为：颗粒物</w:t>
            </w:r>
            <w:r>
              <w:rPr>
                <w:rFonts w:hint="eastAsia" w:cs="Times New Roman"/>
                <w:color w:val="auto"/>
                <w:szCs w:val="21"/>
                <w:lang w:val="en-US" w:eastAsia="zh-CN"/>
              </w:rPr>
              <w:t>1.8590</w:t>
            </w:r>
            <w:r>
              <w:rPr>
                <w:rFonts w:hint="eastAsia" w:ascii="Times New Roman" w:hAnsi="Times New Roman" w:eastAsia="宋体" w:cs="Times New Roman"/>
                <w:color w:val="auto"/>
                <w:szCs w:val="21"/>
                <w:lang w:val="en-US" w:eastAsia="zh-CN"/>
              </w:rPr>
              <w:t>t/a、</w:t>
            </w:r>
            <w:r>
              <w:rPr>
                <w:rFonts w:hint="eastAsia" w:cs="Times New Roman"/>
                <w:color w:val="auto"/>
                <w:szCs w:val="21"/>
                <w:lang w:val="en-US" w:eastAsia="zh-CN"/>
              </w:rPr>
              <w:t>二氧化硫0.2177t/a、氮氧化物1.8786t/a、</w:t>
            </w:r>
            <w:r>
              <w:rPr>
                <w:rFonts w:hint="eastAsia" w:ascii="Times New Roman" w:hAnsi="Times New Roman" w:eastAsia="宋体" w:cs="Times New Roman"/>
                <w:color w:val="auto"/>
                <w:szCs w:val="21"/>
                <w:lang w:val="en-US" w:eastAsia="zh-CN"/>
              </w:rPr>
              <w:t>非甲烷总烃</w:t>
            </w:r>
            <w:r>
              <w:rPr>
                <w:rFonts w:hint="eastAsia" w:cs="Times New Roman"/>
                <w:color w:val="auto"/>
                <w:szCs w:val="21"/>
                <w:lang w:val="en-US" w:eastAsia="zh-CN"/>
              </w:rPr>
              <w:t>0.2711</w:t>
            </w:r>
            <w:r>
              <w:rPr>
                <w:rFonts w:hint="eastAsia" w:ascii="Times New Roman" w:hAnsi="Times New Roman" w:eastAsia="宋体" w:cs="Times New Roman"/>
                <w:color w:val="auto"/>
                <w:szCs w:val="21"/>
                <w:lang w:val="en-US" w:eastAsia="zh-CN"/>
              </w:rPr>
              <w:t>t/a。</w:t>
            </w:r>
          </w:p>
          <w:p w14:paraId="308BE7F9">
            <w:pPr>
              <w:tabs>
                <w:tab w:val="left" w:pos="3780"/>
                <w:tab w:val="left" w:pos="6195"/>
                <w:tab w:val="left" w:pos="8613"/>
              </w:tabs>
              <w:spacing w:line="360" w:lineRule="auto"/>
              <w:ind w:firstLine="420" w:firstLineChars="200"/>
              <w:rPr>
                <w:rFonts w:hint="default" w:eastAsia="宋体"/>
                <w:color w:val="auto"/>
                <w:kern w:val="0"/>
                <w:szCs w:val="21"/>
                <w:lang w:val="en-US" w:eastAsia="zh-CN"/>
              </w:rPr>
            </w:pPr>
            <w:r>
              <w:rPr>
                <w:rFonts w:hint="eastAsia"/>
                <w:color w:val="auto"/>
                <w:kern w:val="0"/>
                <w:szCs w:val="21"/>
                <w:lang w:val="en-US" w:eastAsia="zh-CN"/>
              </w:rPr>
              <w:t>需要申请总量控制指标：</w:t>
            </w:r>
            <w:r>
              <w:rPr>
                <w:rFonts w:hint="eastAsia" w:ascii="Times New Roman" w:hAnsi="Times New Roman" w:eastAsia="宋体" w:cs="Times New Roman"/>
                <w:color w:val="auto"/>
                <w:szCs w:val="21"/>
                <w:lang w:val="en-US" w:eastAsia="zh-CN"/>
              </w:rPr>
              <w:t>颗粒物</w:t>
            </w:r>
            <w:r>
              <w:rPr>
                <w:rFonts w:hint="eastAsia" w:cs="Times New Roman"/>
                <w:color w:val="auto"/>
                <w:szCs w:val="21"/>
                <w:lang w:val="en-US" w:eastAsia="zh-CN"/>
              </w:rPr>
              <w:t>1.8590</w:t>
            </w:r>
            <w:r>
              <w:rPr>
                <w:rFonts w:hint="eastAsia" w:ascii="Times New Roman" w:hAnsi="Times New Roman" w:eastAsia="宋体" w:cs="Times New Roman"/>
                <w:color w:val="auto"/>
                <w:szCs w:val="21"/>
                <w:lang w:val="en-US" w:eastAsia="zh-CN"/>
              </w:rPr>
              <w:t>t/a、</w:t>
            </w:r>
            <w:r>
              <w:rPr>
                <w:rFonts w:hint="eastAsia" w:cs="Times New Roman"/>
                <w:color w:val="auto"/>
                <w:szCs w:val="21"/>
                <w:lang w:val="en-US" w:eastAsia="zh-CN"/>
              </w:rPr>
              <w:t>二氧化硫0.2177t/a、氮氧化物1.8786t/a、</w:t>
            </w:r>
            <w:r>
              <w:rPr>
                <w:rFonts w:hint="eastAsia"/>
                <w:color w:val="auto"/>
                <w:szCs w:val="21"/>
              </w:rPr>
              <w:t>挥发性有机物</w:t>
            </w:r>
            <w:r>
              <w:rPr>
                <w:rFonts w:hint="eastAsia" w:cs="Times New Roman"/>
                <w:color w:val="auto"/>
                <w:szCs w:val="21"/>
                <w:lang w:val="en-US" w:eastAsia="zh-CN"/>
              </w:rPr>
              <w:t>0.2711</w:t>
            </w:r>
            <w:r>
              <w:rPr>
                <w:rFonts w:hint="eastAsia" w:ascii="Times New Roman" w:hAnsi="Times New Roman" w:eastAsia="宋体" w:cs="Times New Roman"/>
                <w:color w:val="auto"/>
                <w:szCs w:val="21"/>
                <w:lang w:val="en-US" w:eastAsia="zh-CN"/>
              </w:rPr>
              <w:t>t/a。</w:t>
            </w:r>
          </w:p>
        </w:tc>
      </w:tr>
    </w:tbl>
    <w:p w14:paraId="010C8220">
      <w:pPr>
        <w:pStyle w:val="4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6"/>
          <w:szCs w:val="36"/>
        </w:rPr>
        <w:br w:type="page"/>
      </w:r>
      <w:r>
        <w:rPr>
          <w:rFonts w:ascii="Times New Roman" w:hAnsi="黑体" w:eastAsia="黑体"/>
          <w:snapToGrid w:val="0"/>
          <w:color w:val="auto"/>
          <w:sz w:val="30"/>
          <w:szCs w:val="30"/>
        </w:rPr>
        <w:t>四、主要环境影响和保护措施</w:t>
      </w:r>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51673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01DAA3B9">
            <w:pPr>
              <w:pStyle w:val="40"/>
              <w:adjustRightInd w:val="0"/>
              <w:snapToGrid w:val="0"/>
              <w:spacing w:before="0" w:beforeAutospacing="0" w:after="0" w:afterAutospacing="0"/>
              <w:jc w:val="center"/>
              <w:rPr>
                <w:rFonts w:ascii="Times New Roman" w:hAnsi="Times New Roman"/>
                <w:color w:val="auto"/>
                <w:kern w:val="2"/>
                <w:sz w:val="21"/>
                <w:szCs w:val="21"/>
              </w:rPr>
            </w:pPr>
            <w:r>
              <w:rPr>
                <w:rFonts w:ascii="Times New Roman"/>
                <w:color w:val="auto"/>
                <w:kern w:val="2"/>
                <w:sz w:val="21"/>
                <w:szCs w:val="21"/>
              </w:rPr>
              <w:t>施工</w:t>
            </w:r>
          </w:p>
          <w:p w14:paraId="2F74540F">
            <w:pPr>
              <w:pStyle w:val="40"/>
              <w:adjustRightInd w:val="0"/>
              <w:snapToGrid w:val="0"/>
              <w:spacing w:before="0" w:beforeAutospacing="0" w:after="0" w:afterAutospacing="0"/>
              <w:jc w:val="center"/>
              <w:rPr>
                <w:rFonts w:ascii="Times New Roman" w:hAnsi="Times New Roman"/>
                <w:color w:val="auto"/>
                <w:kern w:val="2"/>
                <w:sz w:val="21"/>
                <w:szCs w:val="21"/>
              </w:rPr>
            </w:pPr>
            <w:r>
              <w:rPr>
                <w:rFonts w:ascii="Times New Roman"/>
                <w:color w:val="auto"/>
                <w:kern w:val="2"/>
                <w:sz w:val="21"/>
                <w:szCs w:val="21"/>
              </w:rPr>
              <w:t>期环</w:t>
            </w:r>
          </w:p>
          <w:p w14:paraId="08515864">
            <w:pPr>
              <w:pStyle w:val="40"/>
              <w:adjustRightInd w:val="0"/>
              <w:snapToGrid w:val="0"/>
              <w:spacing w:before="0" w:beforeAutospacing="0" w:after="0" w:afterAutospacing="0"/>
              <w:jc w:val="center"/>
              <w:rPr>
                <w:rFonts w:ascii="Times New Roman" w:hAnsi="Times New Roman"/>
                <w:color w:val="auto"/>
                <w:kern w:val="2"/>
                <w:sz w:val="21"/>
                <w:szCs w:val="21"/>
              </w:rPr>
            </w:pPr>
            <w:r>
              <w:rPr>
                <w:rFonts w:ascii="Times New Roman"/>
                <w:color w:val="auto"/>
                <w:kern w:val="2"/>
                <w:sz w:val="21"/>
                <w:szCs w:val="21"/>
              </w:rPr>
              <w:t>境保</w:t>
            </w:r>
          </w:p>
          <w:p w14:paraId="6D415607">
            <w:pPr>
              <w:pStyle w:val="40"/>
              <w:adjustRightInd w:val="0"/>
              <w:snapToGrid w:val="0"/>
              <w:spacing w:before="0" w:beforeAutospacing="0" w:after="0" w:afterAutospacing="0"/>
              <w:jc w:val="center"/>
              <w:rPr>
                <w:rFonts w:ascii="Times New Roman" w:hAnsi="Times New Roman"/>
                <w:color w:val="auto"/>
                <w:kern w:val="2"/>
                <w:sz w:val="21"/>
                <w:szCs w:val="21"/>
              </w:rPr>
            </w:pPr>
            <w:r>
              <w:rPr>
                <w:rFonts w:ascii="Times New Roman"/>
                <w:color w:val="auto"/>
                <w:kern w:val="2"/>
                <w:sz w:val="21"/>
                <w:szCs w:val="21"/>
              </w:rPr>
              <w:t>护措</w:t>
            </w:r>
          </w:p>
          <w:p w14:paraId="56D751F1">
            <w:pPr>
              <w:pStyle w:val="40"/>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color w:val="auto"/>
                <w:kern w:val="2"/>
                <w:sz w:val="21"/>
                <w:szCs w:val="21"/>
              </w:rPr>
              <w:t>施</w:t>
            </w:r>
          </w:p>
        </w:tc>
        <w:tc>
          <w:tcPr>
            <w:tcW w:w="8162" w:type="dxa"/>
            <w:vAlign w:val="center"/>
          </w:tcPr>
          <w:p w14:paraId="397B95A4">
            <w:pPr>
              <w:spacing w:line="360" w:lineRule="auto"/>
              <w:ind w:firstLine="420" w:firstLineChars="200"/>
              <w:rPr>
                <w:rFonts w:hint="default"/>
                <w:color w:val="auto"/>
                <w:szCs w:val="21"/>
                <w:lang w:val="en-US" w:eastAsia="zh-CN"/>
              </w:rPr>
            </w:pPr>
            <w:r>
              <w:rPr>
                <w:rFonts w:hint="default"/>
                <w:color w:val="auto"/>
                <w:szCs w:val="21"/>
                <w:lang w:val="en-US" w:eastAsia="zh-CN"/>
              </w:rPr>
              <w:t>1、施工期大气污染防治措施</w:t>
            </w:r>
          </w:p>
          <w:p w14:paraId="6951385A">
            <w:pPr>
              <w:spacing w:line="360" w:lineRule="auto"/>
              <w:ind w:firstLine="420" w:firstLineChars="200"/>
              <w:rPr>
                <w:rFonts w:hint="default"/>
                <w:color w:val="auto"/>
                <w:szCs w:val="21"/>
                <w:lang w:val="en-US" w:eastAsia="zh-CN"/>
              </w:rPr>
            </w:pPr>
            <w:r>
              <w:rPr>
                <w:rFonts w:hint="default"/>
                <w:color w:val="auto"/>
                <w:szCs w:val="21"/>
                <w:lang w:val="en-US" w:eastAsia="zh-CN"/>
              </w:rPr>
              <w:t>（1）建设单位应加强环境保护措施的监理工作，确保施工期各项环保措施的实施，建筑工地必须做到“6个100%”：施工工地100%围挡，物料堆放100%覆盖，出入车辆100%冲洗，施工场地100%硬化，拆迁工地100%湿法作业，渣土车辆100%密闭；企业不得进行现场搅拌，采用商品混凝土。</w:t>
            </w:r>
          </w:p>
          <w:p w14:paraId="2393C2BF">
            <w:pPr>
              <w:spacing w:line="360" w:lineRule="auto"/>
              <w:ind w:firstLine="420" w:firstLineChars="200"/>
              <w:rPr>
                <w:rFonts w:hint="default"/>
                <w:color w:val="auto"/>
                <w:szCs w:val="21"/>
                <w:lang w:val="en-US" w:eastAsia="zh-CN"/>
              </w:rPr>
            </w:pPr>
            <w:r>
              <w:rPr>
                <w:rFonts w:hint="default"/>
                <w:color w:val="auto"/>
                <w:szCs w:val="21"/>
                <w:lang w:val="en-US" w:eastAsia="zh-CN"/>
              </w:rPr>
              <w:t>（2）施工期间施工单位应选用先进设备和优质燃料，使尾气达标排放。运输车辆禁止超载。</w:t>
            </w:r>
          </w:p>
          <w:p w14:paraId="333CC9CF">
            <w:pPr>
              <w:spacing w:line="360" w:lineRule="auto"/>
              <w:ind w:firstLine="420" w:firstLineChars="200"/>
              <w:rPr>
                <w:rFonts w:hint="eastAsia"/>
                <w:color w:val="auto"/>
                <w:szCs w:val="21"/>
                <w:lang w:val="en-US" w:eastAsia="zh-CN"/>
              </w:rPr>
            </w:pPr>
            <w:r>
              <w:rPr>
                <w:rFonts w:hint="eastAsia"/>
                <w:color w:val="auto"/>
                <w:szCs w:val="21"/>
                <w:lang w:val="en-US" w:eastAsia="zh-CN"/>
              </w:rPr>
              <w:t>2、施工期水污染防治措施</w:t>
            </w:r>
          </w:p>
          <w:p w14:paraId="674E0408">
            <w:pPr>
              <w:spacing w:line="360" w:lineRule="auto"/>
              <w:ind w:firstLine="420" w:firstLineChars="200"/>
              <w:rPr>
                <w:rFonts w:hint="eastAsia"/>
                <w:color w:val="auto"/>
                <w:szCs w:val="21"/>
                <w:lang w:val="en-US" w:eastAsia="zh-CN"/>
              </w:rPr>
            </w:pPr>
            <w:r>
              <w:rPr>
                <w:rFonts w:hint="eastAsia"/>
                <w:color w:val="auto"/>
                <w:szCs w:val="21"/>
                <w:lang w:val="en-US" w:eastAsia="zh-CN"/>
              </w:rPr>
              <w:t xml:space="preserve">（1）施工废水：施工期施工废水产生量较小，经沉淀池沉淀后用于施工现场洒水抑尘，不外排。 </w:t>
            </w:r>
          </w:p>
          <w:p w14:paraId="1F43232F">
            <w:pPr>
              <w:spacing w:line="360" w:lineRule="auto"/>
              <w:ind w:firstLine="420" w:firstLineChars="200"/>
              <w:rPr>
                <w:rFonts w:hint="eastAsia"/>
                <w:color w:val="auto"/>
                <w:szCs w:val="21"/>
                <w:lang w:val="en-US" w:eastAsia="zh-CN"/>
              </w:rPr>
            </w:pPr>
            <w:r>
              <w:rPr>
                <w:rFonts w:hint="eastAsia"/>
                <w:color w:val="auto"/>
                <w:szCs w:val="21"/>
                <w:lang w:val="en-US" w:eastAsia="zh-CN"/>
              </w:rPr>
              <w:t xml:space="preserve">（2）施工人员的生活污水：依托现有厂区生活污水收集系统。 </w:t>
            </w:r>
          </w:p>
          <w:p w14:paraId="53AB5B70">
            <w:pPr>
              <w:spacing w:line="360" w:lineRule="auto"/>
              <w:ind w:firstLine="420" w:firstLineChars="200"/>
              <w:rPr>
                <w:color w:val="auto"/>
                <w:szCs w:val="21"/>
              </w:rPr>
            </w:pPr>
            <w:r>
              <w:rPr>
                <w:rFonts w:hint="default"/>
                <w:color w:val="auto"/>
                <w:szCs w:val="21"/>
                <w:lang w:val="en-US" w:eastAsia="zh-CN"/>
              </w:rPr>
              <w:t>3</w:t>
            </w:r>
            <w:r>
              <w:rPr>
                <w:rFonts w:hint="eastAsia"/>
                <w:color w:val="auto"/>
                <w:szCs w:val="21"/>
                <w:lang w:val="en-US" w:eastAsia="zh-CN"/>
              </w:rPr>
              <w:t xml:space="preserve">、固体废物防治措施 </w:t>
            </w:r>
          </w:p>
          <w:p w14:paraId="0FB877CA">
            <w:pPr>
              <w:spacing w:line="360" w:lineRule="auto"/>
              <w:ind w:firstLine="420" w:firstLineChars="200"/>
              <w:rPr>
                <w:color w:val="auto"/>
                <w:szCs w:val="21"/>
              </w:rPr>
            </w:pPr>
            <w:r>
              <w:rPr>
                <w:rFonts w:hint="eastAsia"/>
                <w:color w:val="auto"/>
                <w:szCs w:val="21"/>
                <w:lang w:val="en-US" w:eastAsia="zh-CN"/>
              </w:rPr>
              <w:t xml:space="preserve">环评要求项目施工期产生的建筑垃圾及时清运至指定的建筑垃圾填埋场； </w:t>
            </w:r>
          </w:p>
          <w:p w14:paraId="66DACADB">
            <w:pPr>
              <w:spacing w:line="360" w:lineRule="auto"/>
              <w:ind w:firstLine="420" w:firstLineChars="200"/>
              <w:rPr>
                <w:color w:val="auto"/>
                <w:szCs w:val="21"/>
              </w:rPr>
            </w:pPr>
            <w:r>
              <w:rPr>
                <w:rFonts w:hint="eastAsia"/>
                <w:color w:val="auto"/>
                <w:szCs w:val="21"/>
                <w:lang w:val="en-US" w:eastAsia="zh-CN"/>
              </w:rPr>
              <w:t xml:space="preserve">施工人员产生的生活垃圾收集至现有厂区内的生活垃圾箱，之后由环卫部门处置。 </w:t>
            </w:r>
          </w:p>
          <w:p w14:paraId="58A5E01C">
            <w:pPr>
              <w:spacing w:line="360" w:lineRule="auto"/>
              <w:ind w:firstLine="420" w:firstLineChars="200"/>
              <w:rPr>
                <w:rFonts w:hint="eastAsia"/>
                <w:color w:val="auto"/>
                <w:szCs w:val="21"/>
                <w:lang w:val="en-US" w:eastAsia="zh-CN"/>
              </w:rPr>
            </w:pPr>
            <w:r>
              <w:rPr>
                <w:rFonts w:hint="eastAsia"/>
                <w:color w:val="auto"/>
                <w:szCs w:val="21"/>
                <w:lang w:val="en-US" w:eastAsia="zh-CN"/>
              </w:rPr>
              <w:t>4、施工期噪声污染防治措施</w:t>
            </w:r>
          </w:p>
          <w:p w14:paraId="1469E807">
            <w:pPr>
              <w:spacing w:line="360" w:lineRule="auto"/>
              <w:ind w:firstLine="420" w:firstLineChars="200"/>
              <w:rPr>
                <w:rFonts w:hint="eastAsia"/>
                <w:color w:val="auto"/>
                <w:szCs w:val="21"/>
                <w:lang w:val="en-US" w:eastAsia="zh-CN"/>
              </w:rPr>
            </w:pPr>
            <w:r>
              <w:rPr>
                <w:rFonts w:hint="eastAsia"/>
                <w:color w:val="auto"/>
                <w:szCs w:val="21"/>
                <w:lang w:val="en-US" w:eastAsia="zh-CN"/>
              </w:rPr>
              <w:t>（1）降低施工设备噪声：要定期对机械设备进行维护和保养，使其一直保持良好的状态，减轻因设备运行状态不佳而造成的噪声污染；对动力机械、设备加强定期检修、养护；</w:t>
            </w:r>
          </w:p>
          <w:p w14:paraId="56613E6F">
            <w:pPr>
              <w:spacing w:line="360" w:lineRule="auto"/>
              <w:ind w:firstLine="420" w:firstLineChars="200"/>
              <w:rPr>
                <w:rFonts w:hint="eastAsia"/>
                <w:color w:val="auto"/>
                <w:szCs w:val="21"/>
                <w:lang w:val="en-US" w:eastAsia="zh-CN"/>
              </w:rPr>
            </w:pPr>
            <w:r>
              <w:rPr>
                <w:rFonts w:hint="eastAsia"/>
                <w:color w:val="auto"/>
                <w:szCs w:val="21"/>
                <w:lang w:val="en-US" w:eastAsia="zh-CN"/>
              </w:rPr>
              <w:t>（2）施工现场合理布局，避免在同一地点安排大量动力机械设备，以避免局部声级过高，噪声大的某些施工设备尽量远离敏感区，将施工阶段的噪声减至最小；运输车辆在路过沿线村庄等敏感点及进入施工院内时限制车速，尽量减少鸣笛；</w:t>
            </w:r>
          </w:p>
          <w:p w14:paraId="4FF08BE0">
            <w:pPr>
              <w:spacing w:line="360" w:lineRule="auto"/>
              <w:ind w:firstLine="420" w:firstLineChars="200"/>
              <w:rPr>
                <w:rFonts w:hint="eastAsia"/>
                <w:color w:val="auto"/>
                <w:szCs w:val="21"/>
                <w:lang w:val="en-US" w:eastAsia="zh-CN"/>
              </w:rPr>
            </w:pPr>
            <w:r>
              <w:rPr>
                <w:rFonts w:hint="eastAsia"/>
                <w:color w:val="auto"/>
                <w:szCs w:val="21"/>
                <w:lang w:val="en-US" w:eastAsia="zh-CN"/>
              </w:rPr>
              <w:t>（3）合理安排施工时间，所有产噪设备施工时间应尽量安排在日间，严格控制夜间施工，在22时至次日6时不得施工，高噪声设备禁止夜间施工；</w:t>
            </w:r>
          </w:p>
          <w:p w14:paraId="6D8CBC5A">
            <w:pPr>
              <w:spacing w:line="360" w:lineRule="auto"/>
              <w:ind w:firstLine="420" w:firstLineChars="200"/>
              <w:rPr>
                <w:bCs/>
                <w:color w:val="auto"/>
                <w:spacing w:val="-10"/>
                <w:szCs w:val="21"/>
              </w:rPr>
            </w:pPr>
            <w:r>
              <w:rPr>
                <w:rFonts w:hint="eastAsia"/>
                <w:color w:val="auto"/>
                <w:szCs w:val="21"/>
                <w:lang w:val="en-US" w:eastAsia="zh-CN"/>
              </w:rPr>
              <w:t>（4）为避免设备噪声对施工人员造成影响，建议项目施工时要合理安排工作人员，轮流操作机械，减少工人接触高噪音时间；对声源附近工作时间较长的工人，应采取分发防护耳塞保护措施，使工人自身防护得到保障。</w:t>
            </w:r>
          </w:p>
        </w:tc>
      </w:tr>
      <w:tr w14:paraId="618AF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tcMar>
              <w:left w:w="28" w:type="dxa"/>
              <w:right w:w="28" w:type="dxa"/>
            </w:tcMar>
            <w:vAlign w:val="center"/>
          </w:tcPr>
          <w:p w14:paraId="78DBBC2C">
            <w:pPr>
              <w:adjustRightInd w:val="0"/>
              <w:snapToGrid w:val="0"/>
              <w:jc w:val="center"/>
              <w:rPr>
                <w:bCs/>
                <w:color w:val="auto"/>
                <w:szCs w:val="21"/>
              </w:rPr>
            </w:pPr>
            <w:r>
              <w:rPr>
                <w:rFonts w:hAnsi="宋体"/>
                <w:bCs/>
                <w:color w:val="auto"/>
                <w:szCs w:val="21"/>
              </w:rPr>
              <w:t>运营</w:t>
            </w:r>
          </w:p>
          <w:p w14:paraId="67E68AB8">
            <w:pPr>
              <w:adjustRightInd w:val="0"/>
              <w:snapToGrid w:val="0"/>
              <w:jc w:val="center"/>
              <w:rPr>
                <w:bCs/>
                <w:color w:val="auto"/>
                <w:szCs w:val="21"/>
              </w:rPr>
            </w:pPr>
            <w:r>
              <w:rPr>
                <w:rFonts w:hAnsi="宋体"/>
                <w:bCs/>
                <w:color w:val="auto"/>
                <w:szCs w:val="21"/>
              </w:rPr>
              <w:t>期环</w:t>
            </w:r>
          </w:p>
          <w:p w14:paraId="4FBC17A2">
            <w:pPr>
              <w:adjustRightInd w:val="0"/>
              <w:snapToGrid w:val="0"/>
              <w:jc w:val="center"/>
              <w:rPr>
                <w:bCs/>
                <w:color w:val="auto"/>
                <w:szCs w:val="21"/>
              </w:rPr>
            </w:pPr>
            <w:r>
              <w:rPr>
                <w:rFonts w:hAnsi="宋体"/>
                <w:bCs/>
                <w:color w:val="auto"/>
                <w:szCs w:val="21"/>
              </w:rPr>
              <w:t>境影</w:t>
            </w:r>
          </w:p>
          <w:p w14:paraId="055F5DE5">
            <w:pPr>
              <w:adjustRightInd w:val="0"/>
              <w:snapToGrid w:val="0"/>
              <w:jc w:val="center"/>
              <w:rPr>
                <w:bCs/>
                <w:color w:val="auto"/>
                <w:szCs w:val="21"/>
              </w:rPr>
            </w:pPr>
            <w:r>
              <w:rPr>
                <w:rFonts w:hAnsi="宋体"/>
                <w:bCs/>
                <w:color w:val="auto"/>
                <w:szCs w:val="21"/>
              </w:rPr>
              <w:t>响和</w:t>
            </w:r>
          </w:p>
          <w:p w14:paraId="4D139EC8">
            <w:pPr>
              <w:adjustRightInd w:val="0"/>
              <w:snapToGrid w:val="0"/>
              <w:jc w:val="center"/>
              <w:rPr>
                <w:bCs/>
                <w:color w:val="auto"/>
                <w:szCs w:val="21"/>
              </w:rPr>
            </w:pPr>
            <w:r>
              <w:rPr>
                <w:rFonts w:hAnsi="宋体"/>
                <w:bCs/>
                <w:color w:val="auto"/>
                <w:szCs w:val="21"/>
              </w:rPr>
              <w:t>保护</w:t>
            </w:r>
          </w:p>
          <w:p w14:paraId="002A150D">
            <w:pPr>
              <w:adjustRightInd w:val="0"/>
              <w:snapToGrid w:val="0"/>
              <w:jc w:val="center"/>
              <w:rPr>
                <w:bCs/>
                <w:color w:val="auto"/>
                <w:szCs w:val="21"/>
              </w:rPr>
            </w:pPr>
            <w:r>
              <w:rPr>
                <w:rFonts w:hAnsi="宋体"/>
                <w:bCs/>
                <w:color w:val="auto"/>
                <w:szCs w:val="21"/>
              </w:rPr>
              <w:t>措施</w:t>
            </w:r>
          </w:p>
        </w:tc>
        <w:tc>
          <w:tcPr>
            <w:tcW w:w="8162" w:type="dxa"/>
            <w:vAlign w:val="center"/>
          </w:tcPr>
          <w:p w14:paraId="74AAB45B">
            <w:pPr>
              <w:snapToGrid w:val="0"/>
              <w:spacing w:line="360" w:lineRule="auto"/>
              <w:ind w:firstLine="413" w:firstLineChars="196"/>
              <w:rPr>
                <w:rFonts w:hint="eastAsia" w:eastAsia="宋体"/>
                <w:b/>
                <w:color w:val="auto"/>
                <w:szCs w:val="21"/>
                <w:lang w:val="en-US" w:eastAsia="zh-CN"/>
              </w:rPr>
            </w:pPr>
            <w:r>
              <w:rPr>
                <w:rFonts w:hint="eastAsia"/>
                <w:b/>
                <w:color w:val="auto"/>
                <w:szCs w:val="21"/>
                <w:lang w:val="en-US" w:eastAsia="zh-CN"/>
              </w:rPr>
              <w:t>4.</w:t>
            </w:r>
            <w:r>
              <w:rPr>
                <w:b/>
                <w:color w:val="auto"/>
                <w:szCs w:val="21"/>
              </w:rPr>
              <w:t>1</w:t>
            </w:r>
            <w:r>
              <w:rPr>
                <w:rFonts w:hint="eastAsia"/>
                <w:b/>
                <w:color w:val="auto"/>
                <w:szCs w:val="21"/>
                <w:lang w:val="en-US" w:eastAsia="zh-CN"/>
              </w:rPr>
              <w:t>废气</w:t>
            </w:r>
          </w:p>
          <w:p w14:paraId="76276F04">
            <w:pPr>
              <w:spacing w:line="360" w:lineRule="auto"/>
              <w:ind w:firstLine="420" w:firstLineChars="200"/>
              <w:rPr>
                <w:rFonts w:hint="eastAsia"/>
                <w:szCs w:val="21"/>
              </w:rPr>
            </w:pPr>
            <w:r>
              <w:rPr>
                <w:rFonts w:hint="eastAsia"/>
                <w:szCs w:val="21"/>
              </w:rPr>
              <w:t>本项目运营期废气主要包括木质产品加工（下料制材、切割、开槽、铣、锯、雕刻、砂光等）</w:t>
            </w:r>
            <w:r>
              <w:rPr>
                <w:rFonts w:hint="eastAsia"/>
                <w:szCs w:val="21"/>
                <w:lang w:val="en-US" w:eastAsia="zh-CN"/>
              </w:rPr>
              <w:t>废气</w:t>
            </w:r>
            <w:r>
              <w:rPr>
                <w:rFonts w:hint="eastAsia"/>
                <w:szCs w:val="21"/>
              </w:rPr>
              <w:t>G</w:t>
            </w:r>
            <w:r>
              <w:rPr>
                <w:rFonts w:hint="eastAsia"/>
                <w:szCs w:val="21"/>
                <w:vertAlign w:val="subscript"/>
              </w:rPr>
              <w:t>1</w:t>
            </w:r>
            <w:r>
              <w:rPr>
                <w:rFonts w:hint="eastAsia"/>
                <w:szCs w:val="21"/>
              </w:rPr>
              <w:t>、木材料烘干有机废气G</w:t>
            </w:r>
            <w:r>
              <w:rPr>
                <w:rFonts w:hint="eastAsia"/>
                <w:szCs w:val="21"/>
                <w:vertAlign w:val="subscript"/>
              </w:rPr>
              <w:t>2</w:t>
            </w:r>
            <w:r>
              <w:rPr>
                <w:rFonts w:hint="eastAsia"/>
                <w:szCs w:val="21"/>
              </w:rPr>
              <w:t>、</w:t>
            </w:r>
            <w:r>
              <w:rPr>
                <w:rFonts w:hint="eastAsia"/>
                <w:szCs w:val="21"/>
                <w:lang w:val="en-US" w:eastAsia="zh-CN"/>
              </w:rPr>
              <w:t>木材料胶粘废气</w:t>
            </w:r>
            <w:r>
              <w:rPr>
                <w:rFonts w:hint="eastAsia"/>
                <w:szCs w:val="21"/>
              </w:rPr>
              <w:t>G</w:t>
            </w:r>
            <w:r>
              <w:rPr>
                <w:rFonts w:hint="eastAsia"/>
                <w:szCs w:val="21"/>
                <w:vertAlign w:val="subscript"/>
              </w:rPr>
              <w:t>3</w:t>
            </w:r>
            <w:r>
              <w:rPr>
                <w:rFonts w:hint="eastAsia"/>
                <w:szCs w:val="21"/>
                <w:lang w:val="en-US" w:eastAsia="zh-CN"/>
              </w:rPr>
              <w:t>、</w:t>
            </w:r>
            <w:r>
              <w:rPr>
                <w:rFonts w:hint="eastAsia"/>
                <w:szCs w:val="21"/>
              </w:rPr>
              <w:t>木质产品喷漆废气G</w:t>
            </w:r>
            <w:r>
              <w:rPr>
                <w:rFonts w:hint="eastAsia"/>
                <w:szCs w:val="21"/>
                <w:vertAlign w:val="subscript"/>
                <w:lang w:val="en-US" w:eastAsia="zh-CN"/>
              </w:rPr>
              <w:t>4</w:t>
            </w:r>
            <w:r>
              <w:rPr>
                <w:rFonts w:hint="eastAsia"/>
                <w:szCs w:val="21"/>
              </w:rPr>
              <w:t>、砖石产品加工粉尘G</w:t>
            </w:r>
            <w:r>
              <w:rPr>
                <w:rFonts w:hint="eastAsia"/>
                <w:szCs w:val="21"/>
                <w:vertAlign w:val="subscript"/>
                <w:lang w:val="en-US" w:eastAsia="zh-CN"/>
              </w:rPr>
              <w:t>5</w:t>
            </w:r>
            <w:r>
              <w:rPr>
                <w:rFonts w:hint="eastAsia"/>
                <w:szCs w:val="21"/>
              </w:rPr>
              <w:t>、</w:t>
            </w:r>
            <w:r>
              <w:rPr>
                <w:rFonts w:hint="eastAsia"/>
                <w:szCs w:val="21"/>
                <w:lang w:val="en-US" w:eastAsia="zh-CN"/>
              </w:rPr>
              <w:t>锅炉烟气</w:t>
            </w:r>
            <w:r>
              <w:rPr>
                <w:rFonts w:hint="eastAsia"/>
                <w:szCs w:val="21"/>
              </w:rPr>
              <w:t>G</w:t>
            </w:r>
            <w:r>
              <w:rPr>
                <w:rFonts w:hint="eastAsia"/>
                <w:szCs w:val="21"/>
                <w:vertAlign w:val="subscript"/>
                <w:lang w:val="en-US" w:eastAsia="zh-CN"/>
              </w:rPr>
              <w:t>6</w:t>
            </w:r>
            <w:r>
              <w:rPr>
                <w:rFonts w:hint="eastAsia"/>
                <w:szCs w:val="21"/>
              </w:rPr>
              <w:t>、</w:t>
            </w:r>
            <w:r>
              <w:rPr>
                <w:rFonts w:hint="eastAsia"/>
                <w:szCs w:val="21"/>
                <w:lang w:val="en-US" w:eastAsia="zh-CN"/>
              </w:rPr>
              <w:t>隧道窑废气</w:t>
            </w:r>
            <w:r>
              <w:rPr>
                <w:rFonts w:hint="eastAsia"/>
                <w:szCs w:val="21"/>
              </w:rPr>
              <w:t>G</w:t>
            </w:r>
            <w:r>
              <w:rPr>
                <w:rFonts w:hint="eastAsia"/>
                <w:szCs w:val="21"/>
                <w:vertAlign w:val="subscript"/>
                <w:lang w:val="en-US" w:eastAsia="zh-CN"/>
              </w:rPr>
              <w:t>7</w:t>
            </w:r>
            <w:r>
              <w:rPr>
                <w:rFonts w:hint="eastAsia"/>
                <w:szCs w:val="21"/>
                <w:lang w:eastAsia="zh-CN"/>
              </w:rPr>
              <w:t>、</w:t>
            </w:r>
            <w:r>
              <w:rPr>
                <w:rFonts w:hint="eastAsia"/>
                <w:szCs w:val="21"/>
              </w:rPr>
              <w:t>食堂油烟G</w:t>
            </w:r>
            <w:r>
              <w:rPr>
                <w:rFonts w:hint="eastAsia"/>
                <w:szCs w:val="21"/>
                <w:vertAlign w:val="subscript"/>
                <w:lang w:val="en-US" w:eastAsia="zh-CN"/>
              </w:rPr>
              <w:t>8</w:t>
            </w:r>
            <w:r>
              <w:rPr>
                <w:rFonts w:hint="eastAsia"/>
                <w:szCs w:val="21"/>
              </w:rPr>
              <w:t>。</w:t>
            </w:r>
          </w:p>
          <w:p w14:paraId="0F456D29">
            <w:pPr>
              <w:pStyle w:val="155"/>
              <w:spacing w:before="0" w:after="0" w:line="240" w:lineRule="exact"/>
              <w:rPr>
                <w:rFonts w:hint="eastAsia"/>
                <w:color w:val="auto"/>
                <w:sz w:val="18"/>
                <w:szCs w:val="18"/>
                <w:lang w:val="en-US" w:eastAsia="zh-CN"/>
              </w:rPr>
            </w:pPr>
            <w:r>
              <w:rPr>
                <w:color w:val="auto"/>
                <w:sz w:val="18"/>
                <w:szCs w:val="18"/>
              </w:rPr>
              <w:t>表4</w:t>
            </w:r>
            <w:r>
              <w:rPr>
                <w:rFonts w:hint="eastAsia"/>
                <w:color w:val="auto"/>
                <w:sz w:val="18"/>
                <w:szCs w:val="18"/>
                <w:lang w:val="en-US" w:eastAsia="zh-CN"/>
              </w:rPr>
              <w:t>.1</w:t>
            </w:r>
            <w:r>
              <w:rPr>
                <w:color w:val="auto"/>
                <w:sz w:val="18"/>
                <w:szCs w:val="18"/>
              </w:rPr>
              <w:t>-</w:t>
            </w:r>
            <w:r>
              <w:rPr>
                <w:rFonts w:hint="eastAsia"/>
                <w:color w:val="auto"/>
                <w:sz w:val="18"/>
                <w:szCs w:val="18"/>
                <w:lang w:val="en-US" w:eastAsia="zh-CN"/>
              </w:rPr>
              <w:t>1</w:t>
            </w:r>
            <w:r>
              <w:rPr>
                <w:color w:val="auto"/>
                <w:sz w:val="18"/>
                <w:szCs w:val="18"/>
              </w:rPr>
              <w:t xml:space="preserve"> </w:t>
            </w:r>
            <w:r>
              <w:rPr>
                <w:rFonts w:hint="eastAsia"/>
                <w:color w:val="auto"/>
                <w:sz w:val="18"/>
                <w:szCs w:val="18"/>
              </w:rPr>
              <w:t xml:space="preserve">  </w:t>
            </w:r>
            <w:r>
              <w:rPr>
                <w:rFonts w:hint="eastAsia"/>
                <w:color w:val="auto"/>
                <w:sz w:val="18"/>
                <w:szCs w:val="18"/>
                <w:lang w:val="en-US" w:eastAsia="zh-CN"/>
              </w:rPr>
              <w:t>废气污染源产生排放情况表</w:t>
            </w:r>
          </w:p>
          <w:tbl>
            <w:tblPr>
              <w:tblStyle w:val="4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364"/>
              <w:gridCol w:w="1272"/>
              <w:gridCol w:w="1318"/>
              <w:gridCol w:w="1490"/>
              <w:gridCol w:w="1490"/>
            </w:tblGrid>
            <w:tr w14:paraId="51F4E5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6CA7DA3C">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污染源名称</w:t>
                  </w:r>
                </w:p>
              </w:tc>
              <w:tc>
                <w:tcPr>
                  <w:tcW w:w="803" w:type="pct"/>
                  <w:tcBorders>
                    <w:tl2br w:val="nil"/>
                    <w:tr2bl w:val="nil"/>
                  </w:tcBorders>
                  <w:vAlign w:val="center"/>
                </w:tcPr>
                <w:p w14:paraId="26241FCB">
                  <w:pPr>
                    <w:pStyle w:val="155"/>
                    <w:spacing w:before="0" w:after="0" w:line="240" w:lineRule="exact"/>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木材料加工</w:t>
                  </w:r>
                </w:p>
              </w:tc>
              <w:tc>
                <w:tcPr>
                  <w:tcW w:w="832" w:type="pct"/>
                  <w:tcBorders>
                    <w:tl2br w:val="nil"/>
                    <w:tr2bl w:val="nil"/>
                  </w:tcBorders>
                  <w:shd w:val="clear" w:color="auto" w:fill="auto"/>
                  <w:vAlign w:val="center"/>
                </w:tcPr>
                <w:p w14:paraId="6A0F69E6">
                  <w:pPr>
                    <w:pStyle w:val="155"/>
                    <w:spacing w:before="0" w:after="0" w:line="240" w:lineRule="exact"/>
                    <w:jc w:val="center"/>
                    <w:rPr>
                      <w:rFonts w:hint="default" w:ascii="Times New Roman" w:hAnsi="Times New Roman" w:eastAsia="宋体" w:cs="Times New Roman"/>
                      <w:b/>
                      <w:bCs w:val="0"/>
                      <w:color w:val="auto"/>
                      <w:kern w:val="32"/>
                      <w:sz w:val="18"/>
                      <w:szCs w:val="18"/>
                      <w:vertAlign w:val="baseline"/>
                      <w:lang w:val="en-US" w:eastAsia="zh-CN" w:bidi="ar-SA"/>
                    </w:rPr>
                  </w:pPr>
                  <w:r>
                    <w:rPr>
                      <w:rFonts w:hint="eastAsia" w:cs="Times New Roman"/>
                      <w:b/>
                      <w:bCs w:val="0"/>
                      <w:color w:val="auto"/>
                      <w:kern w:val="32"/>
                      <w:sz w:val="18"/>
                      <w:szCs w:val="18"/>
                      <w:vertAlign w:val="baseline"/>
                      <w:lang w:val="en-US" w:eastAsia="zh-CN" w:bidi="ar-SA"/>
                    </w:rPr>
                    <w:t>木质半成品表面处理</w:t>
                  </w:r>
                </w:p>
              </w:tc>
              <w:tc>
                <w:tcPr>
                  <w:tcW w:w="1882" w:type="pct"/>
                  <w:gridSpan w:val="2"/>
                  <w:tcBorders>
                    <w:tl2br w:val="nil"/>
                    <w:tr2bl w:val="nil"/>
                  </w:tcBorders>
                  <w:shd w:val="clear" w:color="auto" w:fill="auto"/>
                  <w:vAlign w:val="center"/>
                </w:tcPr>
                <w:p w14:paraId="40622D71">
                  <w:pPr>
                    <w:pStyle w:val="155"/>
                    <w:spacing w:before="0" w:after="0" w:line="240" w:lineRule="exact"/>
                    <w:jc w:val="center"/>
                    <w:rPr>
                      <w:rFonts w:hint="eastAsia"/>
                      <w:b/>
                      <w:bCs w:val="0"/>
                      <w:color w:val="auto"/>
                      <w:sz w:val="18"/>
                      <w:szCs w:val="18"/>
                      <w:vertAlign w:val="baseline"/>
                      <w:lang w:val="en-US" w:eastAsia="zh-CN"/>
                    </w:rPr>
                  </w:pPr>
                  <w:r>
                    <w:rPr>
                      <w:rFonts w:hint="eastAsia" w:cs="Times New Roman"/>
                      <w:b/>
                      <w:bCs w:val="0"/>
                      <w:color w:val="auto"/>
                      <w:kern w:val="32"/>
                      <w:sz w:val="18"/>
                      <w:szCs w:val="18"/>
                      <w:vertAlign w:val="baseline"/>
                      <w:lang w:val="en-US" w:eastAsia="zh-CN" w:bidi="ar-SA"/>
                    </w:rPr>
                    <w:t>木材干燥、拼接胶粘、喷漆</w:t>
                  </w:r>
                </w:p>
              </w:tc>
            </w:tr>
            <w:tr w14:paraId="65533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1719DB0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污染物种类</w:t>
                  </w:r>
                </w:p>
              </w:tc>
              <w:tc>
                <w:tcPr>
                  <w:tcW w:w="803" w:type="pct"/>
                  <w:tcBorders>
                    <w:tl2br w:val="nil"/>
                    <w:tr2bl w:val="nil"/>
                  </w:tcBorders>
                  <w:vAlign w:val="center"/>
                </w:tcPr>
                <w:p w14:paraId="496ADA85">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颗粒物</w:t>
                  </w:r>
                </w:p>
              </w:tc>
              <w:tc>
                <w:tcPr>
                  <w:tcW w:w="832" w:type="pct"/>
                  <w:tcBorders>
                    <w:tl2br w:val="nil"/>
                    <w:tr2bl w:val="nil"/>
                  </w:tcBorders>
                  <w:shd w:val="clear" w:color="auto" w:fill="auto"/>
                  <w:vAlign w:val="center"/>
                </w:tcPr>
                <w:p w14:paraId="426679E0">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颗粒物</w:t>
                  </w:r>
                </w:p>
              </w:tc>
              <w:tc>
                <w:tcPr>
                  <w:tcW w:w="941" w:type="pct"/>
                  <w:tcBorders>
                    <w:tl2br w:val="nil"/>
                    <w:tr2bl w:val="nil"/>
                  </w:tcBorders>
                  <w:shd w:val="clear" w:color="auto" w:fill="auto"/>
                  <w:vAlign w:val="center"/>
                </w:tcPr>
                <w:p w14:paraId="45872F16">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非甲烷总烃</w:t>
                  </w:r>
                </w:p>
              </w:tc>
              <w:tc>
                <w:tcPr>
                  <w:tcW w:w="941" w:type="pct"/>
                  <w:tcBorders>
                    <w:tl2br w:val="nil"/>
                    <w:tr2bl w:val="nil"/>
                  </w:tcBorders>
                  <w:vAlign w:val="center"/>
                </w:tcPr>
                <w:p w14:paraId="6BD045DF">
                  <w:pPr>
                    <w:pStyle w:val="155"/>
                    <w:spacing w:before="0" w:after="0" w:line="240" w:lineRule="exact"/>
                    <w:jc w:val="center"/>
                    <w:rPr>
                      <w:rFonts w:hint="eastAsia" w:eastAsia="宋体"/>
                      <w:b w:val="0"/>
                      <w:bCs/>
                      <w:color w:val="auto"/>
                      <w:sz w:val="18"/>
                      <w:szCs w:val="18"/>
                      <w:vertAlign w:val="baseline"/>
                      <w:lang w:val="en-US" w:eastAsia="zh-CN"/>
                    </w:rPr>
                  </w:pPr>
                  <w:r>
                    <w:rPr>
                      <w:rFonts w:hint="default" w:eastAsia="宋体"/>
                      <w:b w:val="0"/>
                      <w:bCs/>
                      <w:color w:val="auto"/>
                      <w:sz w:val="18"/>
                      <w:szCs w:val="18"/>
                      <w:vertAlign w:val="baseline"/>
                      <w:lang w:val="en-US" w:eastAsia="zh-CN"/>
                    </w:rPr>
                    <w:t>颗粒物</w:t>
                  </w:r>
                </w:p>
              </w:tc>
            </w:tr>
            <w:tr w14:paraId="6F5014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7008E58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排放方式</w:t>
                  </w:r>
                </w:p>
              </w:tc>
              <w:tc>
                <w:tcPr>
                  <w:tcW w:w="803" w:type="pct"/>
                  <w:tcBorders>
                    <w:tl2br w:val="nil"/>
                    <w:tr2bl w:val="nil"/>
                  </w:tcBorders>
                  <w:vAlign w:val="center"/>
                </w:tcPr>
                <w:p w14:paraId="7CCF1C9D">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有组织</w:t>
                  </w:r>
                </w:p>
              </w:tc>
              <w:tc>
                <w:tcPr>
                  <w:tcW w:w="832" w:type="pct"/>
                  <w:tcBorders>
                    <w:tl2br w:val="nil"/>
                    <w:tr2bl w:val="nil"/>
                  </w:tcBorders>
                  <w:shd w:val="clear" w:color="auto" w:fill="auto"/>
                  <w:vAlign w:val="center"/>
                </w:tcPr>
                <w:p w14:paraId="7EF49FF8">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有组织</w:t>
                  </w:r>
                </w:p>
              </w:tc>
              <w:tc>
                <w:tcPr>
                  <w:tcW w:w="1882" w:type="pct"/>
                  <w:gridSpan w:val="2"/>
                  <w:tcBorders>
                    <w:tl2br w:val="nil"/>
                    <w:tr2bl w:val="nil"/>
                  </w:tcBorders>
                  <w:shd w:val="clear" w:color="auto" w:fill="auto"/>
                  <w:vAlign w:val="center"/>
                </w:tcPr>
                <w:p w14:paraId="499DE997">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有组织</w:t>
                  </w:r>
                </w:p>
              </w:tc>
            </w:tr>
            <w:tr w14:paraId="0465C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3CB3F63C">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废气量（Nm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/h）</w:t>
                  </w:r>
                </w:p>
              </w:tc>
              <w:tc>
                <w:tcPr>
                  <w:tcW w:w="803" w:type="pct"/>
                  <w:tcBorders>
                    <w:tl2br w:val="nil"/>
                    <w:tr2bl w:val="nil"/>
                  </w:tcBorders>
                  <w:vAlign w:val="center"/>
                </w:tcPr>
                <w:p w14:paraId="24FF4E1A">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9000</w:t>
                  </w:r>
                </w:p>
              </w:tc>
              <w:tc>
                <w:tcPr>
                  <w:tcW w:w="832" w:type="pct"/>
                  <w:tcBorders>
                    <w:tl2br w:val="nil"/>
                    <w:tr2bl w:val="nil"/>
                  </w:tcBorders>
                  <w:shd w:val="clear" w:color="auto" w:fill="auto"/>
                  <w:vAlign w:val="center"/>
                </w:tcPr>
                <w:p w14:paraId="34568C0D">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20000</w:t>
                  </w:r>
                </w:p>
              </w:tc>
              <w:tc>
                <w:tcPr>
                  <w:tcW w:w="1882" w:type="pct"/>
                  <w:gridSpan w:val="2"/>
                  <w:tcBorders>
                    <w:tl2br w:val="nil"/>
                    <w:tr2bl w:val="nil"/>
                  </w:tcBorders>
                  <w:shd w:val="clear" w:color="auto" w:fill="auto"/>
                  <w:vAlign w:val="center"/>
                </w:tcPr>
                <w:p w14:paraId="4125833F">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15000</w:t>
                  </w:r>
                </w:p>
              </w:tc>
            </w:tr>
            <w:tr w14:paraId="0F6FA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10106518">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污染物产生情况</w:t>
                  </w:r>
                </w:p>
              </w:tc>
              <w:tc>
                <w:tcPr>
                  <w:tcW w:w="861" w:type="pct"/>
                  <w:tcBorders>
                    <w:tl2br w:val="nil"/>
                    <w:tr2bl w:val="nil"/>
                  </w:tcBorders>
                  <w:vAlign w:val="center"/>
                </w:tcPr>
                <w:p w14:paraId="30F7B4CF">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803" w:type="pct"/>
                  <w:tcBorders>
                    <w:tl2br w:val="nil"/>
                    <w:tr2bl w:val="nil"/>
                  </w:tcBorders>
                  <w:vAlign w:val="center"/>
                </w:tcPr>
                <w:p w14:paraId="00D4F9E6">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1000</w:t>
                  </w:r>
                </w:p>
              </w:tc>
              <w:tc>
                <w:tcPr>
                  <w:tcW w:w="832" w:type="pct"/>
                  <w:tcBorders>
                    <w:tl2br w:val="nil"/>
                    <w:tr2bl w:val="nil"/>
                  </w:tcBorders>
                  <w:shd w:val="clear" w:color="auto" w:fill="auto"/>
                  <w:vAlign w:val="center"/>
                </w:tcPr>
                <w:p w14:paraId="31C4FF96">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2000</w:t>
                  </w:r>
                </w:p>
              </w:tc>
              <w:tc>
                <w:tcPr>
                  <w:tcW w:w="941" w:type="pct"/>
                  <w:tcBorders>
                    <w:tl2br w:val="nil"/>
                    <w:tr2bl w:val="nil"/>
                  </w:tcBorders>
                  <w:shd w:val="clear" w:color="auto" w:fill="auto"/>
                  <w:vAlign w:val="center"/>
                </w:tcPr>
                <w:p w14:paraId="572F2F29">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300</w:t>
                  </w:r>
                </w:p>
              </w:tc>
              <w:tc>
                <w:tcPr>
                  <w:tcW w:w="941" w:type="pct"/>
                  <w:tcBorders>
                    <w:tl2br w:val="nil"/>
                    <w:tr2bl w:val="nil"/>
                  </w:tcBorders>
                  <w:vAlign w:val="center"/>
                </w:tcPr>
                <w:p w14:paraId="166F3BE4">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100</w:t>
                  </w:r>
                </w:p>
              </w:tc>
            </w:tr>
            <w:tr w14:paraId="4B4581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620" w:type="pct"/>
                  <w:vMerge w:val="continue"/>
                  <w:tcBorders>
                    <w:tl2br w:val="nil"/>
                    <w:tr2bl w:val="nil"/>
                  </w:tcBorders>
                  <w:vAlign w:val="center"/>
                </w:tcPr>
                <w:p w14:paraId="01EE3C5E">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BE5E27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产生量（kg/h）</w:t>
                  </w:r>
                </w:p>
              </w:tc>
              <w:tc>
                <w:tcPr>
                  <w:tcW w:w="803" w:type="pct"/>
                  <w:tcBorders>
                    <w:tl2br w:val="nil"/>
                    <w:tr2bl w:val="nil"/>
                  </w:tcBorders>
                  <w:vAlign w:val="center"/>
                </w:tcPr>
                <w:p w14:paraId="10BC2281">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7.85</w:t>
                  </w:r>
                </w:p>
              </w:tc>
              <w:tc>
                <w:tcPr>
                  <w:tcW w:w="832" w:type="pct"/>
                  <w:tcBorders>
                    <w:tl2br w:val="nil"/>
                    <w:tr2bl w:val="nil"/>
                  </w:tcBorders>
                  <w:shd w:val="clear" w:color="auto" w:fill="auto"/>
                  <w:vAlign w:val="center"/>
                </w:tcPr>
                <w:p w14:paraId="1982AC1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45.52</w:t>
                  </w:r>
                </w:p>
              </w:tc>
              <w:tc>
                <w:tcPr>
                  <w:tcW w:w="941" w:type="pct"/>
                  <w:tcBorders>
                    <w:tl2br w:val="nil"/>
                    <w:tr2bl w:val="nil"/>
                  </w:tcBorders>
                  <w:shd w:val="clear" w:color="auto" w:fill="auto"/>
                  <w:vAlign w:val="center"/>
                </w:tcPr>
                <w:p w14:paraId="7ED9401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2.0</w:t>
                  </w:r>
                </w:p>
              </w:tc>
              <w:tc>
                <w:tcPr>
                  <w:tcW w:w="941" w:type="pct"/>
                  <w:tcBorders>
                    <w:tl2br w:val="nil"/>
                    <w:tr2bl w:val="nil"/>
                  </w:tcBorders>
                  <w:vAlign w:val="center"/>
                </w:tcPr>
                <w:p w14:paraId="58ECB1C6">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0.957</w:t>
                  </w:r>
                </w:p>
              </w:tc>
            </w:tr>
            <w:tr w14:paraId="3B8B5E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0AA9BA14">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5041CE07">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核算方法</w:t>
                  </w:r>
                </w:p>
              </w:tc>
              <w:tc>
                <w:tcPr>
                  <w:tcW w:w="803" w:type="pct"/>
                  <w:tcBorders>
                    <w:tl2br w:val="nil"/>
                    <w:tr2bl w:val="nil"/>
                  </w:tcBorders>
                  <w:vAlign w:val="center"/>
                </w:tcPr>
                <w:p w14:paraId="2C3C3F5D">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产污系数法</w:t>
                  </w:r>
                </w:p>
              </w:tc>
              <w:tc>
                <w:tcPr>
                  <w:tcW w:w="832" w:type="pct"/>
                  <w:tcBorders>
                    <w:tl2br w:val="nil"/>
                    <w:tr2bl w:val="nil"/>
                  </w:tcBorders>
                  <w:shd w:val="clear" w:color="auto" w:fill="auto"/>
                  <w:vAlign w:val="center"/>
                </w:tcPr>
                <w:p w14:paraId="20969432">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产污系数法</w:t>
                  </w:r>
                </w:p>
              </w:tc>
              <w:tc>
                <w:tcPr>
                  <w:tcW w:w="941" w:type="pct"/>
                  <w:tcBorders>
                    <w:tl2br w:val="nil"/>
                    <w:tr2bl w:val="nil"/>
                  </w:tcBorders>
                  <w:shd w:val="clear" w:color="auto" w:fill="auto"/>
                  <w:vAlign w:val="center"/>
                </w:tcPr>
                <w:p w14:paraId="42391C6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产污系数法</w:t>
                  </w:r>
                </w:p>
              </w:tc>
              <w:tc>
                <w:tcPr>
                  <w:tcW w:w="941" w:type="pct"/>
                  <w:tcBorders>
                    <w:tl2br w:val="nil"/>
                    <w:tr2bl w:val="nil"/>
                  </w:tcBorders>
                  <w:vAlign w:val="center"/>
                </w:tcPr>
                <w:p w14:paraId="556773D4">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产污系数法</w:t>
                  </w:r>
                </w:p>
              </w:tc>
            </w:tr>
            <w:tr w14:paraId="691DDB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0671C989">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污染防治措施</w:t>
                  </w:r>
                </w:p>
              </w:tc>
              <w:tc>
                <w:tcPr>
                  <w:tcW w:w="861" w:type="pct"/>
                  <w:tcBorders>
                    <w:tl2br w:val="nil"/>
                    <w:tr2bl w:val="nil"/>
                  </w:tcBorders>
                  <w:vAlign w:val="center"/>
                </w:tcPr>
                <w:p w14:paraId="7F317FD7">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治理设施</w:t>
                  </w:r>
                </w:p>
              </w:tc>
              <w:tc>
                <w:tcPr>
                  <w:tcW w:w="803" w:type="pct"/>
                  <w:tcBorders>
                    <w:tl2br w:val="nil"/>
                    <w:tr2bl w:val="nil"/>
                  </w:tcBorders>
                  <w:vAlign w:val="center"/>
                </w:tcPr>
                <w:p w14:paraId="7467DF93">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集气罩+布袋除尘器</w:t>
                  </w:r>
                </w:p>
              </w:tc>
              <w:tc>
                <w:tcPr>
                  <w:tcW w:w="832" w:type="pct"/>
                  <w:tcBorders>
                    <w:tl2br w:val="nil"/>
                    <w:tr2bl w:val="nil"/>
                  </w:tcBorders>
                  <w:shd w:val="clear" w:color="auto" w:fill="auto"/>
                  <w:vAlign w:val="center"/>
                </w:tcPr>
                <w:p w14:paraId="3559688C">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集气罩+布袋除尘器</w:t>
                  </w:r>
                </w:p>
              </w:tc>
              <w:tc>
                <w:tcPr>
                  <w:tcW w:w="1882" w:type="pct"/>
                  <w:gridSpan w:val="2"/>
                  <w:tcBorders>
                    <w:tl2br w:val="nil"/>
                    <w:tr2bl w:val="nil"/>
                  </w:tcBorders>
                  <w:shd w:val="clear" w:color="auto" w:fill="auto"/>
                  <w:vAlign w:val="center"/>
                </w:tcPr>
                <w:p w14:paraId="07636D39">
                  <w:pPr>
                    <w:pStyle w:val="155"/>
                    <w:spacing w:before="0" w:after="0" w:line="240" w:lineRule="exact"/>
                    <w:jc w:val="center"/>
                    <w:rPr>
                      <w:rFonts w:hint="eastAsia" w:eastAsia="宋体"/>
                      <w:b w:val="0"/>
                      <w:bCs/>
                      <w:color w:val="auto"/>
                      <w:sz w:val="18"/>
                      <w:szCs w:val="18"/>
                      <w:vertAlign w:val="baseline"/>
                      <w:lang w:val="en-US" w:eastAsia="zh-CN"/>
                    </w:rPr>
                  </w:pPr>
                  <w:r>
                    <w:rPr>
                      <w:rFonts w:hint="eastAsia" w:ascii="Times New Roman" w:hAnsi="Times New Roman" w:cs="Times New Roman"/>
                      <w:b w:val="0"/>
                      <w:bCs/>
                      <w:color w:val="auto"/>
                      <w:sz w:val="18"/>
                      <w:szCs w:val="18"/>
                      <w:vertAlign w:val="baseline"/>
                      <w:lang w:val="en-US" w:eastAsia="zh-CN"/>
                    </w:rPr>
                    <w:t>干式纸盒漆雾过滤器+活性炭吸附/脱附+CO催化燃烧</w:t>
                  </w:r>
                </w:p>
              </w:tc>
            </w:tr>
            <w:tr w14:paraId="79508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0CFF9AF8">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035EA3FD">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收集效率（%）</w:t>
                  </w:r>
                </w:p>
              </w:tc>
              <w:tc>
                <w:tcPr>
                  <w:tcW w:w="803" w:type="pct"/>
                  <w:tcBorders>
                    <w:tl2br w:val="nil"/>
                    <w:tr2bl w:val="nil"/>
                  </w:tcBorders>
                  <w:vAlign w:val="center"/>
                </w:tcPr>
                <w:p w14:paraId="72E91DA0">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95</w:t>
                  </w:r>
                </w:p>
              </w:tc>
              <w:tc>
                <w:tcPr>
                  <w:tcW w:w="832" w:type="pct"/>
                  <w:tcBorders>
                    <w:tl2br w:val="nil"/>
                    <w:tr2bl w:val="nil"/>
                  </w:tcBorders>
                  <w:shd w:val="clear" w:color="auto" w:fill="auto"/>
                  <w:vAlign w:val="center"/>
                </w:tcPr>
                <w:p w14:paraId="77205C06">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95</w:t>
                  </w:r>
                </w:p>
              </w:tc>
              <w:tc>
                <w:tcPr>
                  <w:tcW w:w="941" w:type="pct"/>
                  <w:tcBorders>
                    <w:tl2br w:val="nil"/>
                    <w:tr2bl w:val="nil"/>
                  </w:tcBorders>
                  <w:shd w:val="clear" w:color="auto" w:fill="auto"/>
                  <w:vAlign w:val="center"/>
                </w:tcPr>
                <w:p w14:paraId="7E0F417C">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90</w:t>
                  </w:r>
                </w:p>
              </w:tc>
              <w:tc>
                <w:tcPr>
                  <w:tcW w:w="941" w:type="pct"/>
                  <w:tcBorders>
                    <w:tl2br w:val="nil"/>
                    <w:tr2bl w:val="nil"/>
                  </w:tcBorders>
                  <w:vAlign w:val="center"/>
                </w:tcPr>
                <w:p w14:paraId="6EB1772D">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90</w:t>
                  </w:r>
                </w:p>
              </w:tc>
            </w:tr>
            <w:tr w14:paraId="0FFECD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775E72D8">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2B83A8B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处理效率（%）</w:t>
                  </w:r>
                </w:p>
              </w:tc>
              <w:tc>
                <w:tcPr>
                  <w:tcW w:w="803" w:type="pct"/>
                  <w:tcBorders>
                    <w:tl2br w:val="nil"/>
                    <w:tr2bl w:val="nil"/>
                  </w:tcBorders>
                  <w:vAlign w:val="center"/>
                </w:tcPr>
                <w:p w14:paraId="4B8F6C3C">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99</w:t>
                  </w:r>
                </w:p>
              </w:tc>
              <w:tc>
                <w:tcPr>
                  <w:tcW w:w="832" w:type="pct"/>
                  <w:tcBorders>
                    <w:tl2br w:val="nil"/>
                    <w:tr2bl w:val="nil"/>
                  </w:tcBorders>
                  <w:shd w:val="clear" w:color="auto" w:fill="auto"/>
                  <w:vAlign w:val="center"/>
                </w:tcPr>
                <w:p w14:paraId="27D34979">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99</w:t>
                  </w:r>
                </w:p>
              </w:tc>
              <w:tc>
                <w:tcPr>
                  <w:tcW w:w="941" w:type="pct"/>
                  <w:tcBorders>
                    <w:tl2br w:val="nil"/>
                    <w:tr2bl w:val="nil"/>
                  </w:tcBorders>
                  <w:shd w:val="clear" w:color="auto" w:fill="auto"/>
                  <w:vAlign w:val="center"/>
                </w:tcPr>
                <w:p w14:paraId="2B0EA45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90</w:t>
                  </w:r>
                </w:p>
              </w:tc>
              <w:tc>
                <w:tcPr>
                  <w:tcW w:w="941" w:type="pct"/>
                  <w:tcBorders>
                    <w:tl2br w:val="nil"/>
                    <w:tr2bl w:val="nil"/>
                  </w:tcBorders>
                  <w:vAlign w:val="center"/>
                </w:tcPr>
                <w:p w14:paraId="24CE48B4">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90</w:t>
                  </w:r>
                </w:p>
              </w:tc>
            </w:tr>
            <w:tr w14:paraId="4E8CC4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4FD829EA">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污染物排放情况</w:t>
                  </w:r>
                </w:p>
              </w:tc>
              <w:tc>
                <w:tcPr>
                  <w:tcW w:w="861" w:type="pct"/>
                  <w:tcBorders>
                    <w:tl2br w:val="nil"/>
                    <w:tr2bl w:val="nil"/>
                  </w:tcBorders>
                  <w:vAlign w:val="center"/>
                </w:tcPr>
                <w:p w14:paraId="1CC6CD8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803" w:type="pct"/>
                  <w:tcBorders>
                    <w:tl2br w:val="nil"/>
                    <w:tr2bl w:val="nil"/>
                  </w:tcBorders>
                  <w:vAlign w:val="center"/>
                </w:tcPr>
                <w:p w14:paraId="14A0F5DF">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8.29</w:t>
                  </w:r>
                </w:p>
              </w:tc>
              <w:tc>
                <w:tcPr>
                  <w:tcW w:w="832" w:type="pct"/>
                  <w:tcBorders>
                    <w:tl2br w:val="nil"/>
                    <w:tr2bl w:val="nil"/>
                  </w:tcBorders>
                  <w:shd w:val="clear" w:color="auto" w:fill="auto"/>
                  <w:vAlign w:val="center"/>
                </w:tcPr>
                <w:p w14:paraId="27569530">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21.62</w:t>
                  </w:r>
                </w:p>
              </w:tc>
              <w:tc>
                <w:tcPr>
                  <w:tcW w:w="941" w:type="pct"/>
                  <w:tcBorders>
                    <w:tl2br w:val="nil"/>
                    <w:tr2bl w:val="nil"/>
                  </w:tcBorders>
                  <w:shd w:val="clear" w:color="auto" w:fill="auto"/>
                  <w:vAlign w:val="center"/>
                </w:tcPr>
                <w:p w14:paraId="39565532">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12.05</w:t>
                  </w:r>
                </w:p>
              </w:tc>
              <w:tc>
                <w:tcPr>
                  <w:tcW w:w="941" w:type="pct"/>
                  <w:tcBorders>
                    <w:tl2br w:val="nil"/>
                    <w:tr2bl w:val="nil"/>
                  </w:tcBorders>
                  <w:vAlign w:val="center"/>
                </w:tcPr>
                <w:p w14:paraId="2AEB2627">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5.74</w:t>
                  </w:r>
                </w:p>
              </w:tc>
            </w:tr>
            <w:tr w14:paraId="0AB6F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450F5B50">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14AB66C8">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排放量（kg/h）</w:t>
                  </w:r>
                </w:p>
              </w:tc>
              <w:tc>
                <w:tcPr>
                  <w:tcW w:w="803" w:type="pct"/>
                  <w:tcBorders>
                    <w:tl2br w:val="nil"/>
                    <w:tr2bl w:val="nil"/>
                  </w:tcBorders>
                  <w:vAlign w:val="center"/>
                </w:tcPr>
                <w:p w14:paraId="25648D8D">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0.075</w:t>
                  </w:r>
                </w:p>
              </w:tc>
              <w:tc>
                <w:tcPr>
                  <w:tcW w:w="832" w:type="pct"/>
                  <w:tcBorders>
                    <w:tl2br w:val="nil"/>
                    <w:tr2bl w:val="nil"/>
                  </w:tcBorders>
                  <w:shd w:val="clear" w:color="auto" w:fill="auto"/>
                  <w:vAlign w:val="center"/>
                </w:tcPr>
                <w:p w14:paraId="73F90008">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0.432</w:t>
                  </w:r>
                </w:p>
              </w:tc>
              <w:tc>
                <w:tcPr>
                  <w:tcW w:w="941" w:type="pct"/>
                  <w:tcBorders>
                    <w:tl2br w:val="nil"/>
                    <w:tr2bl w:val="nil"/>
                  </w:tcBorders>
                  <w:shd w:val="clear" w:color="auto" w:fill="auto"/>
                  <w:vAlign w:val="center"/>
                </w:tcPr>
                <w:p w14:paraId="50089DE9">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0.181</w:t>
                  </w:r>
                </w:p>
              </w:tc>
              <w:tc>
                <w:tcPr>
                  <w:tcW w:w="941" w:type="pct"/>
                  <w:tcBorders>
                    <w:tl2br w:val="nil"/>
                    <w:tr2bl w:val="nil"/>
                  </w:tcBorders>
                  <w:vAlign w:val="center"/>
                </w:tcPr>
                <w:p w14:paraId="45A33310">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0.086</w:t>
                  </w:r>
                </w:p>
              </w:tc>
            </w:tr>
            <w:tr w14:paraId="7E329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7CDA0AD5">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年运行时间（h）</w:t>
                  </w:r>
                </w:p>
              </w:tc>
              <w:tc>
                <w:tcPr>
                  <w:tcW w:w="803" w:type="pct"/>
                  <w:tcBorders>
                    <w:tl2br w:val="nil"/>
                    <w:tr2bl w:val="nil"/>
                  </w:tcBorders>
                  <w:vAlign w:val="center"/>
                </w:tcPr>
                <w:p w14:paraId="6A87DBC0">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2400</w:t>
                  </w:r>
                </w:p>
              </w:tc>
              <w:tc>
                <w:tcPr>
                  <w:tcW w:w="832" w:type="pct"/>
                  <w:tcBorders>
                    <w:tl2br w:val="nil"/>
                    <w:tr2bl w:val="nil"/>
                  </w:tcBorders>
                  <w:shd w:val="clear" w:color="auto" w:fill="auto"/>
                  <w:vAlign w:val="center"/>
                </w:tcPr>
                <w:p w14:paraId="3B01752D">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2400</w:t>
                  </w:r>
                </w:p>
              </w:tc>
              <w:tc>
                <w:tcPr>
                  <w:tcW w:w="1882" w:type="pct"/>
                  <w:gridSpan w:val="2"/>
                  <w:tcBorders>
                    <w:tl2br w:val="nil"/>
                    <w:tr2bl w:val="nil"/>
                  </w:tcBorders>
                  <w:shd w:val="clear" w:color="auto" w:fill="auto"/>
                  <w:vAlign w:val="center"/>
                </w:tcPr>
                <w:p w14:paraId="7BC2C58B">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1500</w:t>
                  </w:r>
                </w:p>
              </w:tc>
            </w:tr>
            <w:tr w14:paraId="6B447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615EB759">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年排放量（t/a）</w:t>
                  </w:r>
                </w:p>
              </w:tc>
              <w:tc>
                <w:tcPr>
                  <w:tcW w:w="803" w:type="pct"/>
                  <w:tcBorders>
                    <w:tl2br w:val="nil"/>
                    <w:tr2bl w:val="nil"/>
                  </w:tcBorders>
                  <w:vAlign w:val="center"/>
                </w:tcPr>
                <w:p w14:paraId="6FD9B9DD">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0.1791</w:t>
                  </w:r>
                </w:p>
              </w:tc>
              <w:tc>
                <w:tcPr>
                  <w:tcW w:w="832" w:type="pct"/>
                  <w:tcBorders>
                    <w:tl2br w:val="nil"/>
                    <w:tr2bl w:val="nil"/>
                  </w:tcBorders>
                  <w:shd w:val="clear" w:color="auto" w:fill="auto"/>
                  <w:vAlign w:val="center"/>
                </w:tcPr>
                <w:p w14:paraId="77E554C6">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1.0379</w:t>
                  </w:r>
                </w:p>
              </w:tc>
              <w:tc>
                <w:tcPr>
                  <w:tcW w:w="941" w:type="pct"/>
                  <w:tcBorders>
                    <w:tl2br w:val="nil"/>
                    <w:tr2bl w:val="nil"/>
                  </w:tcBorders>
                  <w:shd w:val="clear" w:color="auto" w:fill="auto"/>
                  <w:vAlign w:val="center"/>
                </w:tcPr>
                <w:p w14:paraId="7E9C194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0.2711</w:t>
                  </w:r>
                </w:p>
              </w:tc>
              <w:tc>
                <w:tcPr>
                  <w:tcW w:w="941" w:type="pct"/>
                  <w:tcBorders>
                    <w:tl2br w:val="nil"/>
                    <w:tr2bl w:val="nil"/>
                  </w:tcBorders>
                  <w:vAlign w:val="center"/>
                </w:tcPr>
                <w:p w14:paraId="69EA285F">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0.1292</w:t>
                  </w:r>
                </w:p>
              </w:tc>
            </w:tr>
            <w:tr w14:paraId="4F80D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72390DA4">
                  <w:pPr>
                    <w:pStyle w:val="155"/>
                    <w:spacing w:before="0" w:after="0" w:line="240" w:lineRule="exact"/>
                    <w:jc w:val="center"/>
                    <w:rPr>
                      <w:rFonts w:hint="eastAsia"/>
                      <w:b/>
                      <w:bCs w:val="0"/>
                      <w:color w:val="auto"/>
                      <w:sz w:val="18"/>
                      <w:szCs w:val="18"/>
                      <w:vertAlign w:val="baseline"/>
                      <w:lang w:val="en-US" w:eastAsia="zh-CN"/>
                    </w:rPr>
                  </w:pPr>
                  <w:r>
                    <w:rPr>
                      <w:rFonts w:hint="eastAsia"/>
                      <w:b/>
                      <w:bCs w:val="0"/>
                      <w:color w:val="auto"/>
                      <w:sz w:val="18"/>
                      <w:szCs w:val="18"/>
                      <w:vertAlign w:val="baseline"/>
                      <w:lang w:val="en-US" w:eastAsia="zh-CN"/>
                    </w:rPr>
                    <w:t>排放参数</w:t>
                  </w:r>
                </w:p>
                <w:p w14:paraId="45150F70">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3A4F42D1">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排气筒高度（m）</w:t>
                  </w:r>
                </w:p>
              </w:tc>
              <w:tc>
                <w:tcPr>
                  <w:tcW w:w="803" w:type="pct"/>
                  <w:tcBorders>
                    <w:tl2br w:val="nil"/>
                    <w:tr2bl w:val="nil"/>
                  </w:tcBorders>
                  <w:vAlign w:val="center"/>
                </w:tcPr>
                <w:p w14:paraId="26CCDDBF">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15</w:t>
                  </w:r>
                </w:p>
              </w:tc>
              <w:tc>
                <w:tcPr>
                  <w:tcW w:w="832" w:type="pct"/>
                  <w:tcBorders>
                    <w:tl2br w:val="nil"/>
                    <w:tr2bl w:val="nil"/>
                  </w:tcBorders>
                  <w:shd w:val="clear" w:color="auto" w:fill="auto"/>
                  <w:vAlign w:val="center"/>
                </w:tcPr>
                <w:p w14:paraId="5F32FCFA">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15</w:t>
                  </w:r>
                </w:p>
              </w:tc>
              <w:tc>
                <w:tcPr>
                  <w:tcW w:w="941" w:type="pct"/>
                  <w:tcBorders>
                    <w:tl2br w:val="nil"/>
                    <w:tr2bl w:val="nil"/>
                  </w:tcBorders>
                  <w:shd w:val="clear" w:color="auto" w:fill="auto"/>
                  <w:vAlign w:val="center"/>
                </w:tcPr>
                <w:p w14:paraId="24D211AC">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w:t>
                  </w:r>
                </w:p>
              </w:tc>
              <w:tc>
                <w:tcPr>
                  <w:tcW w:w="941" w:type="pct"/>
                  <w:tcBorders>
                    <w:tl2br w:val="nil"/>
                    <w:tr2bl w:val="nil"/>
                  </w:tcBorders>
                  <w:vAlign w:val="center"/>
                </w:tcPr>
                <w:p w14:paraId="5B3A9514">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27E88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33992F1E">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27C76340">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出口内径（m）</w:t>
                  </w:r>
                </w:p>
              </w:tc>
              <w:tc>
                <w:tcPr>
                  <w:tcW w:w="803" w:type="pct"/>
                  <w:tcBorders>
                    <w:tl2br w:val="nil"/>
                    <w:tr2bl w:val="nil"/>
                  </w:tcBorders>
                  <w:vAlign w:val="center"/>
                </w:tcPr>
                <w:p w14:paraId="1C22494C">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0.5</w:t>
                  </w:r>
                </w:p>
              </w:tc>
              <w:tc>
                <w:tcPr>
                  <w:tcW w:w="832" w:type="pct"/>
                  <w:tcBorders>
                    <w:tl2br w:val="nil"/>
                    <w:tr2bl w:val="nil"/>
                  </w:tcBorders>
                  <w:shd w:val="clear" w:color="auto" w:fill="auto"/>
                  <w:vAlign w:val="center"/>
                </w:tcPr>
                <w:p w14:paraId="7184CA32">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0.8</w:t>
                  </w:r>
                </w:p>
              </w:tc>
              <w:tc>
                <w:tcPr>
                  <w:tcW w:w="1882" w:type="pct"/>
                  <w:gridSpan w:val="2"/>
                  <w:tcBorders>
                    <w:tl2br w:val="nil"/>
                    <w:tr2bl w:val="nil"/>
                  </w:tcBorders>
                  <w:shd w:val="clear" w:color="auto" w:fill="auto"/>
                  <w:vAlign w:val="center"/>
                </w:tcPr>
                <w:p w14:paraId="3DECD752">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0.6</w:t>
                  </w:r>
                </w:p>
              </w:tc>
            </w:tr>
            <w:tr w14:paraId="2FF42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2AA93792">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499D4F9D">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排放温度（℃）</w:t>
                  </w:r>
                </w:p>
              </w:tc>
              <w:tc>
                <w:tcPr>
                  <w:tcW w:w="803" w:type="pct"/>
                  <w:tcBorders>
                    <w:tl2br w:val="nil"/>
                    <w:tr2bl w:val="nil"/>
                  </w:tcBorders>
                  <w:vAlign w:val="center"/>
                </w:tcPr>
                <w:p w14:paraId="708479E0">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20</w:t>
                  </w:r>
                </w:p>
              </w:tc>
              <w:tc>
                <w:tcPr>
                  <w:tcW w:w="832" w:type="pct"/>
                  <w:tcBorders>
                    <w:tl2br w:val="nil"/>
                    <w:tr2bl w:val="nil"/>
                  </w:tcBorders>
                  <w:shd w:val="clear" w:color="auto" w:fill="auto"/>
                  <w:vAlign w:val="center"/>
                </w:tcPr>
                <w:p w14:paraId="16923DFC">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20</w:t>
                  </w:r>
                </w:p>
              </w:tc>
              <w:tc>
                <w:tcPr>
                  <w:tcW w:w="1882" w:type="pct"/>
                  <w:gridSpan w:val="2"/>
                  <w:tcBorders>
                    <w:tl2br w:val="nil"/>
                    <w:tr2bl w:val="nil"/>
                  </w:tcBorders>
                  <w:shd w:val="clear" w:color="auto" w:fill="auto"/>
                  <w:vAlign w:val="center"/>
                </w:tcPr>
                <w:p w14:paraId="08D4F422">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20</w:t>
                  </w:r>
                </w:p>
              </w:tc>
            </w:tr>
            <w:tr w14:paraId="5A382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72C4BC4E">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污染源名称</w:t>
                  </w:r>
                </w:p>
              </w:tc>
              <w:tc>
                <w:tcPr>
                  <w:tcW w:w="2576" w:type="pct"/>
                  <w:gridSpan w:val="3"/>
                  <w:tcBorders>
                    <w:tl2br w:val="nil"/>
                    <w:tr2bl w:val="nil"/>
                  </w:tcBorders>
                  <w:vAlign w:val="center"/>
                </w:tcPr>
                <w:p w14:paraId="267D36D3">
                  <w:pPr>
                    <w:pStyle w:val="155"/>
                    <w:spacing w:before="0" w:after="0" w:line="240" w:lineRule="exact"/>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锅炉</w:t>
                  </w:r>
                </w:p>
              </w:tc>
              <w:tc>
                <w:tcPr>
                  <w:tcW w:w="941" w:type="pct"/>
                  <w:tcBorders>
                    <w:tl2br w:val="nil"/>
                    <w:tr2bl w:val="nil"/>
                  </w:tcBorders>
                  <w:shd w:val="clear" w:color="auto" w:fill="auto"/>
                  <w:vAlign w:val="center"/>
                </w:tcPr>
                <w:p w14:paraId="7078A78D">
                  <w:pPr>
                    <w:pStyle w:val="155"/>
                    <w:spacing w:before="0" w:after="0" w:line="240" w:lineRule="exact"/>
                    <w:jc w:val="center"/>
                    <w:rPr>
                      <w:rFonts w:hint="eastAsia" w:cs="Times New Roman"/>
                      <w:b/>
                      <w:bCs w:val="0"/>
                      <w:color w:val="auto"/>
                      <w:kern w:val="32"/>
                      <w:sz w:val="18"/>
                      <w:szCs w:val="18"/>
                      <w:vertAlign w:val="baseline"/>
                      <w:lang w:val="en-US" w:eastAsia="zh-CN" w:bidi="ar-SA"/>
                    </w:rPr>
                  </w:pPr>
                  <w:r>
                    <w:rPr>
                      <w:rFonts w:hint="eastAsia"/>
                      <w:b w:val="0"/>
                      <w:bCs/>
                      <w:color w:val="auto"/>
                      <w:sz w:val="18"/>
                      <w:szCs w:val="18"/>
                      <w:vertAlign w:val="baseline"/>
                      <w:lang w:val="en-US" w:eastAsia="zh-CN"/>
                    </w:rPr>
                    <w:t>//</w:t>
                  </w:r>
                </w:p>
              </w:tc>
            </w:tr>
            <w:tr w14:paraId="1F7A4A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7E10EAD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污染物种类</w:t>
                  </w:r>
                </w:p>
              </w:tc>
              <w:tc>
                <w:tcPr>
                  <w:tcW w:w="803" w:type="pct"/>
                  <w:tcBorders>
                    <w:tl2br w:val="nil"/>
                    <w:tr2bl w:val="nil"/>
                  </w:tcBorders>
                  <w:vAlign w:val="center"/>
                </w:tcPr>
                <w:p w14:paraId="3542402D">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颗粒物</w:t>
                  </w:r>
                </w:p>
              </w:tc>
              <w:tc>
                <w:tcPr>
                  <w:tcW w:w="832" w:type="pct"/>
                  <w:tcBorders>
                    <w:tl2br w:val="nil"/>
                    <w:tr2bl w:val="nil"/>
                  </w:tcBorders>
                  <w:shd w:val="clear" w:color="auto" w:fill="auto"/>
                  <w:vAlign w:val="center"/>
                </w:tcPr>
                <w:p w14:paraId="13CE3198">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二氧化硫</w:t>
                  </w:r>
                </w:p>
              </w:tc>
              <w:tc>
                <w:tcPr>
                  <w:tcW w:w="941" w:type="pct"/>
                  <w:tcBorders>
                    <w:tl2br w:val="nil"/>
                    <w:tr2bl w:val="nil"/>
                  </w:tcBorders>
                  <w:shd w:val="clear" w:color="auto" w:fill="auto"/>
                  <w:vAlign w:val="center"/>
                </w:tcPr>
                <w:p w14:paraId="5FE9E076">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氮氧化物</w:t>
                  </w:r>
                </w:p>
              </w:tc>
              <w:tc>
                <w:tcPr>
                  <w:tcW w:w="941" w:type="pct"/>
                  <w:tcBorders>
                    <w:tl2br w:val="nil"/>
                    <w:tr2bl w:val="nil"/>
                  </w:tcBorders>
                  <w:vAlign w:val="center"/>
                </w:tcPr>
                <w:p w14:paraId="78610B54">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C0DF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0DAFA3E2">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排放方式</w:t>
                  </w:r>
                </w:p>
              </w:tc>
              <w:tc>
                <w:tcPr>
                  <w:tcW w:w="2576" w:type="pct"/>
                  <w:gridSpan w:val="3"/>
                  <w:tcBorders>
                    <w:tl2br w:val="nil"/>
                    <w:tr2bl w:val="nil"/>
                  </w:tcBorders>
                  <w:vAlign w:val="center"/>
                </w:tcPr>
                <w:p w14:paraId="4824849B">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有组织</w:t>
                  </w:r>
                </w:p>
              </w:tc>
              <w:tc>
                <w:tcPr>
                  <w:tcW w:w="941" w:type="pct"/>
                  <w:tcBorders>
                    <w:tl2br w:val="nil"/>
                    <w:tr2bl w:val="nil"/>
                  </w:tcBorders>
                  <w:shd w:val="clear" w:color="auto" w:fill="auto"/>
                  <w:vAlign w:val="center"/>
                </w:tcPr>
                <w:p w14:paraId="4CC19DD4">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BAEF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0B9031DB">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废气量（Nm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/h）</w:t>
                  </w:r>
                </w:p>
              </w:tc>
              <w:tc>
                <w:tcPr>
                  <w:tcW w:w="2576" w:type="pct"/>
                  <w:gridSpan w:val="3"/>
                  <w:tcBorders>
                    <w:tl2br w:val="nil"/>
                    <w:tr2bl w:val="nil"/>
                  </w:tcBorders>
                  <w:vAlign w:val="center"/>
                </w:tcPr>
                <w:p w14:paraId="7E1E50B4">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1750</w:t>
                  </w:r>
                </w:p>
              </w:tc>
              <w:tc>
                <w:tcPr>
                  <w:tcW w:w="941" w:type="pct"/>
                  <w:tcBorders>
                    <w:tl2br w:val="nil"/>
                    <w:tr2bl w:val="nil"/>
                  </w:tcBorders>
                  <w:shd w:val="clear" w:color="auto" w:fill="auto"/>
                  <w:vAlign w:val="center"/>
                </w:tcPr>
                <w:p w14:paraId="6BB68DBB">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A7EBA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05DEECE2">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污染物产生情况</w:t>
                  </w:r>
                </w:p>
              </w:tc>
              <w:tc>
                <w:tcPr>
                  <w:tcW w:w="861" w:type="pct"/>
                  <w:tcBorders>
                    <w:tl2br w:val="nil"/>
                    <w:tr2bl w:val="nil"/>
                  </w:tcBorders>
                  <w:vAlign w:val="center"/>
                </w:tcPr>
                <w:p w14:paraId="2FAC67DA">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803" w:type="pct"/>
                  <w:tcBorders>
                    <w:tl2br w:val="nil"/>
                    <w:tr2bl w:val="nil"/>
                  </w:tcBorders>
                  <w:vAlign w:val="center"/>
                </w:tcPr>
                <w:p w14:paraId="38D2394A">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2.85</w:t>
                  </w:r>
                </w:p>
              </w:tc>
              <w:tc>
                <w:tcPr>
                  <w:tcW w:w="832" w:type="pct"/>
                  <w:tcBorders>
                    <w:tl2br w:val="nil"/>
                    <w:tr2bl w:val="nil"/>
                  </w:tcBorders>
                  <w:shd w:val="clear" w:color="auto" w:fill="auto"/>
                  <w:vAlign w:val="center"/>
                </w:tcPr>
                <w:p w14:paraId="208FA566">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3.99</w:t>
                  </w:r>
                </w:p>
              </w:tc>
              <w:tc>
                <w:tcPr>
                  <w:tcW w:w="941" w:type="pct"/>
                  <w:tcBorders>
                    <w:tl2br w:val="nil"/>
                    <w:tr2bl w:val="nil"/>
                  </w:tcBorders>
                  <w:shd w:val="clear" w:color="auto" w:fill="auto"/>
                  <w:vAlign w:val="center"/>
                </w:tcPr>
                <w:p w14:paraId="5D20DF43">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75</w:t>
                  </w:r>
                </w:p>
              </w:tc>
              <w:tc>
                <w:tcPr>
                  <w:tcW w:w="941" w:type="pct"/>
                  <w:tcBorders>
                    <w:tl2br w:val="nil"/>
                    <w:tr2bl w:val="nil"/>
                  </w:tcBorders>
                  <w:vAlign w:val="center"/>
                </w:tcPr>
                <w:p w14:paraId="02A9C738">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0472E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620" w:type="pct"/>
                  <w:vMerge w:val="continue"/>
                  <w:tcBorders>
                    <w:tl2br w:val="nil"/>
                    <w:tr2bl w:val="nil"/>
                  </w:tcBorders>
                  <w:vAlign w:val="center"/>
                </w:tcPr>
                <w:p w14:paraId="2D38590F">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D3EECB1">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产生量（kg/h）</w:t>
                  </w:r>
                </w:p>
              </w:tc>
              <w:tc>
                <w:tcPr>
                  <w:tcW w:w="803" w:type="pct"/>
                  <w:tcBorders>
                    <w:tl2br w:val="nil"/>
                    <w:tr2bl w:val="nil"/>
                  </w:tcBorders>
                  <w:vAlign w:val="center"/>
                </w:tcPr>
                <w:p w14:paraId="494EC8D3">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0.050</w:t>
                  </w:r>
                </w:p>
              </w:tc>
              <w:tc>
                <w:tcPr>
                  <w:tcW w:w="832" w:type="pct"/>
                  <w:tcBorders>
                    <w:tl2br w:val="nil"/>
                    <w:tr2bl w:val="nil"/>
                  </w:tcBorders>
                  <w:shd w:val="clear" w:color="auto" w:fill="auto"/>
                  <w:vAlign w:val="center"/>
                </w:tcPr>
                <w:p w14:paraId="51AF5683">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0.007</w:t>
                  </w:r>
                </w:p>
              </w:tc>
              <w:tc>
                <w:tcPr>
                  <w:tcW w:w="941" w:type="pct"/>
                  <w:tcBorders>
                    <w:tl2br w:val="nil"/>
                    <w:tr2bl w:val="nil"/>
                  </w:tcBorders>
                  <w:shd w:val="clear" w:color="auto" w:fill="auto"/>
                  <w:vAlign w:val="center"/>
                </w:tcPr>
                <w:p w14:paraId="7DE6F8E1">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0.131</w:t>
                  </w:r>
                </w:p>
              </w:tc>
              <w:tc>
                <w:tcPr>
                  <w:tcW w:w="941" w:type="pct"/>
                  <w:tcBorders>
                    <w:tl2br w:val="nil"/>
                    <w:tr2bl w:val="nil"/>
                  </w:tcBorders>
                  <w:vAlign w:val="center"/>
                </w:tcPr>
                <w:p w14:paraId="03D475A5">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491F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1D0D9395">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08AC9647">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核算方法</w:t>
                  </w:r>
                </w:p>
              </w:tc>
              <w:tc>
                <w:tcPr>
                  <w:tcW w:w="2576" w:type="pct"/>
                  <w:gridSpan w:val="3"/>
                  <w:tcBorders>
                    <w:tl2br w:val="nil"/>
                    <w:tr2bl w:val="nil"/>
                  </w:tcBorders>
                  <w:vAlign w:val="center"/>
                </w:tcPr>
                <w:p w14:paraId="171EC02E">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产污系数法</w:t>
                  </w:r>
                </w:p>
              </w:tc>
              <w:tc>
                <w:tcPr>
                  <w:tcW w:w="941" w:type="pct"/>
                  <w:tcBorders>
                    <w:tl2br w:val="nil"/>
                    <w:tr2bl w:val="nil"/>
                  </w:tcBorders>
                  <w:vAlign w:val="center"/>
                </w:tcPr>
                <w:p w14:paraId="0C503E04">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CF47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7D5FD77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污染防治措施</w:t>
                  </w:r>
                </w:p>
              </w:tc>
              <w:tc>
                <w:tcPr>
                  <w:tcW w:w="861" w:type="pct"/>
                  <w:tcBorders>
                    <w:tl2br w:val="nil"/>
                    <w:tr2bl w:val="nil"/>
                  </w:tcBorders>
                  <w:vAlign w:val="center"/>
                </w:tcPr>
                <w:p w14:paraId="42E8CB4D">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治理设施</w:t>
                  </w:r>
                </w:p>
              </w:tc>
              <w:tc>
                <w:tcPr>
                  <w:tcW w:w="2576" w:type="pct"/>
                  <w:gridSpan w:val="3"/>
                  <w:tcBorders>
                    <w:tl2br w:val="nil"/>
                    <w:tr2bl w:val="nil"/>
                  </w:tcBorders>
                  <w:vAlign w:val="center"/>
                </w:tcPr>
                <w:p w14:paraId="4B816B23">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低氮燃烧器+烟气循环技术</w:t>
                  </w:r>
                </w:p>
              </w:tc>
              <w:tc>
                <w:tcPr>
                  <w:tcW w:w="941" w:type="pct"/>
                  <w:tcBorders>
                    <w:tl2br w:val="nil"/>
                    <w:tr2bl w:val="nil"/>
                  </w:tcBorders>
                  <w:shd w:val="clear" w:color="auto" w:fill="auto"/>
                  <w:vAlign w:val="center"/>
                </w:tcPr>
                <w:p w14:paraId="2E41F47F">
                  <w:pPr>
                    <w:pStyle w:val="155"/>
                    <w:spacing w:before="0" w:after="0" w:line="240" w:lineRule="exact"/>
                    <w:jc w:val="center"/>
                    <w:rPr>
                      <w:rFonts w:hint="eastAsia" w:ascii="Times New Roman" w:hAnsi="Times New Roman" w:cs="Times New Roman"/>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2430E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63D0145B">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23D25F8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收集效率（%）</w:t>
                  </w:r>
                </w:p>
              </w:tc>
              <w:tc>
                <w:tcPr>
                  <w:tcW w:w="2576" w:type="pct"/>
                  <w:gridSpan w:val="3"/>
                  <w:tcBorders>
                    <w:tl2br w:val="nil"/>
                    <w:tr2bl w:val="nil"/>
                  </w:tcBorders>
                  <w:vAlign w:val="center"/>
                </w:tcPr>
                <w:p w14:paraId="09177DC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w:t>
                  </w:r>
                </w:p>
              </w:tc>
              <w:tc>
                <w:tcPr>
                  <w:tcW w:w="941" w:type="pct"/>
                  <w:tcBorders>
                    <w:tl2br w:val="nil"/>
                    <w:tr2bl w:val="nil"/>
                  </w:tcBorders>
                  <w:vAlign w:val="center"/>
                </w:tcPr>
                <w:p w14:paraId="37118378">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4F042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694E0245">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2AC17B6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处理效率（%）</w:t>
                  </w:r>
                </w:p>
              </w:tc>
              <w:tc>
                <w:tcPr>
                  <w:tcW w:w="803" w:type="pct"/>
                  <w:tcBorders>
                    <w:tl2br w:val="nil"/>
                    <w:tr2bl w:val="nil"/>
                  </w:tcBorders>
                  <w:vAlign w:val="center"/>
                </w:tcPr>
                <w:p w14:paraId="47E203EC">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0</w:t>
                  </w:r>
                </w:p>
              </w:tc>
              <w:tc>
                <w:tcPr>
                  <w:tcW w:w="832" w:type="pct"/>
                  <w:tcBorders>
                    <w:tl2br w:val="nil"/>
                    <w:tr2bl w:val="nil"/>
                  </w:tcBorders>
                  <w:shd w:val="clear" w:color="auto" w:fill="auto"/>
                  <w:vAlign w:val="center"/>
                </w:tcPr>
                <w:p w14:paraId="7A9DDC94">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w:t>
                  </w:r>
                </w:p>
              </w:tc>
              <w:tc>
                <w:tcPr>
                  <w:tcW w:w="941" w:type="pct"/>
                  <w:tcBorders>
                    <w:tl2br w:val="nil"/>
                    <w:tr2bl w:val="nil"/>
                  </w:tcBorders>
                  <w:shd w:val="clear" w:color="auto" w:fill="auto"/>
                  <w:vAlign w:val="center"/>
                </w:tcPr>
                <w:p w14:paraId="76EB5670">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50</w:t>
                  </w:r>
                </w:p>
              </w:tc>
              <w:tc>
                <w:tcPr>
                  <w:tcW w:w="941" w:type="pct"/>
                  <w:tcBorders>
                    <w:tl2br w:val="nil"/>
                    <w:tr2bl w:val="nil"/>
                  </w:tcBorders>
                  <w:vAlign w:val="center"/>
                </w:tcPr>
                <w:p w14:paraId="3419C9FA">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02656D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5D7078B0">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污染物排放情况</w:t>
                  </w:r>
                </w:p>
              </w:tc>
              <w:tc>
                <w:tcPr>
                  <w:tcW w:w="861" w:type="pct"/>
                  <w:tcBorders>
                    <w:tl2br w:val="nil"/>
                    <w:tr2bl w:val="nil"/>
                  </w:tcBorders>
                  <w:vAlign w:val="center"/>
                </w:tcPr>
                <w:p w14:paraId="5439E6CB">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803" w:type="pct"/>
                  <w:tcBorders>
                    <w:tl2br w:val="nil"/>
                    <w:tr2bl w:val="nil"/>
                  </w:tcBorders>
                  <w:vAlign w:val="center"/>
                </w:tcPr>
                <w:p w14:paraId="02FA02BA">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2.85</w:t>
                  </w:r>
                </w:p>
              </w:tc>
              <w:tc>
                <w:tcPr>
                  <w:tcW w:w="832" w:type="pct"/>
                  <w:tcBorders>
                    <w:tl2br w:val="nil"/>
                    <w:tr2bl w:val="nil"/>
                  </w:tcBorders>
                  <w:shd w:val="clear" w:color="auto" w:fill="auto"/>
                  <w:vAlign w:val="center"/>
                </w:tcPr>
                <w:p w14:paraId="1ED0ABB1">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3.99</w:t>
                  </w:r>
                </w:p>
              </w:tc>
              <w:tc>
                <w:tcPr>
                  <w:tcW w:w="941" w:type="pct"/>
                  <w:tcBorders>
                    <w:tl2br w:val="nil"/>
                    <w:tr2bl w:val="nil"/>
                  </w:tcBorders>
                  <w:shd w:val="clear" w:color="auto" w:fill="auto"/>
                  <w:vAlign w:val="center"/>
                </w:tcPr>
                <w:p w14:paraId="45D233E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50</w:t>
                  </w:r>
                </w:p>
              </w:tc>
              <w:tc>
                <w:tcPr>
                  <w:tcW w:w="941" w:type="pct"/>
                  <w:tcBorders>
                    <w:tl2br w:val="nil"/>
                    <w:tr2bl w:val="nil"/>
                  </w:tcBorders>
                  <w:vAlign w:val="center"/>
                </w:tcPr>
                <w:p w14:paraId="7428F13E">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6A9228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197CA16E">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4C15A7E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排放量（kg/h）</w:t>
                  </w:r>
                </w:p>
              </w:tc>
              <w:tc>
                <w:tcPr>
                  <w:tcW w:w="803" w:type="pct"/>
                  <w:tcBorders>
                    <w:tl2br w:val="nil"/>
                    <w:tr2bl w:val="nil"/>
                  </w:tcBorders>
                  <w:vAlign w:val="center"/>
                </w:tcPr>
                <w:p w14:paraId="5D946C2A">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0.050</w:t>
                  </w:r>
                </w:p>
              </w:tc>
              <w:tc>
                <w:tcPr>
                  <w:tcW w:w="832" w:type="pct"/>
                  <w:tcBorders>
                    <w:tl2br w:val="nil"/>
                    <w:tr2bl w:val="nil"/>
                  </w:tcBorders>
                  <w:shd w:val="clear" w:color="auto" w:fill="auto"/>
                  <w:vAlign w:val="center"/>
                </w:tcPr>
                <w:p w14:paraId="2DB6488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0.007</w:t>
                  </w:r>
                </w:p>
              </w:tc>
              <w:tc>
                <w:tcPr>
                  <w:tcW w:w="941" w:type="pct"/>
                  <w:tcBorders>
                    <w:tl2br w:val="nil"/>
                    <w:tr2bl w:val="nil"/>
                  </w:tcBorders>
                  <w:shd w:val="clear" w:color="auto" w:fill="auto"/>
                  <w:vAlign w:val="center"/>
                </w:tcPr>
                <w:p w14:paraId="44BDD41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0.087</w:t>
                  </w:r>
                </w:p>
              </w:tc>
              <w:tc>
                <w:tcPr>
                  <w:tcW w:w="941" w:type="pct"/>
                  <w:tcBorders>
                    <w:tl2br w:val="nil"/>
                    <w:tr2bl w:val="nil"/>
                  </w:tcBorders>
                  <w:vAlign w:val="center"/>
                </w:tcPr>
                <w:p w14:paraId="15ECC413">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B47B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33E663F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年运行时间（h）</w:t>
                  </w:r>
                </w:p>
              </w:tc>
              <w:tc>
                <w:tcPr>
                  <w:tcW w:w="2576" w:type="pct"/>
                  <w:gridSpan w:val="3"/>
                  <w:tcBorders>
                    <w:tl2br w:val="nil"/>
                    <w:tr2bl w:val="nil"/>
                  </w:tcBorders>
                  <w:vAlign w:val="center"/>
                </w:tcPr>
                <w:p w14:paraId="6EC3A547">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6881</w:t>
                  </w:r>
                </w:p>
              </w:tc>
              <w:tc>
                <w:tcPr>
                  <w:tcW w:w="941" w:type="pct"/>
                  <w:tcBorders>
                    <w:tl2br w:val="nil"/>
                    <w:tr2bl w:val="nil"/>
                  </w:tcBorders>
                  <w:shd w:val="clear" w:color="auto" w:fill="auto"/>
                  <w:vAlign w:val="center"/>
                </w:tcPr>
                <w:p w14:paraId="68989575">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31AE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5D79168E">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年排放量（t/a）</w:t>
                  </w:r>
                </w:p>
              </w:tc>
              <w:tc>
                <w:tcPr>
                  <w:tcW w:w="803" w:type="pct"/>
                  <w:tcBorders>
                    <w:tl2br w:val="nil"/>
                    <w:tr2bl w:val="nil"/>
                  </w:tcBorders>
                  <w:vAlign w:val="center"/>
                </w:tcPr>
                <w:p w14:paraId="6580849C">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0.3432</w:t>
                  </w:r>
                </w:p>
              </w:tc>
              <w:tc>
                <w:tcPr>
                  <w:tcW w:w="832" w:type="pct"/>
                  <w:tcBorders>
                    <w:tl2br w:val="nil"/>
                    <w:tr2bl w:val="nil"/>
                  </w:tcBorders>
                  <w:shd w:val="clear" w:color="auto" w:fill="auto"/>
                  <w:vAlign w:val="center"/>
                </w:tcPr>
                <w:p w14:paraId="23EB563D">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0.048</w:t>
                  </w:r>
                </w:p>
              </w:tc>
              <w:tc>
                <w:tcPr>
                  <w:tcW w:w="941" w:type="pct"/>
                  <w:tcBorders>
                    <w:tl2br w:val="nil"/>
                    <w:tr2bl w:val="nil"/>
                  </w:tcBorders>
                  <w:shd w:val="clear" w:color="auto" w:fill="auto"/>
                  <w:vAlign w:val="center"/>
                </w:tcPr>
                <w:p w14:paraId="12710D16">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0.602</w:t>
                  </w:r>
                </w:p>
              </w:tc>
              <w:tc>
                <w:tcPr>
                  <w:tcW w:w="941" w:type="pct"/>
                  <w:tcBorders>
                    <w:tl2br w:val="nil"/>
                    <w:tr2bl w:val="nil"/>
                  </w:tcBorders>
                  <w:vAlign w:val="center"/>
                </w:tcPr>
                <w:p w14:paraId="4EE25A20">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5600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62FF221B">
                  <w:pPr>
                    <w:pStyle w:val="155"/>
                    <w:spacing w:before="0" w:after="0" w:line="240" w:lineRule="exact"/>
                    <w:jc w:val="center"/>
                    <w:rPr>
                      <w:rFonts w:hint="eastAsia"/>
                      <w:b/>
                      <w:bCs w:val="0"/>
                      <w:color w:val="auto"/>
                      <w:sz w:val="18"/>
                      <w:szCs w:val="18"/>
                      <w:vertAlign w:val="baseline"/>
                      <w:lang w:val="en-US" w:eastAsia="zh-CN"/>
                    </w:rPr>
                  </w:pPr>
                  <w:r>
                    <w:rPr>
                      <w:rFonts w:hint="eastAsia"/>
                      <w:b/>
                      <w:bCs w:val="0"/>
                      <w:color w:val="auto"/>
                      <w:sz w:val="18"/>
                      <w:szCs w:val="18"/>
                      <w:vertAlign w:val="baseline"/>
                      <w:lang w:val="en-US" w:eastAsia="zh-CN"/>
                    </w:rPr>
                    <w:t>排放参数</w:t>
                  </w:r>
                </w:p>
                <w:p w14:paraId="57130A71">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0EE560CF">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排气筒高度（m）</w:t>
                  </w:r>
                </w:p>
              </w:tc>
              <w:tc>
                <w:tcPr>
                  <w:tcW w:w="2576" w:type="pct"/>
                  <w:gridSpan w:val="3"/>
                  <w:tcBorders>
                    <w:tl2br w:val="nil"/>
                    <w:tr2bl w:val="nil"/>
                  </w:tcBorders>
                  <w:vAlign w:val="center"/>
                </w:tcPr>
                <w:p w14:paraId="4B3481C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8</w:t>
                  </w:r>
                </w:p>
              </w:tc>
              <w:tc>
                <w:tcPr>
                  <w:tcW w:w="941" w:type="pct"/>
                  <w:tcBorders>
                    <w:tl2br w:val="nil"/>
                    <w:tr2bl w:val="nil"/>
                  </w:tcBorders>
                  <w:vAlign w:val="center"/>
                </w:tcPr>
                <w:p w14:paraId="22220767">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4A0111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3FB17B59">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FC783D3">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出口内径（m）</w:t>
                  </w:r>
                </w:p>
              </w:tc>
              <w:tc>
                <w:tcPr>
                  <w:tcW w:w="2576" w:type="pct"/>
                  <w:gridSpan w:val="3"/>
                  <w:tcBorders>
                    <w:tl2br w:val="nil"/>
                    <w:tr2bl w:val="nil"/>
                  </w:tcBorders>
                  <w:vAlign w:val="center"/>
                </w:tcPr>
                <w:p w14:paraId="33974FAA">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0.3</w:t>
                  </w:r>
                </w:p>
              </w:tc>
              <w:tc>
                <w:tcPr>
                  <w:tcW w:w="941" w:type="pct"/>
                  <w:tcBorders>
                    <w:tl2br w:val="nil"/>
                    <w:tr2bl w:val="nil"/>
                  </w:tcBorders>
                  <w:vAlign w:val="center"/>
                </w:tcPr>
                <w:p w14:paraId="102A6889">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45F8C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6577EC42">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5E48BD09">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排放温度（℃）</w:t>
                  </w:r>
                </w:p>
              </w:tc>
              <w:tc>
                <w:tcPr>
                  <w:tcW w:w="2576" w:type="pct"/>
                  <w:gridSpan w:val="3"/>
                  <w:tcBorders>
                    <w:tl2br w:val="nil"/>
                    <w:tr2bl w:val="nil"/>
                  </w:tcBorders>
                  <w:vAlign w:val="center"/>
                </w:tcPr>
                <w:p w14:paraId="5F5DF21F">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ascii="Times New Roman" w:hAnsi="Times New Roman" w:cs="Times New Roman"/>
                      <w:b w:val="0"/>
                      <w:bCs/>
                      <w:color w:val="auto"/>
                      <w:kern w:val="32"/>
                      <w:sz w:val="18"/>
                      <w:szCs w:val="18"/>
                      <w:vertAlign w:val="baseline"/>
                      <w:lang w:val="en-US" w:eastAsia="zh-CN" w:bidi="ar-SA"/>
                    </w:rPr>
                    <w:t>120</w:t>
                  </w:r>
                </w:p>
              </w:tc>
              <w:tc>
                <w:tcPr>
                  <w:tcW w:w="941" w:type="pct"/>
                  <w:tcBorders>
                    <w:tl2br w:val="nil"/>
                    <w:tr2bl w:val="nil"/>
                  </w:tcBorders>
                  <w:vAlign w:val="center"/>
                </w:tcPr>
                <w:p w14:paraId="19A5EAF1">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22737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00FFBD95">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污染源名称</w:t>
                  </w:r>
                </w:p>
              </w:tc>
              <w:tc>
                <w:tcPr>
                  <w:tcW w:w="2576" w:type="pct"/>
                  <w:gridSpan w:val="3"/>
                  <w:tcBorders>
                    <w:tl2br w:val="nil"/>
                    <w:tr2bl w:val="nil"/>
                  </w:tcBorders>
                  <w:vAlign w:val="center"/>
                </w:tcPr>
                <w:p w14:paraId="707FD25A">
                  <w:pPr>
                    <w:pStyle w:val="155"/>
                    <w:spacing w:before="0" w:after="0" w:line="240" w:lineRule="exact"/>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隧道窑</w:t>
                  </w:r>
                </w:p>
              </w:tc>
              <w:tc>
                <w:tcPr>
                  <w:tcW w:w="941" w:type="pct"/>
                  <w:tcBorders>
                    <w:tl2br w:val="nil"/>
                    <w:tr2bl w:val="nil"/>
                  </w:tcBorders>
                  <w:shd w:val="clear" w:color="auto" w:fill="auto"/>
                  <w:vAlign w:val="center"/>
                </w:tcPr>
                <w:p w14:paraId="49E75E4B">
                  <w:pPr>
                    <w:pStyle w:val="155"/>
                    <w:spacing w:before="0" w:after="0" w:line="240" w:lineRule="exact"/>
                    <w:jc w:val="center"/>
                    <w:rPr>
                      <w:rFonts w:hint="eastAsia" w:cs="Times New Roman"/>
                      <w:b/>
                      <w:bCs w:val="0"/>
                      <w:color w:val="auto"/>
                      <w:kern w:val="32"/>
                      <w:sz w:val="18"/>
                      <w:szCs w:val="18"/>
                      <w:vertAlign w:val="baseline"/>
                      <w:lang w:val="en-US" w:eastAsia="zh-CN" w:bidi="ar-SA"/>
                    </w:rPr>
                  </w:pPr>
                  <w:r>
                    <w:rPr>
                      <w:rFonts w:hint="eastAsia"/>
                      <w:b w:val="0"/>
                      <w:bCs/>
                      <w:color w:val="auto"/>
                      <w:sz w:val="18"/>
                      <w:szCs w:val="18"/>
                      <w:vertAlign w:val="baseline"/>
                      <w:lang w:val="en-US" w:eastAsia="zh-CN"/>
                    </w:rPr>
                    <w:t>//</w:t>
                  </w:r>
                </w:p>
              </w:tc>
            </w:tr>
            <w:tr w14:paraId="610C2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5C69CEE6">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污染物种类</w:t>
                  </w:r>
                </w:p>
              </w:tc>
              <w:tc>
                <w:tcPr>
                  <w:tcW w:w="803" w:type="pct"/>
                  <w:tcBorders>
                    <w:tl2br w:val="nil"/>
                    <w:tr2bl w:val="nil"/>
                  </w:tcBorders>
                  <w:vAlign w:val="center"/>
                </w:tcPr>
                <w:p w14:paraId="7C36351D">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颗粒物</w:t>
                  </w:r>
                </w:p>
              </w:tc>
              <w:tc>
                <w:tcPr>
                  <w:tcW w:w="832" w:type="pct"/>
                  <w:tcBorders>
                    <w:tl2br w:val="nil"/>
                    <w:tr2bl w:val="nil"/>
                  </w:tcBorders>
                  <w:shd w:val="clear" w:color="auto" w:fill="auto"/>
                  <w:vAlign w:val="center"/>
                </w:tcPr>
                <w:p w14:paraId="7B0F3A94">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二氧化硫</w:t>
                  </w:r>
                </w:p>
              </w:tc>
              <w:tc>
                <w:tcPr>
                  <w:tcW w:w="941" w:type="pct"/>
                  <w:tcBorders>
                    <w:tl2br w:val="nil"/>
                    <w:tr2bl w:val="nil"/>
                  </w:tcBorders>
                  <w:shd w:val="clear" w:color="auto" w:fill="auto"/>
                  <w:vAlign w:val="center"/>
                </w:tcPr>
                <w:p w14:paraId="59BE4AC8">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氮氧化物</w:t>
                  </w:r>
                </w:p>
              </w:tc>
              <w:tc>
                <w:tcPr>
                  <w:tcW w:w="941" w:type="pct"/>
                  <w:tcBorders>
                    <w:tl2br w:val="nil"/>
                    <w:tr2bl w:val="nil"/>
                  </w:tcBorders>
                  <w:vAlign w:val="center"/>
                </w:tcPr>
                <w:p w14:paraId="179CD09C">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33CBE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2639A902">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排放方式</w:t>
                  </w:r>
                </w:p>
              </w:tc>
              <w:tc>
                <w:tcPr>
                  <w:tcW w:w="2576" w:type="pct"/>
                  <w:gridSpan w:val="3"/>
                  <w:tcBorders>
                    <w:tl2br w:val="nil"/>
                    <w:tr2bl w:val="nil"/>
                  </w:tcBorders>
                  <w:vAlign w:val="center"/>
                </w:tcPr>
                <w:p w14:paraId="5CD5D7C3">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有组织</w:t>
                  </w:r>
                </w:p>
              </w:tc>
              <w:tc>
                <w:tcPr>
                  <w:tcW w:w="941" w:type="pct"/>
                  <w:tcBorders>
                    <w:tl2br w:val="nil"/>
                    <w:tr2bl w:val="nil"/>
                  </w:tcBorders>
                  <w:shd w:val="clear" w:color="auto" w:fill="auto"/>
                  <w:vAlign w:val="center"/>
                </w:tcPr>
                <w:p w14:paraId="60C759A0">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C68F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586F80F9">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废气量（Nm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/h）</w:t>
                  </w:r>
                </w:p>
              </w:tc>
              <w:tc>
                <w:tcPr>
                  <w:tcW w:w="2576" w:type="pct"/>
                  <w:gridSpan w:val="3"/>
                  <w:tcBorders>
                    <w:tl2br w:val="nil"/>
                    <w:tr2bl w:val="nil"/>
                  </w:tcBorders>
                  <w:vAlign w:val="center"/>
                </w:tcPr>
                <w:p w14:paraId="26416D5F">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8000</w:t>
                  </w:r>
                </w:p>
              </w:tc>
              <w:tc>
                <w:tcPr>
                  <w:tcW w:w="941" w:type="pct"/>
                  <w:tcBorders>
                    <w:tl2br w:val="nil"/>
                    <w:tr2bl w:val="nil"/>
                  </w:tcBorders>
                  <w:shd w:val="clear" w:color="auto" w:fill="auto"/>
                  <w:vAlign w:val="center"/>
                </w:tcPr>
                <w:p w14:paraId="239D27FA">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21EED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71B29389">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污染物产生情况</w:t>
                  </w:r>
                </w:p>
              </w:tc>
              <w:tc>
                <w:tcPr>
                  <w:tcW w:w="861" w:type="pct"/>
                  <w:tcBorders>
                    <w:tl2br w:val="nil"/>
                    <w:tr2bl w:val="nil"/>
                  </w:tcBorders>
                  <w:vAlign w:val="center"/>
                </w:tcPr>
                <w:p w14:paraId="78347B75">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803" w:type="pct"/>
                  <w:tcBorders>
                    <w:tl2br w:val="nil"/>
                    <w:tr2bl w:val="nil"/>
                  </w:tcBorders>
                  <w:vAlign w:val="center"/>
                </w:tcPr>
                <w:p w14:paraId="1039DD4C">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2.36</w:t>
                  </w:r>
                </w:p>
              </w:tc>
              <w:tc>
                <w:tcPr>
                  <w:tcW w:w="832" w:type="pct"/>
                  <w:tcBorders>
                    <w:tl2br w:val="nil"/>
                    <w:tr2bl w:val="nil"/>
                  </w:tcBorders>
                  <w:shd w:val="clear" w:color="auto" w:fill="auto"/>
                  <w:vAlign w:val="center"/>
                </w:tcPr>
                <w:p w14:paraId="5C875297">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2.36</w:t>
                  </w:r>
                </w:p>
              </w:tc>
              <w:tc>
                <w:tcPr>
                  <w:tcW w:w="941" w:type="pct"/>
                  <w:tcBorders>
                    <w:tl2br w:val="nil"/>
                    <w:tr2bl w:val="nil"/>
                  </w:tcBorders>
                  <w:shd w:val="clear" w:color="auto" w:fill="auto"/>
                  <w:vAlign w:val="center"/>
                </w:tcPr>
                <w:p w14:paraId="2CE79B67">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ascii="Times New Roman" w:hAnsi="Times New Roman" w:cs="Times New Roman"/>
                      <w:b w:val="0"/>
                      <w:bCs/>
                      <w:color w:val="auto"/>
                      <w:kern w:val="32"/>
                      <w:sz w:val="18"/>
                      <w:szCs w:val="18"/>
                      <w:vertAlign w:val="baseline"/>
                      <w:lang w:val="en-US" w:eastAsia="zh-CN" w:bidi="ar-SA"/>
                    </w:rPr>
                    <w:t>44.33</w:t>
                  </w:r>
                </w:p>
              </w:tc>
              <w:tc>
                <w:tcPr>
                  <w:tcW w:w="941" w:type="pct"/>
                  <w:tcBorders>
                    <w:tl2br w:val="nil"/>
                    <w:tr2bl w:val="nil"/>
                  </w:tcBorders>
                  <w:vAlign w:val="center"/>
                </w:tcPr>
                <w:p w14:paraId="682C1531">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3F5FFF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620" w:type="pct"/>
                  <w:vMerge w:val="continue"/>
                  <w:tcBorders>
                    <w:tl2br w:val="nil"/>
                    <w:tr2bl w:val="nil"/>
                  </w:tcBorders>
                  <w:vAlign w:val="center"/>
                </w:tcPr>
                <w:p w14:paraId="181F403B">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363971BD">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产生量（kg/h）</w:t>
                  </w:r>
                </w:p>
              </w:tc>
              <w:tc>
                <w:tcPr>
                  <w:tcW w:w="803" w:type="pct"/>
                  <w:tcBorders>
                    <w:tl2br w:val="nil"/>
                    <w:tr2bl w:val="nil"/>
                  </w:tcBorders>
                  <w:vAlign w:val="center"/>
                </w:tcPr>
                <w:p w14:paraId="367C4B18">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0.024</w:t>
                  </w:r>
                </w:p>
              </w:tc>
              <w:tc>
                <w:tcPr>
                  <w:tcW w:w="832" w:type="pct"/>
                  <w:tcBorders>
                    <w:tl2br w:val="nil"/>
                    <w:tr2bl w:val="nil"/>
                  </w:tcBorders>
                  <w:shd w:val="clear" w:color="auto" w:fill="auto"/>
                  <w:vAlign w:val="center"/>
                </w:tcPr>
                <w:p w14:paraId="61114D25">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0.024</w:t>
                  </w:r>
                </w:p>
              </w:tc>
              <w:tc>
                <w:tcPr>
                  <w:tcW w:w="941" w:type="pct"/>
                  <w:tcBorders>
                    <w:tl2br w:val="nil"/>
                    <w:tr2bl w:val="nil"/>
                  </w:tcBorders>
                  <w:shd w:val="clear" w:color="auto" w:fill="auto"/>
                  <w:vAlign w:val="center"/>
                </w:tcPr>
                <w:p w14:paraId="425FB7A6">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0.355</w:t>
                  </w:r>
                </w:p>
              </w:tc>
              <w:tc>
                <w:tcPr>
                  <w:tcW w:w="941" w:type="pct"/>
                  <w:tcBorders>
                    <w:tl2br w:val="nil"/>
                    <w:tr2bl w:val="nil"/>
                  </w:tcBorders>
                  <w:vAlign w:val="center"/>
                </w:tcPr>
                <w:p w14:paraId="4EC1F2E7">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0FF80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78F6056D">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EBDB517">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核算方法</w:t>
                  </w:r>
                </w:p>
              </w:tc>
              <w:tc>
                <w:tcPr>
                  <w:tcW w:w="2576" w:type="pct"/>
                  <w:gridSpan w:val="3"/>
                  <w:tcBorders>
                    <w:tl2br w:val="nil"/>
                    <w:tr2bl w:val="nil"/>
                  </w:tcBorders>
                  <w:vAlign w:val="center"/>
                </w:tcPr>
                <w:p w14:paraId="095F9890">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产污系数法</w:t>
                  </w:r>
                </w:p>
              </w:tc>
              <w:tc>
                <w:tcPr>
                  <w:tcW w:w="941" w:type="pct"/>
                  <w:tcBorders>
                    <w:tl2br w:val="nil"/>
                    <w:tr2bl w:val="nil"/>
                  </w:tcBorders>
                  <w:vAlign w:val="center"/>
                </w:tcPr>
                <w:p w14:paraId="6BCD9977">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4C26D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32B57924">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污染防治措施</w:t>
                  </w:r>
                </w:p>
              </w:tc>
              <w:tc>
                <w:tcPr>
                  <w:tcW w:w="861" w:type="pct"/>
                  <w:tcBorders>
                    <w:tl2br w:val="nil"/>
                    <w:tr2bl w:val="nil"/>
                  </w:tcBorders>
                  <w:vAlign w:val="center"/>
                </w:tcPr>
                <w:p w14:paraId="4A281E0A">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治理设施</w:t>
                  </w:r>
                </w:p>
              </w:tc>
              <w:tc>
                <w:tcPr>
                  <w:tcW w:w="2576" w:type="pct"/>
                  <w:gridSpan w:val="3"/>
                  <w:tcBorders>
                    <w:tl2br w:val="nil"/>
                    <w:tr2bl w:val="nil"/>
                  </w:tcBorders>
                  <w:vAlign w:val="center"/>
                </w:tcPr>
                <w:p w14:paraId="5EF90A3A">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低氮燃烧器+烟气循环技术</w:t>
                  </w:r>
                </w:p>
              </w:tc>
              <w:tc>
                <w:tcPr>
                  <w:tcW w:w="941" w:type="pct"/>
                  <w:tcBorders>
                    <w:tl2br w:val="nil"/>
                    <w:tr2bl w:val="nil"/>
                  </w:tcBorders>
                  <w:shd w:val="clear" w:color="auto" w:fill="auto"/>
                  <w:vAlign w:val="center"/>
                </w:tcPr>
                <w:p w14:paraId="3093A5EB">
                  <w:pPr>
                    <w:pStyle w:val="155"/>
                    <w:spacing w:before="0" w:after="0" w:line="240" w:lineRule="exact"/>
                    <w:jc w:val="center"/>
                    <w:rPr>
                      <w:rFonts w:hint="eastAsia" w:ascii="Times New Roman" w:hAnsi="Times New Roman" w:cs="Times New Roman"/>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45BBE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3AE50DCE">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633BA9DE">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收集效率（%）</w:t>
                  </w:r>
                </w:p>
              </w:tc>
              <w:tc>
                <w:tcPr>
                  <w:tcW w:w="2576" w:type="pct"/>
                  <w:gridSpan w:val="3"/>
                  <w:tcBorders>
                    <w:tl2br w:val="nil"/>
                    <w:tr2bl w:val="nil"/>
                  </w:tcBorders>
                  <w:vAlign w:val="center"/>
                </w:tcPr>
                <w:p w14:paraId="5145630D">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w:t>
                  </w:r>
                </w:p>
              </w:tc>
              <w:tc>
                <w:tcPr>
                  <w:tcW w:w="941" w:type="pct"/>
                  <w:tcBorders>
                    <w:tl2br w:val="nil"/>
                    <w:tr2bl w:val="nil"/>
                  </w:tcBorders>
                  <w:vAlign w:val="center"/>
                </w:tcPr>
                <w:p w14:paraId="6C1E516A">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C97A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7D07F52E">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F373B21">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处理效率（%）</w:t>
                  </w:r>
                </w:p>
              </w:tc>
              <w:tc>
                <w:tcPr>
                  <w:tcW w:w="803" w:type="pct"/>
                  <w:tcBorders>
                    <w:tl2br w:val="nil"/>
                    <w:tr2bl w:val="nil"/>
                  </w:tcBorders>
                  <w:vAlign w:val="center"/>
                </w:tcPr>
                <w:p w14:paraId="45164FB3">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0</w:t>
                  </w:r>
                </w:p>
              </w:tc>
              <w:tc>
                <w:tcPr>
                  <w:tcW w:w="832" w:type="pct"/>
                  <w:tcBorders>
                    <w:tl2br w:val="nil"/>
                    <w:tr2bl w:val="nil"/>
                  </w:tcBorders>
                  <w:shd w:val="clear" w:color="auto" w:fill="auto"/>
                  <w:vAlign w:val="center"/>
                </w:tcPr>
                <w:p w14:paraId="6133EE4E">
                  <w:pPr>
                    <w:pStyle w:val="155"/>
                    <w:spacing w:before="0" w:after="0" w:line="240" w:lineRule="exact"/>
                    <w:jc w:val="center"/>
                    <w:rPr>
                      <w:rFonts w:hint="eastAsia"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w:t>
                  </w:r>
                </w:p>
              </w:tc>
              <w:tc>
                <w:tcPr>
                  <w:tcW w:w="941" w:type="pct"/>
                  <w:tcBorders>
                    <w:tl2br w:val="nil"/>
                    <w:tr2bl w:val="nil"/>
                  </w:tcBorders>
                  <w:shd w:val="clear" w:color="auto" w:fill="auto"/>
                  <w:vAlign w:val="center"/>
                </w:tcPr>
                <w:p w14:paraId="2D0D9AA4">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50</w:t>
                  </w:r>
                </w:p>
              </w:tc>
              <w:tc>
                <w:tcPr>
                  <w:tcW w:w="941" w:type="pct"/>
                  <w:tcBorders>
                    <w:tl2br w:val="nil"/>
                    <w:tr2bl w:val="nil"/>
                  </w:tcBorders>
                  <w:vAlign w:val="center"/>
                </w:tcPr>
                <w:p w14:paraId="38C49CDE">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68DD7E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3623F2F1">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污染物排放情况</w:t>
                  </w:r>
                </w:p>
              </w:tc>
              <w:tc>
                <w:tcPr>
                  <w:tcW w:w="861" w:type="pct"/>
                  <w:tcBorders>
                    <w:tl2br w:val="nil"/>
                    <w:tr2bl w:val="nil"/>
                  </w:tcBorders>
                  <w:vAlign w:val="center"/>
                </w:tcPr>
                <w:p w14:paraId="2FBCD5AF">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浓度（mg/m</w:t>
                  </w:r>
                  <w:r>
                    <w:rPr>
                      <w:rFonts w:hint="eastAsia"/>
                      <w:b/>
                      <w:bCs w:val="0"/>
                      <w:color w:val="auto"/>
                      <w:sz w:val="18"/>
                      <w:szCs w:val="18"/>
                      <w:vertAlign w:val="superscript"/>
                      <w:lang w:val="en-US" w:eastAsia="zh-CN"/>
                    </w:rPr>
                    <w:t>3</w:t>
                  </w:r>
                  <w:r>
                    <w:rPr>
                      <w:rFonts w:hint="eastAsia"/>
                      <w:b/>
                      <w:bCs w:val="0"/>
                      <w:color w:val="auto"/>
                      <w:sz w:val="18"/>
                      <w:szCs w:val="18"/>
                      <w:vertAlign w:val="baseline"/>
                      <w:lang w:val="en-US" w:eastAsia="zh-CN"/>
                    </w:rPr>
                    <w:t>）</w:t>
                  </w:r>
                </w:p>
              </w:tc>
              <w:tc>
                <w:tcPr>
                  <w:tcW w:w="1289" w:type="dxa"/>
                  <w:tcBorders>
                    <w:tl2br w:val="nil"/>
                    <w:tr2bl w:val="nil"/>
                  </w:tcBorders>
                  <w:vAlign w:val="center"/>
                </w:tcPr>
                <w:p w14:paraId="0ED9106F">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2.36</w:t>
                  </w:r>
                </w:p>
              </w:tc>
              <w:tc>
                <w:tcPr>
                  <w:tcW w:w="1336" w:type="dxa"/>
                  <w:tcBorders>
                    <w:tl2br w:val="nil"/>
                    <w:tr2bl w:val="nil"/>
                  </w:tcBorders>
                  <w:shd w:val="clear" w:color="auto" w:fill="auto"/>
                  <w:vAlign w:val="center"/>
                </w:tcPr>
                <w:p w14:paraId="64BA4DE7">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2.36</w:t>
                  </w:r>
                </w:p>
              </w:tc>
              <w:tc>
                <w:tcPr>
                  <w:tcW w:w="941" w:type="pct"/>
                  <w:tcBorders>
                    <w:tl2br w:val="nil"/>
                    <w:tr2bl w:val="nil"/>
                  </w:tcBorders>
                  <w:shd w:val="clear" w:color="auto" w:fill="auto"/>
                  <w:vAlign w:val="center"/>
                </w:tcPr>
                <w:p w14:paraId="6BF491D0">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22.16</w:t>
                  </w:r>
                </w:p>
              </w:tc>
              <w:tc>
                <w:tcPr>
                  <w:tcW w:w="941" w:type="pct"/>
                  <w:tcBorders>
                    <w:tl2br w:val="nil"/>
                    <w:tr2bl w:val="nil"/>
                  </w:tcBorders>
                  <w:vAlign w:val="center"/>
                </w:tcPr>
                <w:p w14:paraId="472B55A0">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1C22C6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05B783BF">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0824276F">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排放量（kg/h）</w:t>
                  </w:r>
                </w:p>
              </w:tc>
              <w:tc>
                <w:tcPr>
                  <w:tcW w:w="1289" w:type="dxa"/>
                  <w:tcBorders>
                    <w:tl2br w:val="nil"/>
                    <w:tr2bl w:val="nil"/>
                  </w:tcBorders>
                  <w:vAlign w:val="center"/>
                </w:tcPr>
                <w:p w14:paraId="56BE6A18">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0.024</w:t>
                  </w:r>
                </w:p>
              </w:tc>
              <w:tc>
                <w:tcPr>
                  <w:tcW w:w="1336" w:type="dxa"/>
                  <w:tcBorders>
                    <w:tl2br w:val="nil"/>
                    <w:tr2bl w:val="nil"/>
                  </w:tcBorders>
                  <w:shd w:val="clear" w:color="auto" w:fill="auto"/>
                  <w:vAlign w:val="center"/>
                </w:tcPr>
                <w:p w14:paraId="618458E6">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0.024</w:t>
                  </w:r>
                </w:p>
              </w:tc>
              <w:tc>
                <w:tcPr>
                  <w:tcW w:w="941" w:type="pct"/>
                  <w:tcBorders>
                    <w:tl2br w:val="nil"/>
                    <w:tr2bl w:val="nil"/>
                  </w:tcBorders>
                  <w:shd w:val="clear" w:color="auto" w:fill="auto"/>
                  <w:vAlign w:val="center"/>
                </w:tcPr>
                <w:p w14:paraId="3453A4D0">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0.177</w:t>
                  </w:r>
                </w:p>
              </w:tc>
              <w:tc>
                <w:tcPr>
                  <w:tcW w:w="941" w:type="pct"/>
                  <w:tcBorders>
                    <w:tl2br w:val="nil"/>
                    <w:tr2bl w:val="nil"/>
                  </w:tcBorders>
                  <w:vAlign w:val="center"/>
                </w:tcPr>
                <w:p w14:paraId="3C91A53E">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3717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186A63ED">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年运行时间（h）</w:t>
                  </w:r>
                </w:p>
              </w:tc>
              <w:tc>
                <w:tcPr>
                  <w:tcW w:w="2576" w:type="pct"/>
                  <w:gridSpan w:val="3"/>
                  <w:tcBorders>
                    <w:tl2br w:val="nil"/>
                    <w:tr2bl w:val="nil"/>
                  </w:tcBorders>
                  <w:vAlign w:val="center"/>
                </w:tcPr>
                <w:p w14:paraId="34C2DF35">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7200</w:t>
                  </w:r>
                </w:p>
              </w:tc>
              <w:tc>
                <w:tcPr>
                  <w:tcW w:w="941" w:type="pct"/>
                  <w:tcBorders>
                    <w:tl2br w:val="nil"/>
                    <w:tr2bl w:val="nil"/>
                  </w:tcBorders>
                  <w:shd w:val="clear" w:color="auto" w:fill="auto"/>
                  <w:vAlign w:val="center"/>
                </w:tcPr>
                <w:p w14:paraId="18E62298">
                  <w:pPr>
                    <w:pStyle w:val="155"/>
                    <w:spacing w:before="0" w:after="0" w:line="240" w:lineRule="exact"/>
                    <w:jc w:val="center"/>
                    <w:rPr>
                      <w:rFonts w:hint="eastAsia"/>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03E034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81" w:type="pct"/>
                  <w:gridSpan w:val="2"/>
                  <w:tcBorders>
                    <w:tl2br w:val="nil"/>
                    <w:tr2bl w:val="nil"/>
                  </w:tcBorders>
                  <w:vAlign w:val="center"/>
                </w:tcPr>
                <w:p w14:paraId="76C49EBF">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年排放量（t/a）</w:t>
                  </w:r>
                </w:p>
              </w:tc>
              <w:tc>
                <w:tcPr>
                  <w:tcW w:w="803" w:type="pct"/>
                  <w:tcBorders>
                    <w:tl2br w:val="nil"/>
                    <w:tr2bl w:val="nil"/>
                  </w:tcBorders>
                  <w:vAlign w:val="center"/>
                </w:tcPr>
                <w:p w14:paraId="31EC4495">
                  <w:pPr>
                    <w:pStyle w:val="155"/>
                    <w:spacing w:before="0" w:after="0" w:line="240" w:lineRule="exact"/>
                    <w:jc w:val="center"/>
                    <w:rPr>
                      <w:rFonts w:hint="default"/>
                      <w:b w:val="0"/>
                      <w:bCs/>
                      <w:color w:val="auto"/>
                      <w:sz w:val="18"/>
                      <w:szCs w:val="18"/>
                      <w:vertAlign w:val="baseline"/>
                      <w:lang w:val="en-US" w:eastAsia="zh-CN"/>
                    </w:rPr>
                  </w:pPr>
                  <w:r>
                    <w:rPr>
                      <w:rFonts w:hint="eastAsia"/>
                      <w:b w:val="0"/>
                      <w:bCs/>
                      <w:color w:val="auto"/>
                      <w:sz w:val="18"/>
                      <w:szCs w:val="18"/>
                      <w:vertAlign w:val="baseline"/>
                      <w:lang w:val="en-US" w:eastAsia="zh-CN"/>
                    </w:rPr>
                    <w:t>0.1697</w:t>
                  </w:r>
                </w:p>
              </w:tc>
              <w:tc>
                <w:tcPr>
                  <w:tcW w:w="832" w:type="pct"/>
                  <w:tcBorders>
                    <w:tl2br w:val="nil"/>
                    <w:tr2bl w:val="nil"/>
                  </w:tcBorders>
                  <w:shd w:val="clear" w:color="auto" w:fill="auto"/>
                  <w:vAlign w:val="center"/>
                </w:tcPr>
                <w:p w14:paraId="3E365F9B">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0.1697</w:t>
                  </w:r>
                </w:p>
              </w:tc>
              <w:tc>
                <w:tcPr>
                  <w:tcW w:w="941" w:type="pct"/>
                  <w:tcBorders>
                    <w:tl2br w:val="nil"/>
                    <w:tr2bl w:val="nil"/>
                  </w:tcBorders>
                  <w:shd w:val="clear" w:color="auto" w:fill="auto"/>
                  <w:vAlign w:val="center"/>
                </w:tcPr>
                <w:p w14:paraId="4F62908D">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1.2766</w:t>
                  </w:r>
                </w:p>
              </w:tc>
              <w:tc>
                <w:tcPr>
                  <w:tcW w:w="941" w:type="pct"/>
                  <w:tcBorders>
                    <w:tl2br w:val="nil"/>
                    <w:tr2bl w:val="nil"/>
                  </w:tcBorders>
                  <w:vAlign w:val="center"/>
                </w:tcPr>
                <w:p w14:paraId="53D807E7">
                  <w:pPr>
                    <w:pStyle w:val="155"/>
                    <w:spacing w:before="0" w:after="0" w:line="240" w:lineRule="exact"/>
                    <w:jc w:val="center"/>
                    <w:rPr>
                      <w:rFonts w:hint="default"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7134B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restart"/>
                  <w:tcBorders>
                    <w:tl2br w:val="nil"/>
                    <w:tr2bl w:val="nil"/>
                  </w:tcBorders>
                  <w:vAlign w:val="center"/>
                </w:tcPr>
                <w:p w14:paraId="610CDB2C">
                  <w:pPr>
                    <w:pStyle w:val="155"/>
                    <w:spacing w:before="0" w:after="0" w:line="240" w:lineRule="exact"/>
                    <w:jc w:val="center"/>
                    <w:rPr>
                      <w:rFonts w:hint="eastAsia"/>
                      <w:b/>
                      <w:bCs w:val="0"/>
                      <w:color w:val="auto"/>
                      <w:sz w:val="18"/>
                      <w:szCs w:val="18"/>
                      <w:vertAlign w:val="baseline"/>
                      <w:lang w:val="en-US" w:eastAsia="zh-CN"/>
                    </w:rPr>
                  </w:pPr>
                  <w:r>
                    <w:rPr>
                      <w:rFonts w:hint="eastAsia"/>
                      <w:b/>
                      <w:bCs w:val="0"/>
                      <w:color w:val="auto"/>
                      <w:sz w:val="18"/>
                      <w:szCs w:val="18"/>
                      <w:vertAlign w:val="baseline"/>
                      <w:lang w:val="en-US" w:eastAsia="zh-CN"/>
                    </w:rPr>
                    <w:t>排放参数</w:t>
                  </w:r>
                </w:p>
                <w:p w14:paraId="1DA1B983">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7AEC0F1C">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排气筒高度（m）</w:t>
                  </w:r>
                </w:p>
              </w:tc>
              <w:tc>
                <w:tcPr>
                  <w:tcW w:w="2576" w:type="pct"/>
                  <w:gridSpan w:val="3"/>
                  <w:tcBorders>
                    <w:tl2br w:val="nil"/>
                    <w:tr2bl w:val="nil"/>
                  </w:tcBorders>
                  <w:vAlign w:val="center"/>
                </w:tcPr>
                <w:p w14:paraId="530B15BC">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15</w:t>
                  </w:r>
                </w:p>
              </w:tc>
              <w:tc>
                <w:tcPr>
                  <w:tcW w:w="941" w:type="pct"/>
                  <w:tcBorders>
                    <w:tl2br w:val="nil"/>
                    <w:tr2bl w:val="nil"/>
                  </w:tcBorders>
                  <w:vAlign w:val="center"/>
                </w:tcPr>
                <w:p w14:paraId="085FB487">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6C3DE1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7BE76A81">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3BBF58FB">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出口内径（m）</w:t>
                  </w:r>
                </w:p>
              </w:tc>
              <w:tc>
                <w:tcPr>
                  <w:tcW w:w="2576" w:type="pct"/>
                  <w:gridSpan w:val="3"/>
                  <w:tcBorders>
                    <w:tl2br w:val="nil"/>
                    <w:tr2bl w:val="nil"/>
                  </w:tcBorders>
                  <w:vAlign w:val="center"/>
                </w:tcPr>
                <w:p w14:paraId="2E30C44A">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b w:val="0"/>
                      <w:bCs/>
                      <w:color w:val="auto"/>
                      <w:sz w:val="18"/>
                      <w:szCs w:val="18"/>
                      <w:vertAlign w:val="baseline"/>
                      <w:lang w:val="en-US" w:eastAsia="zh-CN"/>
                    </w:rPr>
                    <w:t>0.5</w:t>
                  </w:r>
                </w:p>
              </w:tc>
              <w:tc>
                <w:tcPr>
                  <w:tcW w:w="941" w:type="pct"/>
                  <w:tcBorders>
                    <w:tl2br w:val="nil"/>
                    <w:tr2bl w:val="nil"/>
                  </w:tcBorders>
                  <w:vAlign w:val="center"/>
                </w:tcPr>
                <w:p w14:paraId="225A5A8E">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r w14:paraId="46F13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0" w:type="pct"/>
                  <w:vMerge w:val="continue"/>
                  <w:tcBorders>
                    <w:tl2br w:val="nil"/>
                    <w:tr2bl w:val="nil"/>
                  </w:tcBorders>
                  <w:vAlign w:val="center"/>
                </w:tcPr>
                <w:p w14:paraId="6956268D">
                  <w:pPr>
                    <w:pStyle w:val="155"/>
                    <w:spacing w:before="0" w:after="0" w:line="240" w:lineRule="exact"/>
                    <w:jc w:val="center"/>
                    <w:rPr>
                      <w:rFonts w:hint="default" w:eastAsia="宋体"/>
                      <w:b/>
                      <w:bCs w:val="0"/>
                      <w:color w:val="auto"/>
                      <w:sz w:val="18"/>
                      <w:szCs w:val="18"/>
                      <w:vertAlign w:val="baseline"/>
                      <w:lang w:val="en-US" w:eastAsia="zh-CN"/>
                    </w:rPr>
                  </w:pPr>
                </w:p>
              </w:tc>
              <w:tc>
                <w:tcPr>
                  <w:tcW w:w="861" w:type="pct"/>
                  <w:tcBorders>
                    <w:tl2br w:val="nil"/>
                    <w:tr2bl w:val="nil"/>
                  </w:tcBorders>
                  <w:vAlign w:val="center"/>
                </w:tcPr>
                <w:p w14:paraId="48485FE7">
                  <w:pPr>
                    <w:pStyle w:val="155"/>
                    <w:spacing w:before="0" w:after="0" w:line="240" w:lineRule="exact"/>
                    <w:jc w:val="center"/>
                    <w:rPr>
                      <w:rFonts w:hint="default" w:eastAsia="宋体"/>
                      <w:b/>
                      <w:bCs w:val="0"/>
                      <w:color w:val="auto"/>
                      <w:sz w:val="18"/>
                      <w:szCs w:val="18"/>
                      <w:vertAlign w:val="baseline"/>
                      <w:lang w:val="en-US" w:eastAsia="zh-CN"/>
                    </w:rPr>
                  </w:pPr>
                  <w:r>
                    <w:rPr>
                      <w:rFonts w:hint="eastAsia"/>
                      <w:b/>
                      <w:bCs w:val="0"/>
                      <w:color w:val="auto"/>
                      <w:sz w:val="18"/>
                      <w:szCs w:val="18"/>
                      <w:vertAlign w:val="baseline"/>
                      <w:lang w:val="en-US" w:eastAsia="zh-CN"/>
                    </w:rPr>
                    <w:t>排放温度（℃）</w:t>
                  </w:r>
                </w:p>
              </w:tc>
              <w:tc>
                <w:tcPr>
                  <w:tcW w:w="2576" w:type="pct"/>
                  <w:gridSpan w:val="3"/>
                  <w:tcBorders>
                    <w:tl2br w:val="nil"/>
                    <w:tr2bl w:val="nil"/>
                  </w:tcBorders>
                  <w:vAlign w:val="center"/>
                </w:tcPr>
                <w:p w14:paraId="64D4D498">
                  <w:pPr>
                    <w:pStyle w:val="155"/>
                    <w:spacing w:before="0" w:after="0" w:line="240" w:lineRule="exact"/>
                    <w:jc w:val="center"/>
                    <w:rPr>
                      <w:rFonts w:hint="default" w:ascii="Times New Roman" w:hAnsi="Times New Roman" w:eastAsia="宋体" w:cs="Times New Roman"/>
                      <w:b w:val="0"/>
                      <w:bCs/>
                      <w:color w:val="auto"/>
                      <w:kern w:val="32"/>
                      <w:sz w:val="18"/>
                      <w:szCs w:val="18"/>
                      <w:vertAlign w:val="baseline"/>
                      <w:lang w:val="en-US" w:eastAsia="zh-CN" w:bidi="ar-SA"/>
                    </w:rPr>
                  </w:pPr>
                  <w:r>
                    <w:rPr>
                      <w:rFonts w:hint="eastAsia" w:ascii="Times New Roman" w:hAnsi="Times New Roman" w:cs="Times New Roman"/>
                      <w:b w:val="0"/>
                      <w:bCs/>
                      <w:color w:val="auto"/>
                      <w:kern w:val="32"/>
                      <w:sz w:val="18"/>
                      <w:szCs w:val="18"/>
                      <w:vertAlign w:val="baseline"/>
                      <w:lang w:val="en-US" w:eastAsia="zh-CN" w:bidi="ar-SA"/>
                    </w:rPr>
                    <w:t>125</w:t>
                  </w:r>
                </w:p>
              </w:tc>
              <w:tc>
                <w:tcPr>
                  <w:tcW w:w="941" w:type="pct"/>
                  <w:tcBorders>
                    <w:tl2br w:val="nil"/>
                    <w:tr2bl w:val="nil"/>
                  </w:tcBorders>
                  <w:vAlign w:val="center"/>
                </w:tcPr>
                <w:p w14:paraId="45CA986D">
                  <w:pPr>
                    <w:pStyle w:val="155"/>
                    <w:spacing w:before="0" w:after="0" w:line="240" w:lineRule="exact"/>
                    <w:jc w:val="center"/>
                    <w:rPr>
                      <w:rFonts w:hint="eastAsia" w:eastAsia="宋体"/>
                      <w:b w:val="0"/>
                      <w:bCs/>
                      <w:color w:val="auto"/>
                      <w:sz w:val="18"/>
                      <w:szCs w:val="18"/>
                      <w:vertAlign w:val="baseline"/>
                      <w:lang w:val="en-US" w:eastAsia="zh-CN"/>
                    </w:rPr>
                  </w:pPr>
                  <w:r>
                    <w:rPr>
                      <w:rFonts w:hint="eastAsia"/>
                      <w:b w:val="0"/>
                      <w:bCs/>
                      <w:color w:val="auto"/>
                      <w:sz w:val="18"/>
                      <w:szCs w:val="18"/>
                      <w:vertAlign w:val="baseline"/>
                      <w:lang w:val="en-US" w:eastAsia="zh-CN"/>
                    </w:rPr>
                    <w:t>//</w:t>
                  </w:r>
                </w:p>
              </w:tc>
            </w:tr>
          </w:tbl>
          <w:p w14:paraId="4FE9422B">
            <w:pPr>
              <w:spacing w:line="360" w:lineRule="auto"/>
              <w:ind w:firstLine="422" w:firstLineChars="200"/>
              <w:rPr>
                <w:rFonts w:hint="eastAsia"/>
                <w:b/>
                <w:bCs/>
                <w:szCs w:val="21"/>
                <w:lang w:val="en-US" w:eastAsia="zh-CN"/>
              </w:rPr>
            </w:pPr>
            <w:r>
              <w:rPr>
                <w:rFonts w:hint="eastAsia"/>
                <w:b/>
                <w:bCs/>
                <w:szCs w:val="21"/>
                <w:lang w:val="en-US" w:eastAsia="zh-CN"/>
              </w:rPr>
              <w:t>（1）粉尘</w:t>
            </w:r>
          </w:p>
          <w:p w14:paraId="5A445BE1">
            <w:pPr>
              <w:spacing w:line="360" w:lineRule="auto"/>
              <w:ind w:firstLine="420" w:firstLineChars="200"/>
              <w:rPr>
                <w:rFonts w:hint="eastAsia"/>
                <w:szCs w:val="21"/>
                <w:lang w:val="en-US" w:eastAsia="zh-CN"/>
              </w:rPr>
            </w:pPr>
            <w:r>
              <w:rPr>
                <w:rFonts w:hint="eastAsia"/>
                <w:szCs w:val="21"/>
              </w:rPr>
              <w:t>本项目木质产品主要包括年产50000m</w:t>
            </w:r>
            <w:r>
              <w:rPr>
                <w:rFonts w:hint="eastAsia"/>
                <w:szCs w:val="21"/>
                <w:vertAlign w:val="superscript"/>
              </w:rPr>
              <w:t>3</w:t>
            </w:r>
            <w:r>
              <w:rPr>
                <w:rFonts w:hint="eastAsia"/>
                <w:szCs w:val="21"/>
              </w:rPr>
              <w:t>木构件、10000m</w:t>
            </w:r>
            <w:r>
              <w:rPr>
                <w:rFonts w:hint="eastAsia"/>
                <w:szCs w:val="21"/>
                <w:vertAlign w:val="superscript"/>
              </w:rPr>
              <w:t>3</w:t>
            </w:r>
            <w:r>
              <w:rPr>
                <w:rFonts w:hint="eastAsia"/>
                <w:szCs w:val="21"/>
              </w:rPr>
              <w:t>木门窗、5000m</w:t>
            </w:r>
            <w:r>
              <w:rPr>
                <w:rFonts w:hint="eastAsia"/>
                <w:szCs w:val="21"/>
                <w:vertAlign w:val="superscript"/>
              </w:rPr>
              <w:t>3</w:t>
            </w:r>
            <w:r>
              <w:rPr>
                <w:rFonts w:hint="eastAsia"/>
                <w:szCs w:val="21"/>
              </w:rPr>
              <w:t>木屋。木制品加工工序包括下料制材、机加工（打孔、开榫、铣型、刨型、雕刻等）、表面处理（砂光）</w:t>
            </w:r>
            <w:r>
              <w:rPr>
                <w:rFonts w:hint="eastAsia"/>
                <w:szCs w:val="21"/>
                <w:lang w:val="en-US" w:eastAsia="zh-CN"/>
              </w:rPr>
              <w:t>等工序，期间会产生一定的粉尘废气，主要污染物为颗粒物。</w:t>
            </w:r>
            <w:r>
              <w:rPr>
                <w:rFonts w:hint="eastAsia"/>
                <w:szCs w:val="21"/>
              </w:rPr>
              <w:t>参照《排放源统计调查产排污核算方法和系数手册》（2021年）中“203木质制品制造行业系数表”</w:t>
            </w:r>
            <w:r>
              <w:rPr>
                <w:rFonts w:hint="eastAsia"/>
                <w:szCs w:val="21"/>
                <w:lang w:val="en-US" w:eastAsia="zh-CN"/>
              </w:rPr>
              <w:t>污染物源强如表4.1-2所示。</w:t>
            </w:r>
          </w:p>
          <w:p w14:paraId="08C90D83">
            <w:pPr>
              <w:autoSpaceDE w:val="0"/>
              <w:autoSpaceDN w:val="0"/>
              <w:adjustRightInd w:val="0"/>
              <w:spacing w:line="360" w:lineRule="auto"/>
              <w:ind w:firstLine="420" w:firstLineChars="200"/>
              <w:rPr>
                <w:rFonts w:hint="default" w:eastAsia="宋体"/>
                <w:szCs w:val="21"/>
                <w:lang w:val="en-US" w:eastAsia="zh-CN"/>
              </w:rPr>
            </w:pPr>
            <w:r>
              <w:rPr>
                <w:rFonts w:hint="eastAsia"/>
                <w:szCs w:val="21"/>
                <w:lang w:val="en-US" w:eastAsia="zh-CN"/>
              </w:rPr>
              <w:t>砖石加工，主要包括</w:t>
            </w:r>
            <w:r>
              <w:rPr>
                <w:rFonts w:hint="eastAsia"/>
                <w:szCs w:val="21"/>
              </w:rPr>
              <w:t>雕刻机，主要为打/出坯、雕刻</w:t>
            </w:r>
            <w:r>
              <w:rPr>
                <w:rFonts w:hint="eastAsia"/>
                <w:szCs w:val="21"/>
                <w:lang w:eastAsia="zh-CN"/>
              </w:rPr>
              <w:t>、</w:t>
            </w:r>
            <w:r>
              <w:rPr>
                <w:rFonts w:hint="eastAsia"/>
                <w:szCs w:val="21"/>
                <w:lang w:val="en-US" w:eastAsia="zh-CN"/>
              </w:rPr>
              <w:t>打磨等</w:t>
            </w:r>
            <w:r>
              <w:rPr>
                <w:rFonts w:hint="eastAsia"/>
                <w:szCs w:val="21"/>
              </w:rPr>
              <w:t>工序产生的粉尘，主要污染物为颗粒物。本项目年产</w:t>
            </w:r>
            <w:r>
              <w:rPr>
                <w:rFonts w:hint="eastAsia"/>
                <w:bCs/>
                <w:szCs w:val="21"/>
              </w:rPr>
              <w:t>5000m</w:t>
            </w:r>
            <w:r>
              <w:rPr>
                <w:rFonts w:hint="eastAsia"/>
                <w:bCs/>
                <w:szCs w:val="21"/>
                <w:vertAlign w:val="superscript"/>
              </w:rPr>
              <w:t>3</w:t>
            </w:r>
            <w:r>
              <w:rPr>
                <w:rFonts w:hint="eastAsia"/>
                <w:bCs/>
                <w:szCs w:val="21"/>
              </w:rPr>
              <w:t>砖雕、5000m</w:t>
            </w:r>
            <w:r>
              <w:rPr>
                <w:rFonts w:hint="eastAsia"/>
                <w:bCs/>
                <w:szCs w:val="21"/>
                <w:vertAlign w:val="superscript"/>
              </w:rPr>
              <w:t>3</w:t>
            </w:r>
            <w:r>
              <w:rPr>
                <w:rFonts w:hint="eastAsia"/>
                <w:bCs/>
                <w:szCs w:val="21"/>
              </w:rPr>
              <w:t>石雕产品</w:t>
            </w:r>
            <w:r>
              <w:rPr>
                <w:rFonts w:hint="eastAsia"/>
                <w:bCs/>
                <w:szCs w:val="21"/>
                <w:lang w:eastAsia="zh-CN"/>
              </w:rPr>
              <w:t>，</w:t>
            </w:r>
            <w:r>
              <w:rPr>
                <w:rFonts w:hint="eastAsia"/>
                <w:szCs w:val="21"/>
              </w:rPr>
              <w:t>参照《排放源统计调查产排污核算方法和系数手册》（2021年）中“303砖瓦、石材等建筑材料制造行业系数表”</w:t>
            </w:r>
            <w:r>
              <w:rPr>
                <w:rFonts w:hint="eastAsia"/>
                <w:szCs w:val="21"/>
                <w:lang w:val="en-US" w:eastAsia="zh-CN"/>
              </w:rPr>
              <w:t>污染物源强如表</w:t>
            </w:r>
            <w:r>
              <w:rPr>
                <w:rFonts w:hint="eastAsia" w:ascii="Times New Roman" w:hAnsi="Times New Roman" w:eastAsia="宋体" w:cs="Times New Roman"/>
                <w:szCs w:val="21"/>
                <w:lang w:val="en-US" w:eastAsia="zh-CN"/>
              </w:rPr>
              <w:t>4.1-2</w:t>
            </w:r>
            <w:r>
              <w:rPr>
                <w:rFonts w:hint="eastAsia"/>
                <w:szCs w:val="21"/>
                <w:lang w:val="en-US" w:eastAsia="zh-CN"/>
              </w:rPr>
              <w:t>所示。</w:t>
            </w:r>
          </w:p>
          <w:p w14:paraId="57931F63">
            <w:pPr>
              <w:spacing w:line="240" w:lineRule="exact"/>
              <w:ind w:firstLine="361" w:firstLineChars="200"/>
              <w:jc w:val="center"/>
              <w:rPr>
                <w:b/>
                <w:sz w:val="18"/>
                <w:szCs w:val="18"/>
              </w:rPr>
            </w:pPr>
            <w:r>
              <w:rPr>
                <w:b/>
                <w:sz w:val="18"/>
                <w:szCs w:val="18"/>
              </w:rPr>
              <w:t>表</w:t>
            </w:r>
            <w:r>
              <w:rPr>
                <w:rFonts w:hint="eastAsia"/>
                <w:b/>
                <w:sz w:val="18"/>
                <w:szCs w:val="18"/>
              </w:rPr>
              <w:t>4</w:t>
            </w:r>
            <w:r>
              <w:rPr>
                <w:rFonts w:hint="eastAsia"/>
                <w:b/>
                <w:sz w:val="18"/>
                <w:szCs w:val="18"/>
                <w:lang w:val="en-US" w:eastAsia="zh-CN"/>
              </w:rPr>
              <w:t>.1</w:t>
            </w:r>
            <w:r>
              <w:rPr>
                <w:b/>
                <w:sz w:val="18"/>
                <w:szCs w:val="18"/>
              </w:rPr>
              <w:t>-</w:t>
            </w:r>
            <w:r>
              <w:rPr>
                <w:rFonts w:hint="eastAsia"/>
                <w:b/>
                <w:sz w:val="18"/>
                <w:szCs w:val="18"/>
              </w:rPr>
              <w:t>2</w:t>
            </w:r>
            <w:r>
              <w:rPr>
                <w:b/>
                <w:sz w:val="18"/>
                <w:szCs w:val="18"/>
              </w:rPr>
              <w:t xml:space="preserve">    产品加工</w:t>
            </w:r>
            <w:r>
              <w:rPr>
                <w:rFonts w:hint="eastAsia"/>
                <w:b/>
                <w:sz w:val="18"/>
                <w:szCs w:val="18"/>
                <w:lang w:val="en-US" w:eastAsia="zh-CN"/>
              </w:rPr>
              <w:t>颗粒物</w:t>
            </w:r>
            <w:r>
              <w:rPr>
                <w:b/>
                <w:sz w:val="18"/>
                <w:szCs w:val="18"/>
              </w:rPr>
              <w:t>物产生情况明细表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67"/>
              <w:gridCol w:w="819"/>
              <w:gridCol w:w="1113"/>
              <w:gridCol w:w="930"/>
              <w:gridCol w:w="1113"/>
              <w:gridCol w:w="1271"/>
              <w:gridCol w:w="658"/>
              <w:gridCol w:w="878"/>
            </w:tblGrid>
            <w:tr w14:paraId="6B60B6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9" w:hRule="atLeast"/>
                <w:tblHeader/>
                <w:jc w:val="center"/>
              </w:trPr>
              <w:tc>
                <w:tcPr>
                  <w:tcW w:w="358" w:type="pct"/>
                  <w:vAlign w:val="center"/>
                </w:tcPr>
                <w:p w14:paraId="24B4BA99">
                  <w:pPr>
                    <w:spacing w:line="200" w:lineRule="exact"/>
                    <w:jc w:val="center"/>
                    <w:rPr>
                      <w:sz w:val="18"/>
                      <w:szCs w:val="18"/>
                    </w:rPr>
                  </w:pPr>
                  <w:r>
                    <w:rPr>
                      <w:sz w:val="18"/>
                      <w:szCs w:val="18"/>
                    </w:rPr>
                    <w:t>产品名称</w:t>
                  </w:r>
                </w:p>
              </w:tc>
              <w:tc>
                <w:tcPr>
                  <w:tcW w:w="358" w:type="pct"/>
                  <w:vAlign w:val="center"/>
                </w:tcPr>
                <w:p w14:paraId="744C8011">
                  <w:pPr>
                    <w:spacing w:line="200" w:lineRule="exact"/>
                    <w:jc w:val="center"/>
                    <w:rPr>
                      <w:sz w:val="18"/>
                      <w:szCs w:val="18"/>
                    </w:rPr>
                  </w:pPr>
                  <w:r>
                    <w:rPr>
                      <w:sz w:val="18"/>
                      <w:szCs w:val="18"/>
                    </w:rPr>
                    <w:t>原料名称</w:t>
                  </w:r>
                </w:p>
              </w:tc>
              <w:tc>
                <w:tcPr>
                  <w:tcW w:w="517" w:type="pct"/>
                  <w:vAlign w:val="center"/>
                </w:tcPr>
                <w:p w14:paraId="66C74C86">
                  <w:pPr>
                    <w:spacing w:line="200" w:lineRule="exact"/>
                    <w:jc w:val="center"/>
                    <w:rPr>
                      <w:sz w:val="18"/>
                      <w:szCs w:val="18"/>
                    </w:rPr>
                  </w:pPr>
                  <w:r>
                    <w:rPr>
                      <w:sz w:val="18"/>
                      <w:szCs w:val="18"/>
                    </w:rPr>
                    <w:t>工段</w:t>
                  </w:r>
                </w:p>
                <w:p w14:paraId="43775840">
                  <w:pPr>
                    <w:spacing w:line="200" w:lineRule="exact"/>
                    <w:jc w:val="center"/>
                    <w:rPr>
                      <w:sz w:val="18"/>
                      <w:szCs w:val="18"/>
                    </w:rPr>
                  </w:pPr>
                  <w:r>
                    <w:rPr>
                      <w:sz w:val="18"/>
                      <w:szCs w:val="18"/>
                    </w:rPr>
                    <w:t>名称</w:t>
                  </w:r>
                </w:p>
              </w:tc>
              <w:tc>
                <w:tcPr>
                  <w:tcW w:w="702" w:type="pct"/>
                  <w:vAlign w:val="center"/>
                </w:tcPr>
                <w:p w14:paraId="5572FD50">
                  <w:pPr>
                    <w:spacing w:line="200" w:lineRule="exact"/>
                    <w:jc w:val="center"/>
                    <w:rPr>
                      <w:sz w:val="18"/>
                      <w:szCs w:val="18"/>
                    </w:rPr>
                  </w:pPr>
                  <w:r>
                    <w:rPr>
                      <w:sz w:val="18"/>
                      <w:szCs w:val="18"/>
                    </w:rPr>
                    <w:t>工艺名称</w:t>
                  </w:r>
                </w:p>
              </w:tc>
              <w:tc>
                <w:tcPr>
                  <w:tcW w:w="587" w:type="pct"/>
                  <w:vAlign w:val="center"/>
                </w:tcPr>
                <w:p w14:paraId="305C9631">
                  <w:pPr>
                    <w:spacing w:line="200" w:lineRule="exact"/>
                    <w:jc w:val="center"/>
                    <w:rPr>
                      <w:sz w:val="18"/>
                      <w:szCs w:val="18"/>
                    </w:rPr>
                  </w:pPr>
                  <w:r>
                    <w:rPr>
                      <w:sz w:val="18"/>
                      <w:szCs w:val="18"/>
                    </w:rPr>
                    <w:t>污染物</w:t>
                  </w:r>
                </w:p>
              </w:tc>
              <w:tc>
                <w:tcPr>
                  <w:tcW w:w="702" w:type="pct"/>
                  <w:vAlign w:val="center"/>
                </w:tcPr>
                <w:p w14:paraId="6BF982A1">
                  <w:pPr>
                    <w:spacing w:line="200" w:lineRule="exact"/>
                    <w:jc w:val="center"/>
                    <w:rPr>
                      <w:sz w:val="18"/>
                      <w:szCs w:val="18"/>
                    </w:rPr>
                  </w:pPr>
                  <w:r>
                    <w:rPr>
                      <w:sz w:val="18"/>
                      <w:szCs w:val="18"/>
                    </w:rPr>
                    <w:t>系数单位</w:t>
                  </w:r>
                </w:p>
              </w:tc>
              <w:tc>
                <w:tcPr>
                  <w:tcW w:w="802" w:type="pct"/>
                  <w:vAlign w:val="center"/>
                </w:tcPr>
                <w:p w14:paraId="527026BC">
                  <w:pPr>
                    <w:spacing w:line="200" w:lineRule="exact"/>
                    <w:jc w:val="center"/>
                    <w:rPr>
                      <w:sz w:val="18"/>
                      <w:szCs w:val="18"/>
                    </w:rPr>
                  </w:pPr>
                  <w:r>
                    <w:rPr>
                      <w:sz w:val="18"/>
                      <w:szCs w:val="18"/>
                    </w:rPr>
                    <w:t>产污系数</w:t>
                  </w:r>
                </w:p>
              </w:tc>
              <w:tc>
                <w:tcPr>
                  <w:tcW w:w="415" w:type="pct"/>
                  <w:vAlign w:val="center"/>
                </w:tcPr>
                <w:p w14:paraId="7D0CE2B4">
                  <w:pPr>
                    <w:spacing w:line="200" w:lineRule="exact"/>
                    <w:jc w:val="center"/>
                    <w:rPr>
                      <w:sz w:val="18"/>
                      <w:szCs w:val="18"/>
                    </w:rPr>
                  </w:pPr>
                  <w:r>
                    <w:rPr>
                      <w:sz w:val="18"/>
                      <w:szCs w:val="18"/>
                    </w:rPr>
                    <w:t>本项目产能m</w:t>
                  </w:r>
                  <w:r>
                    <w:rPr>
                      <w:rFonts w:hint="eastAsia"/>
                      <w:sz w:val="18"/>
                      <w:szCs w:val="18"/>
                      <w:vertAlign w:val="superscript"/>
                    </w:rPr>
                    <w:t>3</w:t>
                  </w:r>
                  <w:r>
                    <w:rPr>
                      <w:rFonts w:hint="eastAsia"/>
                      <w:sz w:val="18"/>
                      <w:szCs w:val="18"/>
                    </w:rPr>
                    <w:t>/a</w:t>
                  </w:r>
                </w:p>
              </w:tc>
              <w:tc>
                <w:tcPr>
                  <w:tcW w:w="554" w:type="pct"/>
                  <w:vAlign w:val="center"/>
                </w:tcPr>
                <w:p w14:paraId="33B922BA">
                  <w:pPr>
                    <w:spacing w:line="200" w:lineRule="exact"/>
                    <w:jc w:val="center"/>
                    <w:rPr>
                      <w:sz w:val="18"/>
                      <w:szCs w:val="18"/>
                    </w:rPr>
                  </w:pPr>
                  <w:r>
                    <w:rPr>
                      <w:sz w:val="18"/>
                      <w:szCs w:val="18"/>
                    </w:rPr>
                    <w:t>本项目污染物产生量t</w:t>
                  </w:r>
                  <w:r>
                    <w:rPr>
                      <w:rFonts w:hint="eastAsia"/>
                      <w:sz w:val="18"/>
                      <w:szCs w:val="18"/>
                    </w:rPr>
                    <w:t>./a</w:t>
                  </w:r>
                </w:p>
              </w:tc>
            </w:tr>
            <w:tr w14:paraId="108779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358" w:type="pct"/>
                  <w:vMerge w:val="restart"/>
                  <w:vAlign w:val="center"/>
                </w:tcPr>
                <w:p w14:paraId="2D809421">
                  <w:pPr>
                    <w:spacing w:line="200" w:lineRule="exact"/>
                    <w:jc w:val="center"/>
                    <w:rPr>
                      <w:sz w:val="18"/>
                      <w:szCs w:val="18"/>
                    </w:rPr>
                  </w:pPr>
                  <w:r>
                    <w:rPr>
                      <w:rFonts w:hint="eastAsia"/>
                      <w:sz w:val="18"/>
                      <w:szCs w:val="18"/>
                    </w:rPr>
                    <w:t>木构件、木门窗、木屋</w:t>
                  </w:r>
                </w:p>
              </w:tc>
              <w:tc>
                <w:tcPr>
                  <w:tcW w:w="358" w:type="pct"/>
                  <w:vMerge w:val="restart"/>
                  <w:vAlign w:val="center"/>
                </w:tcPr>
                <w:p w14:paraId="0FF4FB0F">
                  <w:pPr>
                    <w:spacing w:line="200" w:lineRule="exact"/>
                    <w:jc w:val="center"/>
                    <w:rPr>
                      <w:sz w:val="18"/>
                      <w:szCs w:val="18"/>
                    </w:rPr>
                  </w:pPr>
                  <w:r>
                    <w:rPr>
                      <w:sz w:val="18"/>
                      <w:szCs w:val="18"/>
                    </w:rPr>
                    <w:t>木材料</w:t>
                  </w:r>
                </w:p>
              </w:tc>
              <w:tc>
                <w:tcPr>
                  <w:tcW w:w="517" w:type="pct"/>
                  <w:vAlign w:val="center"/>
                </w:tcPr>
                <w:p w14:paraId="05023380">
                  <w:pPr>
                    <w:spacing w:line="200" w:lineRule="exact"/>
                    <w:jc w:val="center"/>
                    <w:rPr>
                      <w:sz w:val="18"/>
                      <w:szCs w:val="18"/>
                    </w:rPr>
                  </w:pPr>
                  <w:r>
                    <w:rPr>
                      <w:sz w:val="18"/>
                      <w:szCs w:val="18"/>
                    </w:rPr>
                    <w:t>下料</w:t>
                  </w:r>
                </w:p>
              </w:tc>
              <w:tc>
                <w:tcPr>
                  <w:tcW w:w="702" w:type="pct"/>
                  <w:vAlign w:val="center"/>
                </w:tcPr>
                <w:p w14:paraId="2193C2F0">
                  <w:pPr>
                    <w:spacing w:line="200" w:lineRule="exact"/>
                    <w:jc w:val="center"/>
                    <w:rPr>
                      <w:sz w:val="18"/>
                      <w:szCs w:val="18"/>
                    </w:rPr>
                  </w:pPr>
                  <w:r>
                    <w:rPr>
                      <w:sz w:val="18"/>
                      <w:szCs w:val="18"/>
                    </w:rPr>
                    <w:t>切割</w:t>
                  </w:r>
                </w:p>
              </w:tc>
              <w:tc>
                <w:tcPr>
                  <w:tcW w:w="587" w:type="pct"/>
                  <w:vAlign w:val="center"/>
                </w:tcPr>
                <w:p w14:paraId="3B03F4FE">
                  <w:pPr>
                    <w:spacing w:line="200" w:lineRule="exact"/>
                    <w:jc w:val="center"/>
                    <w:rPr>
                      <w:sz w:val="18"/>
                      <w:szCs w:val="18"/>
                    </w:rPr>
                  </w:pPr>
                  <w:r>
                    <w:rPr>
                      <w:sz w:val="18"/>
                      <w:szCs w:val="18"/>
                    </w:rPr>
                    <w:t>颗粒物</w:t>
                  </w:r>
                </w:p>
              </w:tc>
              <w:tc>
                <w:tcPr>
                  <w:tcW w:w="702" w:type="pct"/>
                  <w:vAlign w:val="center"/>
                </w:tcPr>
                <w:p w14:paraId="50A96445">
                  <w:pPr>
                    <w:spacing w:line="200" w:lineRule="exact"/>
                    <w:jc w:val="center"/>
                    <w:rPr>
                      <w:sz w:val="18"/>
                      <w:szCs w:val="18"/>
                    </w:rPr>
                  </w:pPr>
                  <w:r>
                    <w:rPr>
                      <w:rFonts w:hint="eastAsia"/>
                      <w:sz w:val="18"/>
                      <w:szCs w:val="18"/>
                    </w:rPr>
                    <w:t>k</w:t>
                  </w: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2" w:type="pct"/>
                  <w:vAlign w:val="center"/>
                </w:tcPr>
                <w:p w14:paraId="3173F2C5">
                  <w:pPr>
                    <w:spacing w:line="200" w:lineRule="exact"/>
                    <w:jc w:val="center"/>
                    <w:rPr>
                      <w:sz w:val="18"/>
                      <w:szCs w:val="18"/>
                    </w:rPr>
                  </w:pPr>
                  <w:r>
                    <w:rPr>
                      <w:rFonts w:hint="eastAsia"/>
                      <w:sz w:val="18"/>
                      <w:szCs w:val="18"/>
                    </w:rPr>
                    <w:t>245×10</w:t>
                  </w:r>
                  <w:r>
                    <w:rPr>
                      <w:rFonts w:hint="eastAsia"/>
                      <w:sz w:val="18"/>
                      <w:szCs w:val="18"/>
                      <w:vertAlign w:val="superscript"/>
                    </w:rPr>
                    <w:t>-3</w:t>
                  </w:r>
                </w:p>
              </w:tc>
              <w:tc>
                <w:tcPr>
                  <w:tcW w:w="415" w:type="pct"/>
                  <w:vAlign w:val="center"/>
                </w:tcPr>
                <w:p w14:paraId="32BB6B83">
                  <w:pPr>
                    <w:spacing w:line="200" w:lineRule="exact"/>
                    <w:jc w:val="center"/>
                    <w:rPr>
                      <w:sz w:val="18"/>
                      <w:szCs w:val="18"/>
                    </w:rPr>
                  </w:pPr>
                  <w:r>
                    <w:rPr>
                      <w:rFonts w:hint="eastAsia"/>
                      <w:sz w:val="18"/>
                      <w:szCs w:val="18"/>
                    </w:rPr>
                    <w:t>65000</w:t>
                  </w:r>
                </w:p>
              </w:tc>
              <w:tc>
                <w:tcPr>
                  <w:tcW w:w="554" w:type="pct"/>
                  <w:vAlign w:val="center"/>
                </w:tcPr>
                <w:p w14:paraId="05855A55">
                  <w:pPr>
                    <w:spacing w:line="200" w:lineRule="exact"/>
                    <w:jc w:val="center"/>
                    <w:rPr>
                      <w:sz w:val="18"/>
                      <w:szCs w:val="18"/>
                    </w:rPr>
                  </w:pPr>
                  <w:r>
                    <w:rPr>
                      <w:rFonts w:hint="eastAsia"/>
                      <w:sz w:val="18"/>
                      <w:szCs w:val="18"/>
                    </w:rPr>
                    <w:t>15.925</w:t>
                  </w:r>
                </w:p>
              </w:tc>
            </w:tr>
            <w:tr w14:paraId="19D234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358" w:type="pct"/>
                  <w:vMerge w:val="continue"/>
                  <w:vAlign w:val="center"/>
                </w:tcPr>
                <w:p w14:paraId="59722773">
                  <w:pPr>
                    <w:spacing w:line="200" w:lineRule="exact"/>
                    <w:jc w:val="center"/>
                    <w:rPr>
                      <w:sz w:val="18"/>
                      <w:szCs w:val="18"/>
                    </w:rPr>
                  </w:pPr>
                </w:p>
              </w:tc>
              <w:tc>
                <w:tcPr>
                  <w:tcW w:w="358" w:type="pct"/>
                  <w:vMerge w:val="continue"/>
                  <w:vAlign w:val="center"/>
                </w:tcPr>
                <w:p w14:paraId="7248FBF2">
                  <w:pPr>
                    <w:spacing w:line="200" w:lineRule="exact"/>
                    <w:jc w:val="center"/>
                    <w:rPr>
                      <w:sz w:val="18"/>
                      <w:szCs w:val="18"/>
                    </w:rPr>
                  </w:pPr>
                </w:p>
              </w:tc>
              <w:tc>
                <w:tcPr>
                  <w:tcW w:w="517" w:type="pct"/>
                  <w:vAlign w:val="center"/>
                </w:tcPr>
                <w:p w14:paraId="455417D0">
                  <w:pPr>
                    <w:spacing w:line="200" w:lineRule="exact"/>
                    <w:jc w:val="center"/>
                    <w:rPr>
                      <w:sz w:val="18"/>
                      <w:szCs w:val="18"/>
                    </w:rPr>
                  </w:pPr>
                  <w:r>
                    <w:rPr>
                      <w:rFonts w:hint="eastAsia"/>
                      <w:sz w:val="18"/>
                      <w:szCs w:val="18"/>
                    </w:rPr>
                    <w:t>机加工</w:t>
                  </w:r>
                </w:p>
              </w:tc>
              <w:tc>
                <w:tcPr>
                  <w:tcW w:w="702" w:type="pct"/>
                  <w:vAlign w:val="center"/>
                </w:tcPr>
                <w:p w14:paraId="3C25D296">
                  <w:pPr>
                    <w:spacing w:line="200" w:lineRule="exact"/>
                    <w:jc w:val="center"/>
                    <w:rPr>
                      <w:sz w:val="18"/>
                      <w:szCs w:val="18"/>
                    </w:rPr>
                  </w:pPr>
                  <w:r>
                    <w:rPr>
                      <w:sz w:val="18"/>
                      <w:szCs w:val="18"/>
                    </w:rPr>
                    <w:t>切割</w:t>
                  </w:r>
                  <w:r>
                    <w:rPr>
                      <w:rFonts w:hint="eastAsia"/>
                      <w:sz w:val="18"/>
                      <w:szCs w:val="18"/>
                    </w:rPr>
                    <w:t>、</w:t>
                  </w:r>
                  <w:r>
                    <w:rPr>
                      <w:sz w:val="18"/>
                      <w:szCs w:val="18"/>
                    </w:rPr>
                    <w:t>锯</w:t>
                  </w:r>
                  <w:r>
                    <w:rPr>
                      <w:rFonts w:hint="eastAsia"/>
                      <w:sz w:val="18"/>
                      <w:szCs w:val="18"/>
                    </w:rPr>
                    <w:t>、</w:t>
                  </w:r>
                  <w:r>
                    <w:rPr>
                      <w:rFonts w:hint="eastAsia"/>
                      <w:sz w:val="18"/>
                      <w:szCs w:val="18"/>
                      <w:lang w:val="en-US" w:eastAsia="zh-CN"/>
                    </w:rPr>
                    <w:t>开榫</w:t>
                  </w:r>
                  <w:r>
                    <w:rPr>
                      <w:rFonts w:hint="eastAsia"/>
                      <w:sz w:val="18"/>
                      <w:szCs w:val="18"/>
                    </w:rPr>
                    <w:t>、</w:t>
                  </w:r>
                  <w:r>
                    <w:rPr>
                      <w:sz w:val="18"/>
                      <w:szCs w:val="18"/>
                    </w:rPr>
                    <w:t>铣</w:t>
                  </w:r>
                </w:p>
              </w:tc>
              <w:tc>
                <w:tcPr>
                  <w:tcW w:w="587" w:type="pct"/>
                  <w:vAlign w:val="center"/>
                </w:tcPr>
                <w:p w14:paraId="3FF1AFBB">
                  <w:pPr>
                    <w:spacing w:line="200" w:lineRule="exact"/>
                    <w:jc w:val="center"/>
                    <w:rPr>
                      <w:sz w:val="18"/>
                      <w:szCs w:val="18"/>
                    </w:rPr>
                  </w:pPr>
                  <w:r>
                    <w:rPr>
                      <w:sz w:val="18"/>
                      <w:szCs w:val="18"/>
                    </w:rPr>
                    <w:t>颗粒物</w:t>
                  </w:r>
                </w:p>
              </w:tc>
              <w:tc>
                <w:tcPr>
                  <w:tcW w:w="702" w:type="pct"/>
                  <w:vAlign w:val="center"/>
                </w:tcPr>
                <w:p w14:paraId="75E00D75">
                  <w:pPr>
                    <w:spacing w:line="200" w:lineRule="exact"/>
                    <w:jc w:val="center"/>
                    <w:rPr>
                      <w:sz w:val="18"/>
                      <w:szCs w:val="18"/>
                    </w:rPr>
                  </w:pPr>
                  <w:r>
                    <w:rPr>
                      <w:rFonts w:hint="eastAsia"/>
                      <w:sz w:val="18"/>
                      <w:szCs w:val="18"/>
                    </w:rPr>
                    <w:t>k</w:t>
                  </w: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2" w:type="pct"/>
                  <w:vAlign w:val="center"/>
                </w:tcPr>
                <w:p w14:paraId="39C51BB3">
                  <w:pPr>
                    <w:spacing w:line="200" w:lineRule="exact"/>
                    <w:jc w:val="center"/>
                    <w:rPr>
                      <w:sz w:val="18"/>
                      <w:szCs w:val="18"/>
                    </w:rPr>
                  </w:pPr>
                  <w:r>
                    <w:rPr>
                      <w:rFonts w:hint="eastAsia"/>
                      <w:sz w:val="18"/>
                      <w:szCs w:val="18"/>
                    </w:rPr>
                    <w:t>45×10</w:t>
                  </w:r>
                  <w:r>
                    <w:rPr>
                      <w:rFonts w:hint="eastAsia"/>
                      <w:sz w:val="18"/>
                      <w:szCs w:val="18"/>
                      <w:vertAlign w:val="superscript"/>
                    </w:rPr>
                    <w:t>-3</w:t>
                  </w:r>
                </w:p>
              </w:tc>
              <w:tc>
                <w:tcPr>
                  <w:tcW w:w="415" w:type="pct"/>
                  <w:vAlign w:val="center"/>
                </w:tcPr>
                <w:p w14:paraId="4545BEA4">
                  <w:pPr>
                    <w:spacing w:line="200" w:lineRule="exact"/>
                    <w:jc w:val="center"/>
                    <w:rPr>
                      <w:sz w:val="18"/>
                      <w:szCs w:val="18"/>
                    </w:rPr>
                  </w:pPr>
                  <w:r>
                    <w:rPr>
                      <w:rFonts w:hint="eastAsia"/>
                      <w:sz w:val="18"/>
                      <w:szCs w:val="18"/>
                    </w:rPr>
                    <w:t>65000</w:t>
                  </w:r>
                </w:p>
              </w:tc>
              <w:tc>
                <w:tcPr>
                  <w:tcW w:w="554" w:type="pct"/>
                  <w:vAlign w:val="center"/>
                </w:tcPr>
                <w:p w14:paraId="45936CAA">
                  <w:pPr>
                    <w:spacing w:line="200" w:lineRule="exact"/>
                    <w:jc w:val="center"/>
                    <w:rPr>
                      <w:sz w:val="18"/>
                      <w:szCs w:val="18"/>
                    </w:rPr>
                  </w:pPr>
                  <w:r>
                    <w:rPr>
                      <w:rFonts w:hint="eastAsia"/>
                      <w:sz w:val="18"/>
                      <w:szCs w:val="18"/>
                    </w:rPr>
                    <w:t>2.925</w:t>
                  </w:r>
                </w:p>
              </w:tc>
            </w:tr>
            <w:tr w14:paraId="6EA20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358" w:type="pct"/>
                  <w:vMerge w:val="continue"/>
                  <w:vAlign w:val="center"/>
                </w:tcPr>
                <w:p w14:paraId="5578C36B">
                  <w:pPr>
                    <w:spacing w:line="200" w:lineRule="exact"/>
                    <w:jc w:val="center"/>
                    <w:rPr>
                      <w:sz w:val="18"/>
                      <w:szCs w:val="18"/>
                    </w:rPr>
                  </w:pPr>
                </w:p>
              </w:tc>
              <w:tc>
                <w:tcPr>
                  <w:tcW w:w="358" w:type="pct"/>
                  <w:vMerge w:val="continue"/>
                  <w:vAlign w:val="center"/>
                </w:tcPr>
                <w:p w14:paraId="44994662">
                  <w:pPr>
                    <w:spacing w:line="200" w:lineRule="exact"/>
                    <w:jc w:val="center"/>
                    <w:rPr>
                      <w:sz w:val="18"/>
                      <w:szCs w:val="18"/>
                    </w:rPr>
                  </w:pPr>
                </w:p>
              </w:tc>
              <w:tc>
                <w:tcPr>
                  <w:tcW w:w="517" w:type="pct"/>
                  <w:vMerge w:val="restart"/>
                  <w:vAlign w:val="center"/>
                </w:tcPr>
                <w:p w14:paraId="4B94BDA7">
                  <w:pPr>
                    <w:spacing w:line="200" w:lineRule="exact"/>
                    <w:jc w:val="center"/>
                    <w:rPr>
                      <w:sz w:val="18"/>
                      <w:szCs w:val="18"/>
                    </w:rPr>
                  </w:pPr>
                  <w:r>
                    <w:rPr>
                      <w:rFonts w:hint="eastAsia"/>
                      <w:sz w:val="18"/>
                      <w:szCs w:val="18"/>
                      <w:lang w:val="en-US" w:eastAsia="zh-CN"/>
                    </w:rPr>
                    <w:t>打磨、</w:t>
                  </w:r>
                  <w:r>
                    <w:rPr>
                      <w:sz w:val="18"/>
                      <w:szCs w:val="18"/>
                    </w:rPr>
                    <w:t>砂光</w:t>
                  </w:r>
                  <w:r>
                    <w:rPr>
                      <w:rFonts w:hint="eastAsia"/>
                      <w:sz w:val="18"/>
                      <w:szCs w:val="18"/>
                      <w:lang w:eastAsia="zh-CN"/>
                    </w:rPr>
                    <w:t>、</w:t>
                  </w:r>
                  <w:r>
                    <w:rPr>
                      <w:rFonts w:hint="eastAsia"/>
                      <w:sz w:val="18"/>
                      <w:szCs w:val="18"/>
                    </w:rPr>
                    <w:t>打磨</w:t>
                  </w:r>
                </w:p>
              </w:tc>
              <w:tc>
                <w:tcPr>
                  <w:tcW w:w="702" w:type="pct"/>
                  <w:vMerge w:val="restart"/>
                  <w:vAlign w:val="center"/>
                </w:tcPr>
                <w:p w14:paraId="5ED4A62B">
                  <w:pPr>
                    <w:spacing w:line="200" w:lineRule="exact"/>
                    <w:jc w:val="center"/>
                    <w:rPr>
                      <w:sz w:val="18"/>
                      <w:szCs w:val="18"/>
                    </w:rPr>
                  </w:pPr>
                  <w:r>
                    <w:rPr>
                      <w:sz w:val="18"/>
                      <w:szCs w:val="18"/>
                    </w:rPr>
                    <w:t>表面处理</w:t>
                  </w:r>
                </w:p>
              </w:tc>
              <w:tc>
                <w:tcPr>
                  <w:tcW w:w="587" w:type="pct"/>
                  <w:vMerge w:val="restart"/>
                  <w:vAlign w:val="center"/>
                </w:tcPr>
                <w:p w14:paraId="1B0F53BA">
                  <w:pPr>
                    <w:spacing w:line="200" w:lineRule="exact"/>
                    <w:jc w:val="center"/>
                    <w:rPr>
                      <w:sz w:val="18"/>
                      <w:szCs w:val="18"/>
                    </w:rPr>
                  </w:pPr>
                  <w:r>
                    <w:rPr>
                      <w:sz w:val="18"/>
                      <w:szCs w:val="18"/>
                    </w:rPr>
                    <w:t>颗粒物</w:t>
                  </w:r>
                </w:p>
              </w:tc>
              <w:tc>
                <w:tcPr>
                  <w:tcW w:w="702" w:type="pct"/>
                  <w:vMerge w:val="restart"/>
                  <w:vAlign w:val="center"/>
                </w:tcPr>
                <w:p w14:paraId="280E8D03">
                  <w:pPr>
                    <w:spacing w:line="200" w:lineRule="exact"/>
                    <w:jc w:val="center"/>
                    <w:rPr>
                      <w:sz w:val="18"/>
                      <w:szCs w:val="18"/>
                    </w:rPr>
                  </w:pPr>
                  <w:r>
                    <w:rPr>
                      <w:rFonts w:hint="eastAsia"/>
                      <w:sz w:val="18"/>
                      <w:szCs w:val="18"/>
                    </w:rPr>
                    <w:t>k</w:t>
                  </w: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2" w:type="pct"/>
                  <w:vAlign w:val="center"/>
                </w:tcPr>
                <w:p w14:paraId="70914155">
                  <w:pPr>
                    <w:spacing w:line="200" w:lineRule="exact"/>
                    <w:jc w:val="center"/>
                    <w:rPr>
                      <w:sz w:val="18"/>
                      <w:szCs w:val="18"/>
                    </w:rPr>
                  </w:pPr>
                  <w:r>
                    <w:rPr>
                      <w:rFonts w:hint="eastAsia"/>
                      <w:sz w:val="18"/>
                      <w:szCs w:val="18"/>
                    </w:rPr>
                    <w:t>1.71（木构件、木屋）</w:t>
                  </w:r>
                </w:p>
              </w:tc>
              <w:tc>
                <w:tcPr>
                  <w:tcW w:w="415" w:type="pct"/>
                  <w:vAlign w:val="center"/>
                </w:tcPr>
                <w:p w14:paraId="3438E80F">
                  <w:pPr>
                    <w:spacing w:line="200" w:lineRule="exact"/>
                    <w:jc w:val="center"/>
                    <w:rPr>
                      <w:sz w:val="18"/>
                      <w:szCs w:val="18"/>
                    </w:rPr>
                  </w:pPr>
                  <w:r>
                    <w:rPr>
                      <w:rFonts w:hint="eastAsia"/>
                      <w:sz w:val="18"/>
                      <w:szCs w:val="18"/>
                    </w:rPr>
                    <w:t>55000</w:t>
                  </w:r>
                </w:p>
              </w:tc>
              <w:tc>
                <w:tcPr>
                  <w:tcW w:w="554" w:type="pct"/>
                  <w:vAlign w:val="center"/>
                </w:tcPr>
                <w:p w14:paraId="37266278">
                  <w:pPr>
                    <w:spacing w:line="200" w:lineRule="exact"/>
                    <w:jc w:val="center"/>
                    <w:rPr>
                      <w:sz w:val="18"/>
                      <w:szCs w:val="18"/>
                    </w:rPr>
                  </w:pPr>
                  <w:r>
                    <w:rPr>
                      <w:rFonts w:hint="eastAsia"/>
                      <w:sz w:val="18"/>
                      <w:szCs w:val="18"/>
                    </w:rPr>
                    <w:t>94.05</w:t>
                  </w:r>
                </w:p>
              </w:tc>
            </w:tr>
            <w:tr w14:paraId="570E5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358" w:type="pct"/>
                  <w:vMerge w:val="continue"/>
                  <w:vAlign w:val="center"/>
                </w:tcPr>
                <w:p w14:paraId="58456A09">
                  <w:pPr>
                    <w:spacing w:line="200" w:lineRule="exact"/>
                    <w:jc w:val="center"/>
                    <w:rPr>
                      <w:sz w:val="18"/>
                      <w:szCs w:val="18"/>
                    </w:rPr>
                  </w:pPr>
                </w:p>
              </w:tc>
              <w:tc>
                <w:tcPr>
                  <w:tcW w:w="358" w:type="pct"/>
                  <w:vMerge w:val="continue"/>
                  <w:vAlign w:val="center"/>
                </w:tcPr>
                <w:p w14:paraId="00E614AD">
                  <w:pPr>
                    <w:spacing w:line="200" w:lineRule="exact"/>
                    <w:jc w:val="center"/>
                    <w:rPr>
                      <w:sz w:val="18"/>
                      <w:szCs w:val="18"/>
                    </w:rPr>
                  </w:pPr>
                </w:p>
              </w:tc>
              <w:tc>
                <w:tcPr>
                  <w:tcW w:w="517" w:type="pct"/>
                  <w:vMerge w:val="continue"/>
                  <w:vAlign w:val="center"/>
                </w:tcPr>
                <w:p w14:paraId="0A74D63F">
                  <w:pPr>
                    <w:spacing w:line="200" w:lineRule="exact"/>
                    <w:jc w:val="center"/>
                    <w:rPr>
                      <w:sz w:val="18"/>
                      <w:szCs w:val="18"/>
                    </w:rPr>
                  </w:pPr>
                </w:p>
              </w:tc>
              <w:tc>
                <w:tcPr>
                  <w:tcW w:w="702" w:type="pct"/>
                  <w:vMerge w:val="continue"/>
                  <w:vAlign w:val="center"/>
                </w:tcPr>
                <w:p w14:paraId="351D6B43">
                  <w:pPr>
                    <w:spacing w:line="200" w:lineRule="exact"/>
                    <w:jc w:val="center"/>
                    <w:rPr>
                      <w:sz w:val="18"/>
                      <w:szCs w:val="18"/>
                    </w:rPr>
                  </w:pPr>
                </w:p>
              </w:tc>
              <w:tc>
                <w:tcPr>
                  <w:tcW w:w="587" w:type="pct"/>
                  <w:vMerge w:val="continue"/>
                  <w:vAlign w:val="center"/>
                </w:tcPr>
                <w:p w14:paraId="55EB3B73">
                  <w:pPr>
                    <w:spacing w:line="200" w:lineRule="exact"/>
                    <w:jc w:val="center"/>
                    <w:rPr>
                      <w:sz w:val="18"/>
                      <w:szCs w:val="18"/>
                    </w:rPr>
                  </w:pPr>
                </w:p>
              </w:tc>
              <w:tc>
                <w:tcPr>
                  <w:tcW w:w="702" w:type="pct"/>
                  <w:vMerge w:val="continue"/>
                  <w:vAlign w:val="center"/>
                </w:tcPr>
                <w:p w14:paraId="07C0774A">
                  <w:pPr>
                    <w:spacing w:line="200" w:lineRule="exact"/>
                    <w:jc w:val="center"/>
                    <w:rPr>
                      <w:sz w:val="18"/>
                      <w:szCs w:val="18"/>
                    </w:rPr>
                  </w:pPr>
                </w:p>
              </w:tc>
              <w:tc>
                <w:tcPr>
                  <w:tcW w:w="802" w:type="pct"/>
                  <w:vAlign w:val="center"/>
                </w:tcPr>
                <w:p w14:paraId="0E8CE3C3">
                  <w:pPr>
                    <w:spacing w:line="200" w:lineRule="exact"/>
                    <w:jc w:val="center"/>
                    <w:rPr>
                      <w:sz w:val="18"/>
                      <w:szCs w:val="18"/>
                    </w:rPr>
                  </w:pPr>
                  <w:r>
                    <w:rPr>
                      <w:rFonts w:hint="eastAsia"/>
                      <w:sz w:val="18"/>
                      <w:szCs w:val="18"/>
                    </w:rPr>
                    <w:t>1.52（木门窗）</w:t>
                  </w:r>
                </w:p>
              </w:tc>
              <w:tc>
                <w:tcPr>
                  <w:tcW w:w="415" w:type="pct"/>
                  <w:vAlign w:val="center"/>
                </w:tcPr>
                <w:p w14:paraId="2FE5E0DB">
                  <w:pPr>
                    <w:spacing w:line="200" w:lineRule="exact"/>
                    <w:jc w:val="center"/>
                    <w:rPr>
                      <w:sz w:val="18"/>
                      <w:szCs w:val="18"/>
                    </w:rPr>
                  </w:pPr>
                  <w:r>
                    <w:rPr>
                      <w:rFonts w:hint="eastAsia"/>
                      <w:sz w:val="18"/>
                      <w:szCs w:val="18"/>
                    </w:rPr>
                    <w:t>10000</w:t>
                  </w:r>
                </w:p>
              </w:tc>
              <w:tc>
                <w:tcPr>
                  <w:tcW w:w="554" w:type="pct"/>
                  <w:vAlign w:val="center"/>
                </w:tcPr>
                <w:p w14:paraId="77D555EA">
                  <w:pPr>
                    <w:spacing w:line="200" w:lineRule="exact"/>
                    <w:jc w:val="center"/>
                    <w:rPr>
                      <w:sz w:val="18"/>
                      <w:szCs w:val="18"/>
                    </w:rPr>
                  </w:pPr>
                  <w:r>
                    <w:rPr>
                      <w:rFonts w:hint="eastAsia"/>
                      <w:sz w:val="18"/>
                      <w:szCs w:val="18"/>
                    </w:rPr>
                    <w:t>15.2</w:t>
                  </w:r>
                </w:p>
              </w:tc>
            </w:tr>
            <w:tr w14:paraId="15E85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358" w:type="pct"/>
                  <w:vAlign w:val="center"/>
                </w:tcPr>
                <w:p w14:paraId="5B92B9EA">
                  <w:pPr>
                    <w:spacing w:line="200" w:lineRule="exact"/>
                    <w:jc w:val="center"/>
                    <w:rPr>
                      <w:rFonts w:hint="eastAsia" w:eastAsia="宋体"/>
                      <w:sz w:val="18"/>
                      <w:szCs w:val="18"/>
                      <w:lang w:val="en-US" w:eastAsia="zh-CN"/>
                    </w:rPr>
                  </w:pPr>
                  <w:r>
                    <w:rPr>
                      <w:rFonts w:hint="eastAsia"/>
                      <w:sz w:val="18"/>
                      <w:szCs w:val="18"/>
                      <w:lang w:val="en-US" w:eastAsia="zh-CN"/>
                    </w:rPr>
                    <w:t>异形石材产品</w:t>
                  </w:r>
                </w:p>
              </w:tc>
              <w:tc>
                <w:tcPr>
                  <w:tcW w:w="358" w:type="pct"/>
                  <w:vAlign w:val="center"/>
                </w:tcPr>
                <w:p w14:paraId="7467F4CD">
                  <w:pPr>
                    <w:spacing w:line="200" w:lineRule="exact"/>
                    <w:jc w:val="center"/>
                    <w:rPr>
                      <w:rFonts w:hint="default" w:eastAsia="宋体"/>
                      <w:sz w:val="18"/>
                      <w:szCs w:val="18"/>
                      <w:lang w:val="en-US" w:eastAsia="zh-CN"/>
                    </w:rPr>
                  </w:pPr>
                  <w:r>
                    <w:rPr>
                      <w:rFonts w:hint="eastAsia"/>
                      <w:sz w:val="18"/>
                      <w:szCs w:val="18"/>
                      <w:lang w:val="en-US" w:eastAsia="zh-CN"/>
                    </w:rPr>
                    <w:t>荒料</w:t>
                  </w:r>
                </w:p>
              </w:tc>
              <w:tc>
                <w:tcPr>
                  <w:tcW w:w="517" w:type="pct"/>
                  <w:vAlign w:val="center"/>
                </w:tcPr>
                <w:p w14:paraId="4D91367B">
                  <w:pPr>
                    <w:spacing w:line="200" w:lineRule="exact"/>
                    <w:jc w:val="center"/>
                    <w:rPr>
                      <w:rFonts w:hint="default" w:eastAsia="宋体"/>
                      <w:sz w:val="18"/>
                      <w:szCs w:val="18"/>
                      <w:lang w:val="en-US" w:eastAsia="zh-CN"/>
                    </w:rPr>
                  </w:pPr>
                  <w:r>
                    <w:rPr>
                      <w:rFonts w:hint="eastAsia"/>
                      <w:sz w:val="18"/>
                      <w:szCs w:val="18"/>
                      <w:lang w:val="en-US" w:eastAsia="zh-CN"/>
                    </w:rPr>
                    <w:t>加工</w:t>
                  </w:r>
                </w:p>
              </w:tc>
              <w:tc>
                <w:tcPr>
                  <w:tcW w:w="702" w:type="pct"/>
                  <w:vAlign w:val="center"/>
                </w:tcPr>
                <w:p w14:paraId="19077F7B">
                  <w:pPr>
                    <w:spacing w:line="200" w:lineRule="exact"/>
                    <w:jc w:val="center"/>
                    <w:rPr>
                      <w:sz w:val="18"/>
                      <w:szCs w:val="18"/>
                    </w:rPr>
                  </w:pPr>
                  <w:r>
                    <w:rPr>
                      <w:rFonts w:hint="eastAsia"/>
                      <w:sz w:val="18"/>
                      <w:szCs w:val="18"/>
                      <w:lang w:val="en-US" w:eastAsia="zh-CN"/>
                    </w:rPr>
                    <w:t>锯解、磨抛、裁切</w:t>
                  </w:r>
                </w:p>
              </w:tc>
              <w:tc>
                <w:tcPr>
                  <w:tcW w:w="587" w:type="pct"/>
                  <w:vAlign w:val="center"/>
                </w:tcPr>
                <w:p w14:paraId="7B4E33C4">
                  <w:pPr>
                    <w:spacing w:line="200" w:lineRule="exact"/>
                    <w:jc w:val="center"/>
                    <w:rPr>
                      <w:sz w:val="18"/>
                      <w:szCs w:val="18"/>
                    </w:rPr>
                  </w:pPr>
                  <w:r>
                    <w:rPr>
                      <w:sz w:val="18"/>
                      <w:szCs w:val="18"/>
                    </w:rPr>
                    <w:t>颗粒物</w:t>
                  </w:r>
                </w:p>
              </w:tc>
              <w:tc>
                <w:tcPr>
                  <w:tcW w:w="702" w:type="pct"/>
                  <w:vAlign w:val="center"/>
                </w:tcPr>
                <w:p w14:paraId="76D51201">
                  <w:pPr>
                    <w:spacing w:line="200" w:lineRule="exact"/>
                    <w:jc w:val="center"/>
                    <w:rPr>
                      <w:sz w:val="18"/>
                      <w:szCs w:val="18"/>
                    </w:rPr>
                  </w:pPr>
                  <w:r>
                    <w:rPr>
                      <w:rFonts w:hint="eastAsia"/>
                      <w:sz w:val="18"/>
                      <w:szCs w:val="18"/>
                    </w:rPr>
                    <w:t>kg/m</w:t>
                  </w:r>
                  <w:r>
                    <w:rPr>
                      <w:rFonts w:hint="eastAsia"/>
                      <w:sz w:val="18"/>
                      <w:szCs w:val="18"/>
                      <w:vertAlign w:val="superscript"/>
                    </w:rPr>
                    <w:t>3</w:t>
                  </w:r>
                  <w:r>
                    <w:rPr>
                      <w:rFonts w:hint="eastAsia"/>
                      <w:sz w:val="18"/>
                      <w:szCs w:val="18"/>
                    </w:rPr>
                    <w:t>-产品</w:t>
                  </w:r>
                </w:p>
              </w:tc>
              <w:tc>
                <w:tcPr>
                  <w:tcW w:w="802" w:type="pct"/>
                  <w:vAlign w:val="center"/>
                </w:tcPr>
                <w:p w14:paraId="0BB81184">
                  <w:pPr>
                    <w:spacing w:line="200" w:lineRule="exact"/>
                    <w:jc w:val="center"/>
                    <w:rPr>
                      <w:rFonts w:hint="eastAsia"/>
                      <w:sz w:val="18"/>
                      <w:szCs w:val="18"/>
                    </w:rPr>
                  </w:pPr>
                  <w:r>
                    <w:rPr>
                      <w:rFonts w:hint="eastAsia"/>
                      <w:sz w:val="18"/>
                      <w:szCs w:val="18"/>
                    </w:rPr>
                    <w:t>2.08</w:t>
                  </w:r>
                </w:p>
              </w:tc>
              <w:tc>
                <w:tcPr>
                  <w:tcW w:w="415" w:type="pct"/>
                  <w:vAlign w:val="center"/>
                </w:tcPr>
                <w:p w14:paraId="4A6AF540">
                  <w:pPr>
                    <w:spacing w:line="200" w:lineRule="exact"/>
                    <w:jc w:val="center"/>
                    <w:rPr>
                      <w:rFonts w:hint="default"/>
                      <w:sz w:val="18"/>
                      <w:szCs w:val="18"/>
                      <w:lang w:val="en-US" w:eastAsia="zh-CN"/>
                    </w:rPr>
                  </w:pPr>
                  <w:r>
                    <w:rPr>
                      <w:rFonts w:hint="eastAsia"/>
                      <w:sz w:val="18"/>
                      <w:szCs w:val="18"/>
                      <w:lang w:val="en-US" w:eastAsia="zh-CN"/>
                    </w:rPr>
                    <w:t>10000</w:t>
                  </w:r>
                </w:p>
              </w:tc>
              <w:tc>
                <w:tcPr>
                  <w:tcW w:w="554" w:type="pct"/>
                  <w:vAlign w:val="center"/>
                </w:tcPr>
                <w:p w14:paraId="6089DE14">
                  <w:pPr>
                    <w:spacing w:line="200" w:lineRule="exact"/>
                    <w:jc w:val="center"/>
                    <w:rPr>
                      <w:rFonts w:hint="default" w:eastAsia="宋体"/>
                      <w:sz w:val="18"/>
                      <w:szCs w:val="18"/>
                      <w:lang w:val="en-US" w:eastAsia="zh-CN"/>
                    </w:rPr>
                  </w:pPr>
                  <w:r>
                    <w:rPr>
                      <w:rFonts w:hint="eastAsia"/>
                      <w:sz w:val="18"/>
                      <w:szCs w:val="18"/>
                      <w:lang w:val="en-US" w:eastAsia="zh-CN"/>
                    </w:rPr>
                    <w:t>20.8</w:t>
                  </w:r>
                </w:p>
              </w:tc>
            </w:tr>
          </w:tbl>
          <w:p w14:paraId="3993E58B">
            <w:pPr>
              <w:spacing w:line="360" w:lineRule="auto"/>
              <w:ind w:firstLine="420" w:firstLineChars="200"/>
              <w:rPr>
                <w:rFonts w:hint="default"/>
                <w:szCs w:val="21"/>
                <w:lang w:val="en-US" w:eastAsia="zh-CN"/>
              </w:rPr>
            </w:pPr>
            <w:r>
              <w:rPr>
                <w:rFonts w:hint="eastAsia"/>
                <w:szCs w:val="21"/>
                <w:lang w:val="en-US" w:eastAsia="zh-CN"/>
              </w:rPr>
              <w:t>由于本项目设备数量较多，</w:t>
            </w:r>
            <w:r>
              <w:rPr>
                <w:rFonts w:hint="eastAsia"/>
                <w:szCs w:val="21"/>
              </w:rPr>
              <w:t>根据加工设备特点</w:t>
            </w:r>
            <w:r>
              <w:rPr>
                <w:rFonts w:hint="eastAsia"/>
                <w:szCs w:val="21"/>
                <w:lang w:eastAsia="zh-CN"/>
              </w:rPr>
              <w:t>、</w:t>
            </w:r>
            <w:r>
              <w:rPr>
                <w:rFonts w:hint="eastAsia"/>
                <w:szCs w:val="21"/>
              </w:rPr>
              <w:t>加工方式</w:t>
            </w:r>
            <w:r>
              <w:rPr>
                <w:rFonts w:hint="eastAsia"/>
                <w:szCs w:val="21"/>
                <w:lang w:eastAsia="zh-CN"/>
              </w:rPr>
              <w:t>、</w:t>
            </w:r>
            <w:r>
              <w:rPr>
                <w:rFonts w:hint="eastAsia"/>
                <w:szCs w:val="21"/>
                <w:lang w:val="en-US" w:eastAsia="zh-CN"/>
              </w:rPr>
              <w:t>布置情况等</w:t>
            </w:r>
            <w:r>
              <w:rPr>
                <w:rFonts w:hint="eastAsia"/>
                <w:szCs w:val="21"/>
              </w:rPr>
              <w:t>，环评要求在各个设备设施加设集气设施，并将收集到的废气通入布袋除尘器净化处理，达标排放。</w:t>
            </w:r>
          </w:p>
          <w:p w14:paraId="64936E0D">
            <w:pPr>
              <w:spacing w:line="360" w:lineRule="auto"/>
              <w:ind w:firstLine="420" w:firstLineChars="200"/>
              <w:rPr>
                <w:rFonts w:hint="eastAsia"/>
                <w:szCs w:val="21"/>
                <w:lang w:val="en-US" w:eastAsia="zh-CN"/>
              </w:rPr>
            </w:pPr>
            <w:r>
              <w:rPr>
                <w:rFonts w:hint="eastAsia"/>
                <w:szCs w:val="21"/>
                <w:lang w:val="en-US" w:eastAsia="zh-CN"/>
              </w:rPr>
              <w:t>集气设施布置如下表所示。</w:t>
            </w:r>
          </w:p>
          <w:p w14:paraId="1B5F46BF">
            <w:pPr>
              <w:spacing w:line="240" w:lineRule="atLeast"/>
              <w:jc w:val="center"/>
              <w:rPr>
                <w:b/>
                <w:sz w:val="18"/>
                <w:szCs w:val="18"/>
              </w:rPr>
            </w:pPr>
            <w:r>
              <w:rPr>
                <w:b/>
                <w:sz w:val="18"/>
                <w:szCs w:val="18"/>
              </w:rPr>
              <w:t>表</w:t>
            </w:r>
            <w:r>
              <w:rPr>
                <w:rFonts w:hint="eastAsia"/>
                <w:b/>
                <w:sz w:val="18"/>
                <w:szCs w:val="18"/>
              </w:rPr>
              <w:t>4</w:t>
            </w:r>
            <w:r>
              <w:rPr>
                <w:rFonts w:hint="eastAsia"/>
                <w:b/>
                <w:sz w:val="18"/>
                <w:szCs w:val="18"/>
                <w:lang w:val="en-US" w:eastAsia="zh-CN"/>
              </w:rPr>
              <w:t>.1</w:t>
            </w:r>
            <w:r>
              <w:rPr>
                <w:rFonts w:hint="eastAsia"/>
                <w:b/>
                <w:sz w:val="18"/>
                <w:szCs w:val="18"/>
              </w:rPr>
              <w:t>-3</w:t>
            </w:r>
            <w:r>
              <w:rPr>
                <w:b/>
                <w:sz w:val="18"/>
                <w:szCs w:val="18"/>
              </w:rPr>
              <w:t xml:space="preserve">    本项目</w:t>
            </w:r>
            <w:r>
              <w:rPr>
                <w:rFonts w:hint="eastAsia"/>
                <w:b/>
                <w:sz w:val="18"/>
                <w:szCs w:val="18"/>
                <w:lang w:val="en-US" w:eastAsia="zh-CN"/>
              </w:rPr>
              <w:t>产品</w:t>
            </w:r>
            <w:r>
              <w:rPr>
                <w:b/>
                <w:sz w:val="18"/>
                <w:szCs w:val="18"/>
              </w:rPr>
              <w:t>加工产尘设备集尘方式明细表</w:t>
            </w:r>
          </w:p>
          <w:tbl>
            <w:tblPr>
              <w:tblStyle w:val="48"/>
              <w:tblW w:w="0" w:type="auto"/>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66"/>
              <w:gridCol w:w="952"/>
              <w:gridCol w:w="1134"/>
              <w:gridCol w:w="1701"/>
              <w:gridCol w:w="709"/>
              <w:gridCol w:w="1803"/>
              <w:gridCol w:w="1458"/>
            </w:tblGrid>
            <w:tr w14:paraId="45956E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5634AC7A">
                  <w:pPr>
                    <w:spacing w:line="280" w:lineRule="exact"/>
                    <w:jc w:val="center"/>
                    <w:rPr>
                      <w:rFonts w:eastAsiaTheme="minorEastAsia"/>
                      <w:sz w:val="18"/>
                      <w:szCs w:val="18"/>
                    </w:rPr>
                  </w:pPr>
                  <w:r>
                    <w:rPr>
                      <w:rFonts w:hAnsiTheme="minorEastAsia" w:eastAsiaTheme="minorEastAsia"/>
                      <w:sz w:val="18"/>
                      <w:szCs w:val="18"/>
                    </w:rPr>
                    <w:t>序号</w:t>
                  </w:r>
                </w:p>
              </w:tc>
              <w:tc>
                <w:tcPr>
                  <w:tcW w:w="2086" w:type="dxa"/>
                  <w:gridSpan w:val="2"/>
                  <w:tcMar>
                    <w:top w:w="15" w:type="dxa"/>
                    <w:left w:w="15" w:type="dxa"/>
                    <w:right w:w="15" w:type="dxa"/>
                  </w:tcMar>
                  <w:vAlign w:val="center"/>
                </w:tcPr>
                <w:p w14:paraId="3703F47D">
                  <w:pPr>
                    <w:spacing w:line="280" w:lineRule="exact"/>
                    <w:jc w:val="center"/>
                    <w:rPr>
                      <w:rFonts w:eastAsiaTheme="minorEastAsia"/>
                      <w:sz w:val="18"/>
                      <w:szCs w:val="18"/>
                    </w:rPr>
                  </w:pPr>
                  <w:r>
                    <w:rPr>
                      <w:rFonts w:eastAsiaTheme="minorEastAsia"/>
                      <w:sz w:val="18"/>
                      <w:szCs w:val="18"/>
                    </w:rPr>
                    <w:t>所属工序</w:t>
                  </w:r>
                </w:p>
              </w:tc>
              <w:tc>
                <w:tcPr>
                  <w:tcW w:w="1701" w:type="dxa"/>
                  <w:tcMar>
                    <w:top w:w="15" w:type="dxa"/>
                    <w:left w:w="15" w:type="dxa"/>
                    <w:right w:w="15" w:type="dxa"/>
                  </w:tcMar>
                  <w:vAlign w:val="center"/>
                </w:tcPr>
                <w:p w14:paraId="5BBDEDBE">
                  <w:pPr>
                    <w:spacing w:line="280" w:lineRule="exact"/>
                    <w:jc w:val="center"/>
                    <w:rPr>
                      <w:rFonts w:eastAsiaTheme="minorEastAsia"/>
                      <w:sz w:val="18"/>
                      <w:szCs w:val="18"/>
                    </w:rPr>
                  </w:pPr>
                  <w:r>
                    <w:rPr>
                      <w:rFonts w:hAnsiTheme="minorEastAsia" w:eastAsiaTheme="minorEastAsia"/>
                      <w:sz w:val="18"/>
                      <w:szCs w:val="18"/>
                    </w:rPr>
                    <w:t>设备名称</w:t>
                  </w:r>
                </w:p>
              </w:tc>
              <w:tc>
                <w:tcPr>
                  <w:tcW w:w="709" w:type="dxa"/>
                  <w:tcMar>
                    <w:top w:w="15" w:type="dxa"/>
                    <w:left w:w="15" w:type="dxa"/>
                    <w:right w:w="15" w:type="dxa"/>
                  </w:tcMar>
                  <w:vAlign w:val="center"/>
                </w:tcPr>
                <w:p w14:paraId="2D899D37">
                  <w:pPr>
                    <w:spacing w:line="280" w:lineRule="exact"/>
                    <w:jc w:val="center"/>
                    <w:rPr>
                      <w:rFonts w:eastAsiaTheme="minorEastAsia"/>
                      <w:sz w:val="18"/>
                      <w:szCs w:val="18"/>
                    </w:rPr>
                  </w:pPr>
                  <w:r>
                    <w:rPr>
                      <w:rFonts w:hAnsiTheme="minorEastAsia" w:eastAsiaTheme="minorEastAsia"/>
                      <w:sz w:val="18"/>
                      <w:szCs w:val="18"/>
                    </w:rPr>
                    <w:t>数量（套）</w:t>
                  </w:r>
                </w:p>
              </w:tc>
              <w:tc>
                <w:tcPr>
                  <w:tcW w:w="1803" w:type="dxa"/>
                  <w:tcBorders>
                    <w:right w:val="single" w:color="auto" w:sz="4" w:space="0"/>
                  </w:tcBorders>
                  <w:tcMar>
                    <w:top w:w="15" w:type="dxa"/>
                    <w:left w:w="15" w:type="dxa"/>
                    <w:right w:w="15" w:type="dxa"/>
                  </w:tcMar>
                  <w:vAlign w:val="center"/>
                </w:tcPr>
                <w:p w14:paraId="45765917">
                  <w:pPr>
                    <w:spacing w:line="280" w:lineRule="exact"/>
                    <w:jc w:val="center"/>
                    <w:rPr>
                      <w:rFonts w:eastAsiaTheme="minorEastAsia"/>
                      <w:sz w:val="18"/>
                      <w:szCs w:val="18"/>
                    </w:rPr>
                  </w:pPr>
                  <w:r>
                    <w:rPr>
                      <w:rFonts w:hint="eastAsia" w:eastAsiaTheme="minorEastAsia"/>
                      <w:sz w:val="18"/>
                      <w:szCs w:val="18"/>
                    </w:rPr>
                    <w:t>集尘</w:t>
                  </w:r>
                  <w:r>
                    <w:rPr>
                      <w:rFonts w:eastAsiaTheme="minorEastAsia"/>
                      <w:sz w:val="18"/>
                      <w:szCs w:val="18"/>
                    </w:rPr>
                    <w:t>方式</w:t>
                  </w:r>
                </w:p>
              </w:tc>
              <w:tc>
                <w:tcPr>
                  <w:tcW w:w="1458" w:type="dxa"/>
                  <w:tcBorders>
                    <w:left w:val="single" w:color="auto" w:sz="4" w:space="0"/>
                  </w:tcBorders>
                  <w:vAlign w:val="center"/>
                </w:tcPr>
                <w:p w14:paraId="52AEB7AC">
                  <w:pPr>
                    <w:spacing w:line="280" w:lineRule="exact"/>
                    <w:jc w:val="center"/>
                    <w:rPr>
                      <w:rFonts w:eastAsiaTheme="minorEastAsia"/>
                      <w:sz w:val="18"/>
                      <w:szCs w:val="18"/>
                    </w:rPr>
                  </w:pPr>
                  <w:r>
                    <w:rPr>
                      <w:rFonts w:eastAsiaTheme="minorEastAsia"/>
                      <w:sz w:val="18"/>
                      <w:szCs w:val="18"/>
                    </w:rPr>
                    <w:t>位置</w:t>
                  </w:r>
                </w:p>
              </w:tc>
            </w:tr>
            <w:tr w14:paraId="6C9CEE0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06A6E383">
                  <w:pPr>
                    <w:spacing w:line="280" w:lineRule="exact"/>
                    <w:jc w:val="center"/>
                    <w:rPr>
                      <w:rFonts w:eastAsiaTheme="minorEastAsia"/>
                      <w:sz w:val="18"/>
                      <w:szCs w:val="18"/>
                    </w:rPr>
                  </w:pPr>
                  <w:r>
                    <w:rPr>
                      <w:rFonts w:eastAsiaTheme="minorEastAsia"/>
                      <w:sz w:val="18"/>
                      <w:szCs w:val="18"/>
                    </w:rPr>
                    <w:t>1</w:t>
                  </w:r>
                </w:p>
              </w:tc>
              <w:tc>
                <w:tcPr>
                  <w:tcW w:w="952" w:type="dxa"/>
                  <w:vMerge w:val="restart"/>
                  <w:tcBorders>
                    <w:right w:val="single" w:color="auto" w:sz="4" w:space="0"/>
                  </w:tcBorders>
                  <w:tcMar>
                    <w:top w:w="15" w:type="dxa"/>
                    <w:left w:w="15" w:type="dxa"/>
                    <w:right w:w="15" w:type="dxa"/>
                  </w:tcMar>
                  <w:vAlign w:val="center"/>
                </w:tcPr>
                <w:p w14:paraId="6C924CB1">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木质产品</w:t>
                  </w:r>
                </w:p>
                <w:p w14:paraId="0FC3B22F">
                  <w:pPr>
                    <w:spacing w:line="280" w:lineRule="exact"/>
                    <w:jc w:val="center"/>
                    <w:rPr>
                      <w:rFonts w:eastAsiaTheme="minorEastAsia"/>
                      <w:sz w:val="18"/>
                      <w:szCs w:val="18"/>
                    </w:rPr>
                  </w:pPr>
                  <w:r>
                    <w:rPr>
                      <w:rFonts w:eastAsiaTheme="minorEastAsia"/>
                      <w:sz w:val="18"/>
                      <w:szCs w:val="18"/>
                    </w:rPr>
                    <w:t>下料制材</w:t>
                  </w:r>
                </w:p>
              </w:tc>
              <w:tc>
                <w:tcPr>
                  <w:tcW w:w="1134" w:type="dxa"/>
                  <w:vMerge w:val="restart"/>
                  <w:tcBorders>
                    <w:left w:val="single" w:color="auto" w:sz="4" w:space="0"/>
                  </w:tcBorders>
                  <w:vAlign w:val="center"/>
                </w:tcPr>
                <w:p w14:paraId="4275D010">
                  <w:pPr>
                    <w:spacing w:line="280" w:lineRule="exact"/>
                    <w:jc w:val="center"/>
                    <w:rPr>
                      <w:rFonts w:eastAsiaTheme="minorEastAsia"/>
                      <w:sz w:val="18"/>
                      <w:szCs w:val="18"/>
                    </w:rPr>
                  </w:pPr>
                  <w:r>
                    <w:rPr>
                      <w:rFonts w:eastAsiaTheme="minorEastAsia"/>
                      <w:sz w:val="18"/>
                      <w:szCs w:val="18"/>
                    </w:rPr>
                    <w:t>锯材</w:t>
                  </w:r>
                  <w:r>
                    <w:rPr>
                      <w:rFonts w:hint="eastAsia" w:eastAsiaTheme="minorEastAsia"/>
                      <w:sz w:val="18"/>
                      <w:szCs w:val="18"/>
                    </w:rPr>
                    <w:t>/</w:t>
                  </w:r>
                  <w:r>
                    <w:rPr>
                      <w:rFonts w:eastAsiaTheme="minorEastAsia"/>
                      <w:sz w:val="18"/>
                      <w:szCs w:val="18"/>
                    </w:rPr>
                    <w:t>切割</w:t>
                  </w:r>
                </w:p>
              </w:tc>
              <w:tc>
                <w:tcPr>
                  <w:tcW w:w="1701" w:type="dxa"/>
                  <w:tcMar>
                    <w:top w:w="15" w:type="dxa"/>
                    <w:left w:w="15" w:type="dxa"/>
                    <w:right w:w="15" w:type="dxa"/>
                  </w:tcMar>
                  <w:vAlign w:val="center"/>
                </w:tcPr>
                <w:p w14:paraId="6F58FC54">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数控带锯机</w:t>
                  </w:r>
                </w:p>
              </w:tc>
              <w:tc>
                <w:tcPr>
                  <w:tcW w:w="709" w:type="dxa"/>
                  <w:tcMar>
                    <w:top w:w="15" w:type="dxa"/>
                    <w:left w:w="15" w:type="dxa"/>
                    <w:right w:w="15" w:type="dxa"/>
                  </w:tcMar>
                  <w:vAlign w:val="center"/>
                </w:tcPr>
                <w:p w14:paraId="52B819C7">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1</w:t>
                  </w:r>
                </w:p>
              </w:tc>
              <w:tc>
                <w:tcPr>
                  <w:tcW w:w="1803" w:type="dxa"/>
                  <w:vMerge w:val="restart"/>
                  <w:tcBorders>
                    <w:right w:val="single" w:color="auto" w:sz="4" w:space="0"/>
                  </w:tcBorders>
                  <w:tcMar>
                    <w:top w:w="15" w:type="dxa"/>
                    <w:left w:w="15" w:type="dxa"/>
                    <w:right w:w="15" w:type="dxa"/>
                  </w:tcMar>
                  <w:vAlign w:val="center"/>
                </w:tcPr>
                <w:p w14:paraId="366A96E2">
                  <w:pPr>
                    <w:spacing w:line="280" w:lineRule="exact"/>
                    <w:jc w:val="center"/>
                    <w:rPr>
                      <w:rFonts w:eastAsiaTheme="minorEastAsia"/>
                      <w:sz w:val="18"/>
                      <w:szCs w:val="18"/>
                    </w:rPr>
                  </w:pPr>
                  <w:r>
                    <w:rPr>
                      <w:rFonts w:hint="eastAsia" w:eastAsiaTheme="minorEastAsia"/>
                      <w:sz w:val="18"/>
                      <w:szCs w:val="18"/>
                    </w:rPr>
                    <w:t>每套设备</w:t>
                  </w:r>
                  <w:r>
                    <w:rPr>
                      <w:rFonts w:hint="eastAsia" w:eastAsiaTheme="minorEastAsia"/>
                      <w:sz w:val="18"/>
                      <w:szCs w:val="18"/>
                      <w:lang w:val="en-US" w:eastAsia="zh-CN"/>
                    </w:rPr>
                    <w:t>工作面</w:t>
                  </w:r>
                  <w:r>
                    <w:rPr>
                      <w:rFonts w:hint="eastAsia" w:eastAsiaTheme="minorEastAsia"/>
                      <w:sz w:val="18"/>
                      <w:szCs w:val="18"/>
                    </w:rPr>
                    <w:t>上方设</w:t>
                  </w:r>
                  <w:r>
                    <w:rPr>
                      <w:rFonts w:hint="eastAsia" w:eastAsiaTheme="minorEastAsia"/>
                      <w:sz w:val="18"/>
                      <w:szCs w:val="18"/>
                      <w:lang w:val="en-US" w:eastAsia="zh-CN"/>
                    </w:rPr>
                    <w:t>矩形</w:t>
                  </w:r>
                  <w:r>
                    <w:rPr>
                      <w:rFonts w:hint="eastAsia" w:eastAsiaTheme="minorEastAsia"/>
                      <w:sz w:val="18"/>
                      <w:szCs w:val="18"/>
                    </w:rPr>
                    <w:t>集尘罩，共</w:t>
                  </w:r>
                  <w:r>
                    <w:rPr>
                      <w:rFonts w:hint="eastAsia" w:eastAsiaTheme="minorEastAsia"/>
                      <w:sz w:val="18"/>
                      <w:szCs w:val="18"/>
                      <w:lang w:val="en-US" w:eastAsia="zh-CN"/>
                    </w:rPr>
                    <w:t>3</w:t>
                  </w:r>
                  <w:r>
                    <w:rPr>
                      <w:rFonts w:hint="eastAsia" w:eastAsiaTheme="minorEastAsia"/>
                      <w:sz w:val="18"/>
                      <w:szCs w:val="18"/>
                    </w:rPr>
                    <w:t>套</w:t>
                  </w:r>
                </w:p>
              </w:tc>
              <w:tc>
                <w:tcPr>
                  <w:tcW w:w="1458" w:type="dxa"/>
                  <w:vMerge w:val="restart"/>
                  <w:tcBorders>
                    <w:left w:val="single" w:color="auto" w:sz="4" w:space="0"/>
                  </w:tcBorders>
                  <w:vAlign w:val="center"/>
                </w:tcPr>
                <w:p w14:paraId="5CECD260">
                  <w:pPr>
                    <w:spacing w:line="280" w:lineRule="exact"/>
                    <w:jc w:val="center"/>
                    <w:rPr>
                      <w:rFonts w:eastAsiaTheme="minorEastAsia"/>
                      <w:sz w:val="18"/>
                      <w:szCs w:val="18"/>
                    </w:rPr>
                  </w:pPr>
                  <w:r>
                    <w:rPr>
                      <w:rFonts w:hint="eastAsia" w:eastAsiaTheme="minorEastAsia"/>
                      <w:sz w:val="18"/>
                      <w:szCs w:val="18"/>
                      <w:lang w:val="en-US" w:eastAsia="zh-CN"/>
                    </w:rPr>
                    <w:t>五</w:t>
                  </w:r>
                  <w:r>
                    <w:rPr>
                      <w:rFonts w:eastAsiaTheme="minorEastAsia"/>
                      <w:sz w:val="18"/>
                      <w:szCs w:val="18"/>
                    </w:rPr>
                    <w:t>车间</w:t>
                  </w:r>
                </w:p>
              </w:tc>
            </w:tr>
            <w:tr w14:paraId="05281C7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16CD5B8D">
                  <w:pPr>
                    <w:spacing w:line="280" w:lineRule="exact"/>
                    <w:jc w:val="center"/>
                    <w:rPr>
                      <w:rFonts w:eastAsiaTheme="minorEastAsia"/>
                      <w:sz w:val="18"/>
                      <w:szCs w:val="18"/>
                    </w:rPr>
                  </w:pPr>
                  <w:r>
                    <w:rPr>
                      <w:rFonts w:eastAsiaTheme="minorEastAsia"/>
                      <w:sz w:val="18"/>
                      <w:szCs w:val="18"/>
                    </w:rPr>
                    <w:t>2</w:t>
                  </w:r>
                </w:p>
              </w:tc>
              <w:tc>
                <w:tcPr>
                  <w:tcW w:w="952" w:type="dxa"/>
                  <w:vMerge w:val="continue"/>
                  <w:tcBorders>
                    <w:right w:val="single" w:color="auto" w:sz="4" w:space="0"/>
                  </w:tcBorders>
                  <w:tcMar>
                    <w:top w:w="15" w:type="dxa"/>
                    <w:left w:w="15" w:type="dxa"/>
                    <w:right w:w="15" w:type="dxa"/>
                  </w:tcMar>
                  <w:vAlign w:val="center"/>
                </w:tcPr>
                <w:p w14:paraId="10871AC2">
                  <w:pPr>
                    <w:spacing w:line="280" w:lineRule="exact"/>
                    <w:jc w:val="center"/>
                    <w:rPr>
                      <w:rFonts w:eastAsiaTheme="minorEastAsia"/>
                      <w:sz w:val="18"/>
                      <w:szCs w:val="18"/>
                    </w:rPr>
                  </w:pPr>
                </w:p>
              </w:tc>
              <w:tc>
                <w:tcPr>
                  <w:tcW w:w="1134" w:type="dxa"/>
                  <w:vMerge w:val="continue"/>
                  <w:tcBorders>
                    <w:left w:val="single" w:color="auto" w:sz="4" w:space="0"/>
                  </w:tcBorders>
                  <w:vAlign w:val="center"/>
                </w:tcPr>
                <w:p w14:paraId="26A5A634">
                  <w:pPr>
                    <w:spacing w:line="280" w:lineRule="exact"/>
                    <w:jc w:val="center"/>
                    <w:rPr>
                      <w:rFonts w:eastAsiaTheme="minorEastAsia"/>
                      <w:sz w:val="18"/>
                      <w:szCs w:val="18"/>
                    </w:rPr>
                  </w:pPr>
                </w:p>
              </w:tc>
              <w:tc>
                <w:tcPr>
                  <w:tcW w:w="1701" w:type="dxa"/>
                  <w:tcMar>
                    <w:top w:w="15" w:type="dxa"/>
                    <w:left w:w="15" w:type="dxa"/>
                    <w:right w:w="15" w:type="dxa"/>
                  </w:tcMar>
                  <w:vAlign w:val="center"/>
                </w:tcPr>
                <w:p w14:paraId="2CFA7B3E">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精密推台锯</w:t>
                  </w:r>
                </w:p>
              </w:tc>
              <w:tc>
                <w:tcPr>
                  <w:tcW w:w="709" w:type="dxa"/>
                  <w:tcMar>
                    <w:top w:w="15" w:type="dxa"/>
                    <w:left w:w="15" w:type="dxa"/>
                    <w:right w:w="15" w:type="dxa"/>
                  </w:tcMar>
                  <w:vAlign w:val="center"/>
                </w:tcPr>
                <w:p w14:paraId="374B9E75">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159B9ADF">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0982721F">
                  <w:pPr>
                    <w:spacing w:line="280" w:lineRule="exact"/>
                    <w:jc w:val="center"/>
                    <w:rPr>
                      <w:rFonts w:eastAsiaTheme="minorEastAsia"/>
                      <w:sz w:val="18"/>
                      <w:szCs w:val="18"/>
                    </w:rPr>
                  </w:pPr>
                </w:p>
              </w:tc>
            </w:tr>
            <w:tr w14:paraId="0952B1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50B6C6E6">
                  <w:pPr>
                    <w:spacing w:line="280" w:lineRule="exact"/>
                    <w:jc w:val="center"/>
                    <w:rPr>
                      <w:rFonts w:eastAsiaTheme="minorEastAsia"/>
                      <w:sz w:val="18"/>
                      <w:szCs w:val="18"/>
                    </w:rPr>
                  </w:pPr>
                  <w:r>
                    <w:rPr>
                      <w:rFonts w:eastAsiaTheme="minorEastAsia"/>
                      <w:sz w:val="18"/>
                      <w:szCs w:val="18"/>
                    </w:rPr>
                    <w:t>3</w:t>
                  </w:r>
                </w:p>
              </w:tc>
              <w:tc>
                <w:tcPr>
                  <w:tcW w:w="952" w:type="dxa"/>
                  <w:vMerge w:val="continue"/>
                  <w:tcBorders>
                    <w:right w:val="single" w:color="auto" w:sz="4" w:space="0"/>
                  </w:tcBorders>
                  <w:tcMar>
                    <w:top w:w="15" w:type="dxa"/>
                    <w:left w:w="15" w:type="dxa"/>
                    <w:right w:w="15" w:type="dxa"/>
                  </w:tcMar>
                  <w:vAlign w:val="center"/>
                </w:tcPr>
                <w:p w14:paraId="50C2C299">
                  <w:pPr>
                    <w:spacing w:line="280" w:lineRule="exact"/>
                    <w:jc w:val="center"/>
                    <w:rPr>
                      <w:rFonts w:eastAsiaTheme="minorEastAsia"/>
                      <w:sz w:val="18"/>
                      <w:szCs w:val="18"/>
                    </w:rPr>
                  </w:pPr>
                </w:p>
              </w:tc>
              <w:tc>
                <w:tcPr>
                  <w:tcW w:w="1134" w:type="dxa"/>
                  <w:tcBorders>
                    <w:left w:val="single" w:color="auto" w:sz="4" w:space="0"/>
                  </w:tcBorders>
                  <w:vAlign w:val="center"/>
                </w:tcPr>
                <w:p w14:paraId="0FAC0B03">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刨光</w:t>
                  </w:r>
                </w:p>
              </w:tc>
              <w:tc>
                <w:tcPr>
                  <w:tcW w:w="1701" w:type="dxa"/>
                  <w:tcMar>
                    <w:top w:w="15" w:type="dxa"/>
                    <w:left w:w="15" w:type="dxa"/>
                    <w:right w:w="15" w:type="dxa"/>
                  </w:tcMar>
                  <w:vAlign w:val="center"/>
                </w:tcPr>
                <w:p w14:paraId="4F550A8D">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重型四面刨</w:t>
                  </w:r>
                </w:p>
              </w:tc>
              <w:tc>
                <w:tcPr>
                  <w:tcW w:w="709" w:type="dxa"/>
                  <w:tcMar>
                    <w:top w:w="15" w:type="dxa"/>
                    <w:left w:w="15" w:type="dxa"/>
                    <w:right w:w="15" w:type="dxa"/>
                  </w:tcMar>
                  <w:vAlign w:val="center"/>
                </w:tcPr>
                <w:p w14:paraId="4F3FCAD8">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73EFBFD9">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38F08594">
                  <w:pPr>
                    <w:spacing w:line="280" w:lineRule="exact"/>
                    <w:jc w:val="center"/>
                    <w:rPr>
                      <w:rFonts w:eastAsiaTheme="minorEastAsia"/>
                      <w:sz w:val="18"/>
                      <w:szCs w:val="18"/>
                    </w:rPr>
                  </w:pPr>
                </w:p>
              </w:tc>
            </w:tr>
            <w:tr w14:paraId="0A3EC1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29D59D3C">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4</w:t>
                  </w:r>
                </w:p>
              </w:tc>
              <w:tc>
                <w:tcPr>
                  <w:tcW w:w="952" w:type="dxa"/>
                  <w:vMerge w:val="restart"/>
                  <w:tcBorders>
                    <w:right w:val="single" w:color="auto" w:sz="4" w:space="0"/>
                  </w:tcBorders>
                  <w:tcMar>
                    <w:top w:w="15" w:type="dxa"/>
                    <w:left w:w="15" w:type="dxa"/>
                    <w:right w:w="15" w:type="dxa"/>
                  </w:tcMar>
                  <w:vAlign w:val="center"/>
                </w:tcPr>
                <w:p w14:paraId="31CBF25C">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木质产品</w:t>
                  </w:r>
                </w:p>
                <w:p w14:paraId="48DA9260">
                  <w:pPr>
                    <w:spacing w:line="280" w:lineRule="exact"/>
                    <w:jc w:val="center"/>
                    <w:rPr>
                      <w:rFonts w:eastAsiaTheme="minorEastAsia"/>
                      <w:color w:val="FF0000"/>
                      <w:sz w:val="18"/>
                      <w:szCs w:val="18"/>
                    </w:rPr>
                  </w:pPr>
                  <w:r>
                    <w:rPr>
                      <w:rFonts w:eastAsiaTheme="minorEastAsia"/>
                      <w:sz w:val="18"/>
                      <w:szCs w:val="18"/>
                    </w:rPr>
                    <w:t>机加工</w:t>
                  </w:r>
                </w:p>
              </w:tc>
              <w:tc>
                <w:tcPr>
                  <w:tcW w:w="1134" w:type="dxa"/>
                  <w:vMerge w:val="restart"/>
                  <w:tcBorders>
                    <w:left w:val="single" w:color="auto" w:sz="4" w:space="0"/>
                  </w:tcBorders>
                  <w:vAlign w:val="center"/>
                </w:tcPr>
                <w:p w14:paraId="40429409">
                  <w:pPr>
                    <w:spacing w:line="280" w:lineRule="exact"/>
                    <w:jc w:val="center"/>
                    <w:rPr>
                      <w:rFonts w:eastAsiaTheme="minorEastAsia"/>
                      <w:color w:val="FF0000"/>
                      <w:sz w:val="18"/>
                      <w:szCs w:val="18"/>
                    </w:rPr>
                  </w:pPr>
                  <w:r>
                    <w:rPr>
                      <w:rFonts w:eastAsiaTheme="minorEastAsia"/>
                      <w:sz w:val="18"/>
                      <w:szCs w:val="18"/>
                    </w:rPr>
                    <w:t>开榫</w:t>
                  </w:r>
                </w:p>
              </w:tc>
              <w:tc>
                <w:tcPr>
                  <w:tcW w:w="1701" w:type="dxa"/>
                  <w:tcMar>
                    <w:top w:w="15" w:type="dxa"/>
                    <w:left w:w="15" w:type="dxa"/>
                    <w:right w:w="15" w:type="dxa"/>
                  </w:tcMar>
                  <w:vAlign w:val="center"/>
                </w:tcPr>
                <w:p w14:paraId="4E1F8314">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数控开榫机</w:t>
                  </w:r>
                </w:p>
              </w:tc>
              <w:tc>
                <w:tcPr>
                  <w:tcW w:w="709" w:type="dxa"/>
                  <w:tcMar>
                    <w:top w:w="15" w:type="dxa"/>
                    <w:left w:w="15" w:type="dxa"/>
                    <w:right w:w="15" w:type="dxa"/>
                  </w:tcMar>
                  <w:vAlign w:val="center"/>
                </w:tcPr>
                <w:p w14:paraId="145862A8">
                  <w:pPr>
                    <w:spacing w:line="280" w:lineRule="exact"/>
                    <w:jc w:val="center"/>
                    <w:rPr>
                      <w:rFonts w:eastAsiaTheme="minorEastAsia"/>
                      <w:sz w:val="18"/>
                      <w:szCs w:val="18"/>
                    </w:rPr>
                  </w:pPr>
                  <w:r>
                    <w:rPr>
                      <w:rFonts w:hint="eastAsia" w:eastAsiaTheme="minorEastAsia"/>
                      <w:sz w:val="18"/>
                      <w:szCs w:val="18"/>
                      <w:lang w:val="en-US" w:eastAsia="zh-CN"/>
                    </w:rPr>
                    <w:t>1</w:t>
                  </w:r>
                </w:p>
              </w:tc>
              <w:tc>
                <w:tcPr>
                  <w:tcW w:w="1803" w:type="dxa"/>
                  <w:vMerge w:val="restart"/>
                  <w:tcBorders>
                    <w:right w:val="single" w:color="auto" w:sz="4" w:space="0"/>
                  </w:tcBorders>
                  <w:tcMar>
                    <w:top w:w="15" w:type="dxa"/>
                    <w:left w:w="15" w:type="dxa"/>
                    <w:right w:w="15" w:type="dxa"/>
                  </w:tcMar>
                  <w:vAlign w:val="center"/>
                </w:tcPr>
                <w:p w14:paraId="4AEA1F31">
                  <w:pPr>
                    <w:spacing w:line="280" w:lineRule="exact"/>
                    <w:jc w:val="center"/>
                    <w:rPr>
                      <w:rFonts w:eastAsiaTheme="minorEastAsia"/>
                      <w:sz w:val="18"/>
                      <w:szCs w:val="18"/>
                    </w:rPr>
                  </w:pPr>
                  <w:r>
                    <w:rPr>
                      <w:rFonts w:hint="eastAsia" w:eastAsiaTheme="minorEastAsia"/>
                      <w:sz w:val="18"/>
                      <w:szCs w:val="18"/>
                    </w:rPr>
                    <w:t>每套设备</w:t>
                  </w:r>
                  <w:r>
                    <w:rPr>
                      <w:rFonts w:hint="eastAsia" w:eastAsiaTheme="minorEastAsia"/>
                      <w:sz w:val="18"/>
                      <w:szCs w:val="18"/>
                      <w:lang w:val="en-US" w:eastAsia="zh-CN"/>
                    </w:rPr>
                    <w:t>工作面</w:t>
                  </w:r>
                  <w:r>
                    <w:rPr>
                      <w:rFonts w:hint="eastAsia" w:eastAsiaTheme="minorEastAsia"/>
                      <w:sz w:val="18"/>
                      <w:szCs w:val="18"/>
                    </w:rPr>
                    <w:t>上方设</w:t>
                  </w:r>
                  <w:r>
                    <w:rPr>
                      <w:rFonts w:hint="eastAsia" w:eastAsiaTheme="minorEastAsia"/>
                      <w:sz w:val="18"/>
                      <w:szCs w:val="18"/>
                      <w:lang w:val="en-US" w:eastAsia="zh-CN"/>
                    </w:rPr>
                    <w:t>矩形</w:t>
                  </w:r>
                  <w:r>
                    <w:rPr>
                      <w:rFonts w:hint="eastAsia" w:eastAsiaTheme="minorEastAsia"/>
                      <w:sz w:val="18"/>
                      <w:szCs w:val="18"/>
                    </w:rPr>
                    <w:t>集尘罩，共</w:t>
                  </w:r>
                  <w:r>
                    <w:rPr>
                      <w:rFonts w:hint="eastAsia" w:eastAsiaTheme="minorEastAsia"/>
                      <w:sz w:val="18"/>
                      <w:szCs w:val="18"/>
                      <w:lang w:val="en-US" w:eastAsia="zh-CN"/>
                    </w:rPr>
                    <w:t>3</w:t>
                  </w:r>
                  <w:r>
                    <w:rPr>
                      <w:rFonts w:hint="eastAsia" w:eastAsiaTheme="minorEastAsia"/>
                      <w:sz w:val="18"/>
                      <w:szCs w:val="18"/>
                    </w:rPr>
                    <w:t>套</w:t>
                  </w:r>
                </w:p>
              </w:tc>
              <w:tc>
                <w:tcPr>
                  <w:tcW w:w="1458" w:type="dxa"/>
                  <w:vMerge w:val="restart"/>
                  <w:tcBorders>
                    <w:left w:val="single" w:color="auto" w:sz="4" w:space="0"/>
                  </w:tcBorders>
                  <w:vAlign w:val="center"/>
                </w:tcPr>
                <w:p w14:paraId="581C65AB">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四车间</w:t>
                  </w:r>
                </w:p>
              </w:tc>
            </w:tr>
            <w:tr w14:paraId="0FE641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589408C3">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5</w:t>
                  </w:r>
                </w:p>
              </w:tc>
              <w:tc>
                <w:tcPr>
                  <w:tcW w:w="952" w:type="dxa"/>
                  <w:vMerge w:val="continue"/>
                  <w:tcBorders>
                    <w:right w:val="single" w:color="auto" w:sz="4" w:space="0"/>
                  </w:tcBorders>
                  <w:tcMar>
                    <w:top w:w="15" w:type="dxa"/>
                    <w:left w:w="15" w:type="dxa"/>
                    <w:right w:w="15" w:type="dxa"/>
                  </w:tcMar>
                  <w:vAlign w:val="center"/>
                </w:tcPr>
                <w:p w14:paraId="73092417">
                  <w:pPr>
                    <w:spacing w:line="280" w:lineRule="exact"/>
                    <w:jc w:val="center"/>
                    <w:rPr>
                      <w:rFonts w:eastAsiaTheme="minorEastAsia"/>
                      <w:sz w:val="18"/>
                      <w:szCs w:val="18"/>
                    </w:rPr>
                  </w:pPr>
                </w:p>
              </w:tc>
              <w:tc>
                <w:tcPr>
                  <w:tcW w:w="1134" w:type="dxa"/>
                  <w:vMerge w:val="continue"/>
                  <w:tcBorders>
                    <w:left w:val="single" w:color="auto" w:sz="4" w:space="0"/>
                  </w:tcBorders>
                  <w:vAlign w:val="center"/>
                </w:tcPr>
                <w:p w14:paraId="4F524D4F">
                  <w:pPr>
                    <w:spacing w:line="280" w:lineRule="exact"/>
                    <w:jc w:val="center"/>
                    <w:rPr>
                      <w:rFonts w:eastAsiaTheme="minorEastAsia"/>
                      <w:sz w:val="18"/>
                      <w:szCs w:val="18"/>
                    </w:rPr>
                  </w:pPr>
                </w:p>
              </w:tc>
              <w:tc>
                <w:tcPr>
                  <w:tcW w:w="1701" w:type="dxa"/>
                  <w:tcMar>
                    <w:top w:w="15" w:type="dxa"/>
                    <w:left w:w="15" w:type="dxa"/>
                    <w:right w:w="15" w:type="dxa"/>
                  </w:tcMar>
                  <w:vAlign w:val="center"/>
                </w:tcPr>
                <w:p w14:paraId="468057F8">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榫槽机</w:t>
                  </w:r>
                </w:p>
              </w:tc>
              <w:tc>
                <w:tcPr>
                  <w:tcW w:w="709" w:type="dxa"/>
                  <w:tcMar>
                    <w:top w:w="15" w:type="dxa"/>
                    <w:left w:w="15" w:type="dxa"/>
                    <w:right w:w="15" w:type="dxa"/>
                  </w:tcMar>
                  <w:vAlign w:val="center"/>
                </w:tcPr>
                <w:p w14:paraId="25339117">
                  <w:pPr>
                    <w:spacing w:line="280" w:lineRule="exact"/>
                    <w:jc w:val="center"/>
                    <w:rPr>
                      <w:rFonts w:eastAsiaTheme="minorEastAsia"/>
                      <w:sz w:val="18"/>
                      <w:szCs w:val="18"/>
                    </w:rPr>
                  </w:pPr>
                  <w:r>
                    <w:rPr>
                      <w:rFonts w:hint="eastAsia"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03FF4C0F">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57CEEFE8">
                  <w:pPr>
                    <w:spacing w:line="280" w:lineRule="exact"/>
                    <w:jc w:val="center"/>
                    <w:rPr>
                      <w:rFonts w:eastAsiaTheme="minorEastAsia"/>
                      <w:sz w:val="18"/>
                      <w:szCs w:val="18"/>
                    </w:rPr>
                  </w:pPr>
                </w:p>
              </w:tc>
            </w:tr>
            <w:tr w14:paraId="4C7811C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0ED7717D">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6</w:t>
                  </w:r>
                </w:p>
              </w:tc>
              <w:tc>
                <w:tcPr>
                  <w:tcW w:w="952" w:type="dxa"/>
                  <w:vMerge w:val="continue"/>
                  <w:tcBorders>
                    <w:right w:val="single" w:color="auto" w:sz="4" w:space="0"/>
                  </w:tcBorders>
                  <w:tcMar>
                    <w:top w:w="15" w:type="dxa"/>
                    <w:left w:w="15" w:type="dxa"/>
                    <w:right w:w="15" w:type="dxa"/>
                  </w:tcMar>
                  <w:vAlign w:val="center"/>
                </w:tcPr>
                <w:p w14:paraId="7B8659A5">
                  <w:pPr>
                    <w:spacing w:line="280" w:lineRule="exact"/>
                    <w:jc w:val="center"/>
                    <w:rPr>
                      <w:rFonts w:eastAsiaTheme="minorEastAsia"/>
                      <w:sz w:val="18"/>
                      <w:szCs w:val="18"/>
                    </w:rPr>
                  </w:pPr>
                </w:p>
              </w:tc>
              <w:tc>
                <w:tcPr>
                  <w:tcW w:w="1134" w:type="dxa"/>
                  <w:tcBorders>
                    <w:left w:val="single" w:color="auto" w:sz="4" w:space="0"/>
                  </w:tcBorders>
                  <w:shd w:val="clear" w:color="auto" w:fill="auto"/>
                  <w:vAlign w:val="center"/>
                </w:tcPr>
                <w:p w14:paraId="6710B241">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铣型</w:t>
                  </w:r>
                </w:p>
              </w:tc>
              <w:tc>
                <w:tcPr>
                  <w:tcW w:w="1701" w:type="dxa"/>
                  <w:shd w:val="clear" w:color="auto" w:fill="auto"/>
                  <w:tcMar>
                    <w:top w:w="15" w:type="dxa"/>
                    <w:left w:w="15" w:type="dxa"/>
                    <w:right w:w="15" w:type="dxa"/>
                  </w:tcMar>
                  <w:vAlign w:val="center"/>
                </w:tcPr>
                <w:p w14:paraId="49076C69">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单立轴铣床</w:t>
                  </w:r>
                </w:p>
              </w:tc>
              <w:tc>
                <w:tcPr>
                  <w:tcW w:w="709" w:type="dxa"/>
                  <w:shd w:val="clear" w:color="auto" w:fill="auto"/>
                  <w:tcMar>
                    <w:top w:w="15" w:type="dxa"/>
                    <w:left w:w="15" w:type="dxa"/>
                    <w:right w:w="15" w:type="dxa"/>
                  </w:tcMar>
                  <w:vAlign w:val="center"/>
                </w:tcPr>
                <w:p w14:paraId="274CAE4A">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42748B4E">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511E53DC">
                  <w:pPr>
                    <w:spacing w:line="280" w:lineRule="exact"/>
                    <w:jc w:val="center"/>
                    <w:rPr>
                      <w:rFonts w:hint="eastAsia" w:eastAsiaTheme="minorEastAsia"/>
                      <w:sz w:val="18"/>
                      <w:szCs w:val="18"/>
                      <w:lang w:val="en-US" w:eastAsia="zh-CN"/>
                    </w:rPr>
                  </w:pPr>
                </w:p>
              </w:tc>
            </w:tr>
            <w:tr w14:paraId="28011C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43D015D8">
                  <w:pPr>
                    <w:spacing w:line="280" w:lineRule="exact"/>
                    <w:jc w:val="center"/>
                    <w:rPr>
                      <w:rFonts w:eastAsiaTheme="minorEastAsia"/>
                      <w:sz w:val="18"/>
                      <w:szCs w:val="18"/>
                    </w:rPr>
                  </w:pPr>
                  <w:r>
                    <w:rPr>
                      <w:rFonts w:hint="eastAsia" w:eastAsiaTheme="minorEastAsia"/>
                      <w:sz w:val="18"/>
                      <w:szCs w:val="18"/>
                      <w:lang w:val="en-US" w:eastAsia="zh-CN"/>
                    </w:rPr>
                    <w:t>7</w:t>
                  </w:r>
                </w:p>
              </w:tc>
              <w:tc>
                <w:tcPr>
                  <w:tcW w:w="952" w:type="dxa"/>
                  <w:vMerge w:val="continue"/>
                  <w:tcBorders>
                    <w:right w:val="single" w:color="auto" w:sz="4" w:space="0"/>
                  </w:tcBorders>
                  <w:tcMar>
                    <w:top w:w="15" w:type="dxa"/>
                    <w:left w:w="15" w:type="dxa"/>
                    <w:right w:w="15" w:type="dxa"/>
                  </w:tcMar>
                  <w:vAlign w:val="center"/>
                </w:tcPr>
                <w:p w14:paraId="358BFBCE">
                  <w:pPr>
                    <w:spacing w:line="280" w:lineRule="exact"/>
                    <w:jc w:val="center"/>
                    <w:rPr>
                      <w:rFonts w:eastAsiaTheme="minorEastAsia"/>
                      <w:sz w:val="18"/>
                      <w:szCs w:val="18"/>
                    </w:rPr>
                  </w:pPr>
                </w:p>
              </w:tc>
              <w:tc>
                <w:tcPr>
                  <w:tcW w:w="1134" w:type="dxa"/>
                  <w:vMerge w:val="restart"/>
                  <w:tcBorders>
                    <w:left w:val="single" w:color="auto" w:sz="4" w:space="0"/>
                  </w:tcBorders>
                  <w:vAlign w:val="center"/>
                </w:tcPr>
                <w:p w14:paraId="0CF3DB29">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雕刻</w:t>
                  </w:r>
                </w:p>
              </w:tc>
              <w:tc>
                <w:tcPr>
                  <w:tcW w:w="1701" w:type="dxa"/>
                  <w:tcMar>
                    <w:top w:w="15" w:type="dxa"/>
                    <w:left w:w="15" w:type="dxa"/>
                    <w:right w:w="15" w:type="dxa"/>
                  </w:tcMar>
                  <w:vAlign w:val="center"/>
                </w:tcPr>
                <w:p w14:paraId="2D787B66">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CNC木工雕刻机</w:t>
                  </w:r>
                </w:p>
              </w:tc>
              <w:tc>
                <w:tcPr>
                  <w:tcW w:w="709" w:type="dxa"/>
                  <w:tcMar>
                    <w:top w:w="15" w:type="dxa"/>
                    <w:left w:w="15" w:type="dxa"/>
                    <w:right w:w="15" w:type="dxa"/>
                  </w:tcMar>
                  <w:vAlign w:val="center"/>
                </w:tcPr>
                <w:p w14:paraId="7036A0E2">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2</w:t>
                  </w:r>
                </w:p>
              </w:tc>
              <w:tc>
                <w:tcPr>
                  <w:tcW w:w="1803" w:type="dxa"/>
                  <w:vMerge w:val="restart"/>
                  <w:tcBorders>
                    <w:right w:val="single" w:color="auto" w:sz="4" w:space="0"/>
                  </w:tcBorders>
                  <w:tcMar>
                    <w:top w:w="15" w:type="dxa"/>
                    <w:left w:w="15" w:type="dxa"/>
                    <w:right w:w="15" w:type="dxa"/>
                  </w:tcMar>
                  <w:vAlign w:val="center"/>
                </w:tcPr>
                <w:p w14:paraId="220AB1FC">
                  <w:pPr>
                    <w:spacing w:line="280" w:lineRule="exact"/>
                    <w:jc w:val="center"/>
                    <w:rPr>
                      <w:rFonts w:eastAsiaTheme="minorEastAsia"/>
                      <w:sz w:val="18"/>
                      <w:szCs w:val="18"/>
                    </w:rPr>
                  </w:pPr>
                  <w:r>
                    <w:rPr>
                      <w:rFonts w:hint="eastAsia" w:eastAsiaTheme="minorEastAsia"/>
                      <w:sz w:val="18"/>
                      <w:szCs w:val="18"/>
                    </w:rPr>
                    <w:t>每套设备</w:t>
                  </w:r>
                  <w:r>
                    <w:rPr>
                      <w:rFonts w:hint="eastAsia" w:eastAsiaTheme="minorEastAsia"/>
                      <w:sz w:val="18"/>
                      <w:szCs w:val="18"/>
                      <w:lang w:val="en-US" w:eastAsia="zh-CN"/>
                    </w:rPr>
                    <w:t>工作面</w:t>
                  </w:r>
                  <w:r>
                    <w:rPr>
                      <w:rFonts w:hint="eastAsia" w:eastAsiaTheme="minorEastAsia"/>
                      <w:sz w:val="18"/>
                      <w:szCs w:val="18"/>
                    </w:rPr>
                    <w:t>上方设</w:t>
                  </w:r>
                  <w:r>
                    <w:rPr>
                      <w:rFonts w:hint="eastAsia" w:eastAsiaTheme="minorEastAsia"/>
                      <w:sz w:val="18"/>
                      <w:szCs w:val="18"/>
                      <w:lang w:val="en-US" w:eastAsia="zh-CN"/>
                    </w:rPr>
                    <w:t>矩形</w:t>
                  </w:r>
                  <w:r>
                    <w:rPr>
                      <w:rFonts w:hint="eastAsia" w:eastAsiaTheme="minorEastAsia"/>
                      <w:sz w:val="18"/>
                      <w:szCs w:val="18"/>
                    </w:rPr>
                    <w:t>集尘罩，共</w:t>
                  </w:r>
                  <w:r>
                    <w:rPr>
                      <w:rFonts w:hint="eastAsia" w:eastAsiaTheme="minorEastAsia"/>
                      <w:sz w:val="18"/>
                      <w:szCs w:val="18"/>
                      <w:lang w:val="en-US" w:eastAsia="zh-CN"/>
                    </w:rPr>
                    <w:t>3</w:t>
                  </w:r>
                  <w:r>
                    <w:rPr>
                      <w:rFonts w:hint="eastAsia" w:eastAsiaTheme="minorEastAsia"/>
                      <w:sz w:val="18"/>
                      <w:szCs w:val="18"/>
                    </w:rPr>
                    <w:t>套</w:t>
                  </w:r>
                </w:p>
              </w:tc>
              <w:tc>
                <w:tcPr>
                  <w:tcW w:w="1458" w:type="dxa"/>
                  <w:vMerge w:val="restart"/>
                  <w:tcBorders>
                    <w:left w:val="single" w:color="auto" w:sz="4" w:space="0"/>
                  </w:tcBorders>
                  <w:vAlign w:val="center"/>
                </w:tcPr>
                <w:p w14:paraId="2B4CB5A0">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三车间</w:t>
                  </w:r>
                </w:p>
              </w:tc>
            </w:tr>
            <w:tr w14:paraId="631BC5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67" w:hRule="atLeast"/>
              </w:trPr>
              <w:tc>
                <w:tcPr>
                  <w:tcW w:w="266" w:type="dxa"/>
                  <w:tcMar>
                    <w:top w:w="15" w:type="dxa"/>
                    <w:left w:w="15" w:type="dxa"/>
                    <w:right w:w="15" w:type="dxa"/>
                  </w:tcMar>
                  <w:vAlign w:val="center"/>
                </w:tcPr>
                <w:p w14:paraId="0459E60E">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8</w:t>
                  </w:r>
                </w:p>
              </w:tc>
              <w:tc>
                <w:tcPr>
                  <w:tcW w:w="952" w:type="dxa"/>
                  <w:vMerge w:val="continue"/>
                  <w:tcBorders>
                    <w:right w:val="single" w:color="auto" w:sz="4" w:space="0"/>
                  </w:tcBorders>
                  <w:tcMar>
                    <w:top w:w="15" w:type="dxa"/>
                    <w:left w:w="15" w:type="dxa"/>
                    <w:right w:w="15" w:type="dxa"/>
                  </w:tcMar>
                  <w:vAlign w:val="center"/>
                </w:tcPr>
                <w:p w14:paraId="383B578B">
                  <w:pPr>
                    <w:spacing w:line="280" w:lineRule="exact"/>
                    <w:jc w:val="center"/>
                    <w:rPr>
                      <w:rFonts w:eastAsiaTheme="minorEastAsia"/>
                      <w:sz w:val="18"/>
                      <w:szCs w:val="18"/>
                    </w:rPr>
                  </w:pPr>
                </w:p>
              </w:tc>
              <w:tc>
                <w:tcPr>
                  <w:tcW w:w="1134" w:type="dxa"/>
                  <w:vMerge w:val="continue"/>
                  <w:tcBorders>
                    <w:left w:val="single" w:color="auto" w:sz="4" w:space="0"/>
                  </w:tcBorders>
                  <w:vAlign w:val="center"/>
                </w:tcPr>
                <w:p w14:paraId="4BA57CF2">
                  <w:pPr>
                    <w:spacing w:line="280" w:lineRule="exact"/>
                    <w:jc w:val="center"/>
                    <w:rPr>
                      <w:rFonts w:hint="eastAsia" w:ascii="Times New Roman" w:hAnsi="Times New Roman" w:cs="Times New Roman" w:eastAsiaTheme="minorEastAsia"/>
                      <w:sz w:val="18"/>
                      <w:szCs w:val="18"/>
                      <w:lang w:val="en-US" w:eastAsia="zh-CN"/>
                    </w:rPr>
                  </w:pPr>
                </w:p>
              </w:tc>
              <w:tc>
                <w:tcPr>
                  <w:tcW w:w="1701" w:type="dxa"/>
                  <w:tcMar>
                    <w:top w:w="15" w:type="dxa"/>
                    <w:left w:w="15" w:type="dxa"/>
                    <w:right w:w="15" w:type="dxa"/>
                  </w:tcMar>
                  <w:vAlign w:val="center"/>
                </w:tcPr>
                <w:p w14:paraId="1957C181">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花格数控加工中心</w:t>
                  </w:r>
                </w:p>
              </w:tc>
              <w:tc>
                <w:tcPr>
                  <w:tcW w:w="709" w:type="dxa"/>
                  <w:tcMar>
                    <w:top w:w="15" w:type="dxa"/>
                    <w:left w:w="15" w:type="dxa"/>
                    <w:right w:w="15" w:type="dxa"/>
                  </w:tcMar>
                  <w:vAlign w:val="center"/>
                </w:tcPr>
                <w:p w14:paraId="4AFEFEAD">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2E9F96CB">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5809BC34">
                  <w:pPr>
                    <w:spacing w:line="280" w:lineRule="exact"/>
                    <w:jc w:val="center"/>
                    <w:rPr>
                      <w:rFonts w:eastAsiaTheme="minorEastAsia"/>
                      <w:sz w:val="18"/>
                      <w:szCs w:val="18"/>
                    </w:rPr>
                  </w:pPr>
                </w:p>
              </w:tc>
            </w:tr>
            <w:tr w14:paraId="1641A2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67667AB6">
                  <w:pPr>
                    <w:spacing w:line="280" w:lineRule="exact"/>
                    <w:jc w:val="center"/>
                    <w:rPr>
                      <w:rFonts w:hint="eastAsia" w:eastAsiaTheme="minorEastAsia"/>
                      <w:sz w:val="18"/>
                      <w:szCs w:val="18"/>
                      <w:lang w:eastAsia="zh-CN"/>
                    </w:rPr>
                  </w:pPr>
                  <w:r>
                    <w:rPr>
                      <w:rFonts w:hint="eastAsia" w:eastAsiaTheme="minorEastAsia"/>
                      <w:sz w:val="18"/>
                      <w:szCs w:val="18"/>
                      <w:lang w:val="en-US" w:eastAsia="zh-CN"/>
                    </w:rPr>
                    <w:t>9</w:t>
                  </w:r>
                </w:p>
              </w:tc>
              <w:tc>
                <w:tcPr>
                  <w:tcW w:w="952" w:type="dxa"/>
                  <w:tcBorders>
                    <w:right w:val="single" w:color="auto" w:sz="4" w:space="0"/>
                  </w:tcBorders>
                  <w:tcMar>
                    <w:top w:w="15" w:type="dxa"/>
                    <w:left w:w="15" w:type="dxa"/>
                    <w:right w:w="15" w:type="dxa"/>
                  </w:tcMar>
                  <w:vAlign w:val="center"/>
                </w:tcPr>
                <w:p w14:paraId="63EF696C">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木质产品</w:t>
                  </w:r>
                </w:p>
                <w:p w14:paraId="7B4B193A">
                  <w:pPr>
                    <w:spacing w:line="280" w:lineRule="exact"/>
                    <w:jc w:val="center"/>
                    <w:rPr>
                      <w:rFonts w:eastAsiaTheme="minorEastAsia"/>
                      <w:sz w:val="18"/>
                      <w:szCs w:val="18"/>
                    </w:rPr>
                  </w:pPr>
                  <w:r>
                    <w:rPr>
                      <w:rFonts w:eastAsiaTheme="minorEastAsia"/>
                      <w:sz w:val="18"/>
                      <w:szCs w:val="18"/>
                    </w:rPr>
                    <w:t>表面处理</w:t>
                  </w:r>
                </w:p>
              </w:tc>
              <w:tc>
                <w:tcPr>
                  <w:tcW w:w="1134" w:type="dxa"/>
                  <w:tcBorders>
                    <w:left w:val="single" w:color="auto" w:sz="4" w:space="0"/>
                  </w:tcBorders>
                  <w:vAlign w:val="center"/>
                </w:tcPr>
                <w:p w14:paraId="37C7E97C">
                  <w:pPr>
                    <w:spacing w:line="280" w:lineRule="exact"/>
                    <w:jc w:val="center"/>
                    <w:rPr>
                      <w:rFonts w:eastAsiaTheme="minorEastAsia"/>
                      <w:sz w:val="18"/>
                      <w:szCs w:val="18"/>
                    </w:rPr>
                  </w:pPr>
                  <w:r>
                    <w:rPr>
                      <w:rFonts w:hint="eastAsia" w:ascii="Times New Roman" w:hAnsi="Times New Roman" w:cs="Times New Roman" w:eastAsiaTheme="minorEastAsia"/>
                      <w:sz w:val="18"/>
                      <w:szCs w:val="18"/>
                      <w:lang w:val="en-US" w:eastAsia="zh-CN"/>
                    </w:rPr>
                    <w:t>砂光</w:t>
                  </w:r>
                </w:p>
              </w:tc>
              <w:tc>
                <w:tcPr>
                  <w:tcW w:w="1701" w:type="dxa"/>
                  <w:tcMar>
                    <w:top w:w="15" w:type="dxa"/>
                    <w:left w:w="15" w:type="dxa"/>
                    <w:right w:w="15" w:type="dxa"/>
                  </w:tcMar>
                  <w:vAlign w:val="center"/>
                </w:tcPr>
                <w:p w14:paraId="6B0C67A6">
                  <w:pPr>
                    <w:spacing w:line="280" w:lineRule="exact"/>
                    <w:jc w:val="center"/>
                    <w:rPr>
                      <w:rFonts w:eastAsiaTheme="minorEastAsia"/>
                      <w:sz w:val="18"/>
                      <w:szCs w:val="18"/>
                    </w:rPr>
                  </w:pPr>
                  <w:r>
                    <w:rPr>
                      <w:rFonts w:hint="eastAsia" w:ascii="Times New Roman" w:hAnsi="Times New Roman" w:cs="Times New Roman" w:eastAsiaTheme="minorEastAsia"/>
                      <w:sz w:val="18"/>
                      <w:szCs w:val="18"/>
                      <w:lang w:val="en-US" w:eastAsia="zh-CN"/>
                    </w:rPr>
                    <w:t>宽带砂光机</w:t>
                  </w:r>
                </w:p>
              </w:tc>
              <w:tc>
                <w:tcPr>
                  <w:tcW w:w="709" w:type="dxa"/>
                  <w:tcMar>
                    <w:top w:w="15" w:type="dxa"/>
                    <w:left w:w="15" w:type="dxa"/>
                    <w:right w:w="15" w:type="dxa"/>
                  </w:tcMar>
                  <w:vAlign w:val="center"/>
                </w:tcPr>
                <w:p w14:paraId="540AC6F7">
                  <w:pPr>
                    <w:spacing w:line="280" w:lineRule="exact"/>
                    <w:jc w:val="center"/>
                    <w:rPr>
                      <w:rFonts w:eastAsiaTheme="minorEastAsia"/>
                      <w:sz w:val="18"/>
                      <w:szCs w:val="18"/>
                    </w:rPr>
                  </w:pPr>
                  <w:r>
                    <w:rPr>
                      <w:rFonts w:hint="eastAsia" w:ascii="Times New Roman" w:hAnsi="Times New Roman" w:cs="Times New Roman" w:eastAsiaTheme="minorEastAsia"/>
                      <w:sz w:val="18"/>
                      <w:szCs w:val="18"/>
                      <w:lang w:val="en-US" w:eastAsia="zh-CN"/>
                    </w:rPr>
                    <w:t>1</w:t>
                  </w:r>
                </w:p>
              </w:tc>
              <w:tc>
                <w:tcPr>
                  <w:tcW w:w="1803" w:type="dxa"/>
                  <w:tcBorders>
                    <w:right w:val="single" w:color="auto" w:sz="4" w:space="0"/>
                  </w:tcBorders>
                  <w:tcMar>
                    <w:top w:w="15" w:type="dxa"/>
                    <w:left w:w="15" w:type="dxa"/>
                    <w:right w:w="15" w:type="dxa"/>
                  </w:tcMar>
                  <w:vAlign w:val="center"/>
                </w:tcPr>
                <w:p w14:paraId="20F5F643">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此设备为封闭型，工作面为封闭式作业</w:t>
                  </w:r>
                </w:p>
              </w:tc>
              <w:tc>
                <w:tcPr>
                  <w:tcW w:w="1458" w:type="dxa"/>
                  <w:vMerge w:val="continue"/>
                  <w:tcBorders>
                    <w:left w:val="single" w:color="auto" w:sz="4" w:space="0"/>
                  </w:tcBorders>
                  <w:vAlign w:val="center"/>
                </w:tcPr>
                <w:p w14:paraId="4B1EC681">
                  <w:pPr>
                    <w:spacing w:line="280" w:lineRule="exact"/>
                    <w:jc w:val="center"/>
                    <w:rPr>
                      <w:rFonts w:eastAsiaTheme="minorEastAsia"/>
                      <w:sz w:val="18"/>
                      <w:szCs w:val="18"/>
                    </w:rPr>
                  </w:pPr>
                </w:p>
              </w:tc>
            </w:tr>
            <w:tr w14:paraId="6878AA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42369C51">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10</w:t>
                  </w:r>
                </w:p>
              </w:tc>
              <w:tc>
                <w:tcPr>
                  <w:tcW w:w="952" w:type="dxa"/>
                  <w:vMerge w:val="restart"/>
                  <w:tcBorders>
                    <w:right w:val="single" w:color="auto" w:sz="4" w:space="0"/>
                  </w:tcBorders>
                  <w:tcMar>
                    <w:top w:w="15" w:type="dxa"/>
                    <w:left w:w="15" w:type="dxa"/>
                    <w:right w:w="15" w:type="dxa"/>
                  </w:tcMar>
                  <w:vAlign w:val="center"/>
                </w:tcPr>
                <w:p w14:paraId="131D5FC0">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石材产品</w:t>
                  </w:r>
                </w:p>
              </w:tc>
              <w:tc>
                <w:tcPr>
                  <w:tcW w:w="1134" w:type="dxa"/>
                  <w:tcBorders>
                    <w:left w:val="single" w:color="auto" w:sz="4" w:space="0"/>
                  </w:tcBorders>
                  <w:vAlign w:val="center"/>
                </w:tcPr>
                <w:p w14:paraId="7BCC4F34">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切割</w:t>
                  </w:r>
                </w:p>
              </w:tc>
              <w:tc>
                <w:tcPr>
                  <w:tcW w:w="1701" w:type="dxa"/>
                  <w:tcMar>
                    <w:top w:w="15" w:type="dxa"/>
                    <w:left w:w="15" w:type="dxa"/>
                    <w:right w:w="15" w:type="dxa"/>
                  </w:tcMar>
                  <w:vAlign w:val="center"/>
                </w:tcPr>
                <w:p w14:paraId="6A2D5379">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红外线石材切割机</w:t>
                  </w:r>
                </w:p>
              </w:tc>
              <w:tc>
                <w:tcPr>
                  <w:tcW w:w="709" w:type="dxa"/>
                  <w:tcMar>
                    <w:top w:w="15" w:type="dxa"/>
                    <w:left w:w="15" w:type="dxa"/>
                    <w:right w:w="15" w:type="dxa"/>
                  </w:tcMar>
                  <w:vAlign w:val="center"/>
                </w:tcPr>
                <w:p w14:paraId="7CC3F1DD">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restart"/>
                  <w:tcBorders>
                    <w:right w:val="single" w:color="auto" w:sz="4" w:space="0"/>
                  </w:tcBorders>
                  <w:tcMar>
                    <w:top w:w="15" w:type="dxa"/>
                    <w:left w:w="15" w:type="dxa"/>
                    <w:right w:w="15" w:type="dxa"/>
                  </w:tcMar>
                  <w:vAlign w:val="center"/>
                </w:tcPr>
                <w:p w14:paraId="3790E998">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采用湿法作业</w:t>
                  </w:r>
                </w:p>
              </w:tc>
              <w:tc>
                <w:tcPr>
                  <w:tcW w:w="1458" w:type="dxa"/>
                  <w:vMerge w:val="restart"/>
                  <w:tcBorders>
                    <w:left w:val="single" w:color="auto" w:sz="4" w:space="0"/>
                  </w:tcBorders>
                  <w:vAlign w:val="center"/>
                </w:tcPr>
                <w:p w14:paraId="785F3FEA">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二车间</w:t>
                  </w:r>
                </w:p>
              </w:tc>
            </w:tr>
            <w:tr w14:paraId="61F5D6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37491500">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11</w:t>
                  </w:r>
                </w:p>
              </w:tc>
              <w:tc>
                <w:tcPr>
                  <w:tcW w:w="952" w:type="dxa"/>
                  <w:vMerge w:val="continue"/>
                  <w:tcBorders>
                    <w:right w:val="single" w:color="auto" w:sz="4" w:space="0"/>
                  </w:tcBorders>
                  <w:tcMar>
                    <w:top w:w="15" w:type="dxa"/>
                    <w:left w:w="15" w:type="dxa"/>
                    <w:right w:w="15" w:type="dxa"/>
                  </w:tcMar>
                  <w:vAlign w:val="center"/>
                </w:tcPr>
                <w:p w14:paraId="60F3CCE0">
                  <w:pPr>
                    <w:spacing w:line="280" w:lineRule="exact"/>
                    <w:jc w:val="center"/>
                    <w:rPr>
                      <w:rFonts w:eastAsiaTheme="minorEastAsia"/>
                      <w:sz w:val="18"/>
                      <w:szCs w:val="18"/>
                    </w:rPr>
                  </w:pPr>
                </w:p>
              </w:tc>
              <w:tc>
                <w:tcPr>
                  <w:tcW w:w="1134" w:type="dxa"/>
                  <w:vMerge w:val="restart"/>
                  <w:tcBorders>
                    <w:left w:val="single" w:color="auto" w:sz="4" w:space="0"/>
                  </w:tcBorders>
                  <w:vAlign w:val="center"/>
                </w:tcPr>
                <w:p w14:paraId="672A11FE">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雕刻</w:t>
                  </w:r>
                </w:p>
              </w:tc>
              <w:tc>
                <w:tcPr>
                  <w:tcW w:w="1701" w:type="dxa"/>
                  <w:tcMar>
                    <w:top w:w="15" w:type="dxa"/>
                    <w:left w:w="15" w:type="dxa"/>
                    <w:right w:w="15" w:type="dxa"/>
                  </w:tcMar>
                  <w:vAlign w:val="center"/>
                </w:tcPr>
                <w:p w14:paraId="7ABFABA9">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数控石材雕刻机</w:t>
                  </w:r>
                </w:p>
              </w:tc>
              <w:tc>
                <w:tcPr>
                  <w:tcW w:w="709" w:type="dxa"/>
                  <w:tcMar>
                    <w:top w:w="15" w:type="dxa"/>
                    <w:left w:w="15" w:type="dxa"/>
                    <w:right w:w="15" w:type="dxa"/>
                  </w:tcMar>
                  <w:vAlign w:val="center"/>
                </w:tcPr>
                <w:p w14:paraId="472E713D">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066CE72A">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7C9738EE">
                  <w:pPr>
                    <w:spacing w:line="280" w:lineRule="exact"/>
                    <w:jc w:val="center"/>
                    <w:rPr>
                      <w:rFonts w:eastAsiaTheme="minorEastAsia"/>
                      <w:sz w:val="18"/>
                      <w:szCs w:val="18"/>
                    </w:rPr>
                  </w:pPr>
                </w:p>
              </w:tc>
            </w:tr>
            <w:tr w14:paraId="589795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398DE438">
                  <w:pPr>
                    <w:spacing w:line="280" w:lineRule="exact"/>
                    <w:jc w:val="center"/>
                    <w:rPr>
                      <w:rFonts w:hint="eastAsia" w:eastAsiaTheme="minorEastAsia"/>
                      <w:sz w:val="18"/>
                      <w:szCs w:val="18"/>
                      <w:lang w:val="en-US" w:eastAsia="zh-CN"/>
                    </w:rPr>
                  </w:pPr>
                </w:p>
              </w:tc>
              <w:tc>
                <w:tcPr>
                  <w:tcW w:w="952" w:type="dxa"/>
                  <w:vMerge w:val="continue"/>
                  <w:tcBorders>
                    <w:right w:val="single" w:color="auto" w:sz="4" w:space="0"/>
                  </w:tcBorders>
                  <w:tcMar>
                    <w:top w:w="15" w:type="dxa"/>
                    <w:left w:w="15" w:type="dxa"/>
                    <w:right w:w="15" w:type="dxa"/>
                  </w:tcMar>
                  <w:vAlign w:val="center"/>
                </w:tcPr>
                <w:p w14:paraId="288372E8">
                  <w:pPr>
                    <w:spacing w:line="280" w:lineRule="exact"/>
                    <w:jc w:val="center"/>
                    <w:rPr>
                      <w:rFonts w:eastAsiaTheme="minorEastAsia"/>
                      <w:sz w:val="18"/>
                      <w:szCs w:val="18"/>
                    </w:rPr>
                  </w:pPr>
                </w:p>
              </w:tc>
              <w:tc>
                <w:tcPr>
                  <w:tcW w:w="1134" w:type="dxa"/>
                  <w:vMerge w:val="continue"/>
                  <w:tcBorders>
                    <w:left w:val="single" w:color="auto" w:sz="4" w:space="0"/>
                  </w:tcBorders>
                  <w:vAlign w:val="center"/>
                </w:tcPr>
                <w:p w14:paraId="3E897EC9">
                  <w:pPr>
                    <w:spacing w:line="280" w:lineRule="exact"/>
                    <w:jc w:val="center"/>
                    <w:rPr>
                      <w:rFonts w:hint="eastAsia" w:ascii="Times New Roman" w:hAnsi="Times New Roman" w:cs="Times New Roman" w:eastAsiaTheme="minorEastAsia"/>
                      <w:sz w:val="18"/>
                      <w:szCs w:val="18"/>
                      <w:lang w:val="en-US" w:eastAsia="zh-CN"/>
                    </w:rPr>
                  </w:pPr>
                </w:p>
              </w:tc>
              <w:tc>
                <w:tcPr>
                  <w:tcW w:w="1701" w:type="dxa"/>
                  <w:shd w:val="clear" w:color="auto" w:fill="auto"/>
                  <w:tcMar>
                    <w:top w:w="15" w:type="dxa"/>
                    <w:left w:w="15" w:type="dxa"/>
                    <w:right w:w="15" w:type="dxa"/>
                  </w:tcMar>
                  <w:vAlign w:val="center"/>
                </w:tcPr>
                <w:p w14:paraId="16163CB8">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仿形雕刻机</w:t>
                  </w:r>
                </w:p>
              </w:tc>
              <w:tc>
                <w:tcPr>
                  <w:tcW w:w="709" w:type="dxa"/>
                  <w:tcMar>
                    <w:top w:w="15" w:type="dxa"/>
                    <w:left w:w="15" w:type="dxa"/>
                    <w:right w:w="15" w:type="dxa"/>
                  </w:tcMar>
                  <w:vAlign w:val="center"/>
                </w:tcPr>
                <w:p w14:paraId="6AB5F3BE">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66CBF78A">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43EB7435">
                  <w:pPr>
                    <w:spacing w:line="280" w:lineRule="exact"/>
                    <w:jc w:val="center"/>
                    <w:rPr>
                      <w:rFonts w:eastAsiaTheme="minorEastAsia"/>
                      <w:sz w:val="18"/>
                      <w:szCs w:val="18"/>
                    </w:rPr>
                  </w:pPr>
                </w:p>
              </w:tc>
            </w:tr>
            <w:tr w14:paraId="20712D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711596D8">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12</w:t>
                  </w:r>
                </w:p>
              </w:tc>
              <w:tc>
                <w:tcPr>
                  <w:tcW w:w="952" w:type="dxa"/>
                  <w:vMerge w:val="continue"/>
                  <w:tcBorders>
                    <w:right w:val="single" w:color="auto" w:sz="4" w:space="0"/>
                  </w:tcBorders>
                  <w:tcMar>
                    <w:top w:w="15" w:type="dxa"/>
                    <w:left w:w="15" w:type="dxa"/>
                    <w:right w:w="15" w:type="dxa"/>
                  </w:tcMar>
                  <w:vAlign w:val="center"/>
                </w:tcPr>
                <w:p w14:paraId="4A24A3DC">
                  <w:pPr>
                    <w:spacing w:line="280" w:lineRule="exact"/>
                    <w:jc w:val="center"/>
                    <w:rPr>
                      <w:rFonts w:eastAsiaTheme="minorEastAsia"/>
                      <w:sz w:val="18"/>
                      <w:szCs w:val="18"/>
                    </w:rPr>
                  </w:pPr>
                </w:p>
              </w:tc>
              <w:tc>
                <w:tcPr>
                  <w:tcW w:w="1134" w:type="dxa"/>
                  <w:tcBorders>
                    <w:left w:val="single" w:color="auto" w:sz="4" w:space="0"/>
                  </w:tcBorders>
                  <w:vAlign w:val="center"/>
                </w:tcPr>
                <w:p w14:paraId="567BD16E">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抛光</w:t>
                  </w:r>
                </w:p>
              </w:tc>
              <w:tc>
                <w:tcPr>
                  <w:tcW w:w="1701" w:type="dxa"/>
                  <w:shd w:val="clear" w:color="auto" w:fill="auto"/>
                  <w:tcMar>
                    <w:top w:w="15" w:type="dxa"/>
                    <w:left w:w="15" w:type="dxa"/>
                    <w:right w:w="15" w:type="dxa"/>
                  </w:tcMar>
                  <w:vAlign w:val="center"/>
                </w:tcPr>
                <w:p w14:paraId="15A323BB">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石材抛光机</w:t>
                  </w:r>
                </w:p>
              </w:tc>
              <w:tc>
                <w:tcPr>
                  <w:tcW w:w="709" w:type="dxa"/>
                  <w:tcMar>
                    <w:top w:w="15" w:type="dxa"/>
                    <w:left w:w="15" w:type="dxa"/>
                    <w:right w:w="15" w:type="dxa"/>
                  </w:tcMar>
                  <w:vAlign w:val="center"/>
                </w:tcPr>
                <w:p w14:paraId="7E399318">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7112531F">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07E163A2">
                  <w:pPr>
                    <w:spacing w:line="280" w:lineRule="exact"/>
                    <w:jc w:val="center"/>
                    <w:rPr>
                      <w:rFonts w:eastAsiaTheme="minorEastAsia"/>
                      <w:sz w:val="18"/>
                      <w:szCs w:val="18"/>
                    </w:rPr>
                  </w:pPr>
                </w:p>
              </w:tc>
            </w:tr>
            <w:tr w14:paraId="18733C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65BBAE72">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13</w:t>
                  </w:r>
                </w:p>
              </w:tc>
              <w:tc>
                <w:tcPr>
                  <w:tcW w:w="952" w:type="dxa"/>
                  <w:vMerge w:val="continue"/>
                  <w:tcBorders>
                    <w:right w:val="single" w:color="auto" w:sz="4" w:space="0"/>
                  </w:tcBorders>
                  <w:tcMar>
                    <w:top w:w="15" w:type="dxa"/>
                    <w:left w:w="15" w:type="dxa"/>
                    <w:right w:w="15" w:type="dxa"/>
                  </w:tcMar>
                  <w:vAlign w:val="center"/>
                </w:tcPr>
                <w:p w14:paraId="44D8CC5E">
                  <w:pPr>
                    <w:spacing w:line="280" w:lineRule="exact"/>
                    <w:jc w:val="center"/>
                    <w:rPr>
                      <w:rFonts w:eastAsiaTheme="minorEastAsia"/>
                      <w:sz w:val="18"/>
                      <w:szCs w:val="18"/>
                    </w:rPr>
                  </w:pPr>
                </w:p>
              </w:tc>
              <w:tc>
                <w:tcPr>
                  <w:tcW w:w="1134" w:type="dxa"/>
                  <w:tcBorders>
                    <w:left w:val="single" w:color="auto" w:sz="4" w:space="0"/>
                  </w:tcBorders>
                  <w:vAlign w:val="center"/>
                </w:tcPr>
                <w:p w14:paraId="3B7FF0E9">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打磨</w:t>
                  </w:r>
                </w:p>
              </w:tc>
              <w:tc>
                <w:tcPr>
                  <w:tcW w:w="1701" w:type="dxa"/>
                  <w:tcMar>
                    <w:top w:w="15" w:type="dxa"/>
                    <w:left w:w="15" w:type="dxa"/>
                    <w:right w:w="15" w:type="dxa"/>
                  </w:tcMar>
                  <w:vAlign w:val="center"/>
                </w:tcPr>
                <w:p w14:paraId="465CA1B9">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手提角磨机</w:t>
                  </w:r>
                </w:p>
              </w:tc>
              <w:tc>
                <w:tcPr>
                  <w:tcW w:w="709" w:type="dxa"/>
                  <w:tcMar>
                    <w:top w:w="15" w:type="dxa"/>
                    <w:left w:w="15" w:type="dxa"/>
                    <w:right w:w="15" w:type="dxa"/>
                  </w:tcMar>
                  <w:vAlign w:val="center"/>
                </w:tcPr>
                <w:p w14:paraId="49329B94">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5</w:t>
                  </w:r>
                </w:p>
              </w:tc>
              <w:tc>
                <w:tcPr>
                  <w:tcW w:w="1803" w:type="dxa"/>
                  <w:vMerge w:val="continue"/>
                  <w:tcBorders>
                    <w:right w:val="single" w:color="auto" w:sz="4" w:space="0"/>
                  </w:tcBorders>
                  <w:tcMar>
                    <w:top w:w="15" w:type="dxa"/>
                    <w:left w:w="15" w:type="dxa"/>
                    <w:right w:w="15" w:type="dxa"/>
                  </w:tcMar>
                  <w:vAlign w:val="center"/>
                </w:tcPr>
                <w:p w14:paraId="3546C371">
                  <w:pPr>
                    <w:spacing w:line="280" w:lineRule="exact"/>
                    <w:jc w:val="center"/>
                    <w:rPr>
                      <w:rFonts w:hint="default" w:eastAsiaTheme="minorEastAsia"/>
                      <w:sz w:val="18"/>
                      <w:szCs w:val="18"/>
                      <w:lang w:val="en-US" w:eastAsia="zh-CN"/>
                    </w:rPr>
                  </w:pPr>
                </w:p>
              </w:tc>
              <w:tc>
                <w:tcPr>
                  <w:tcW w:w="1458" w:type="dxa"/>
                  <w:vMerge w:val="continue"/>
                  <w:tcBorders>
                    <w:left w:val="single" w:color="auto" w:sz="4" w:space="0"/>
                  </w:tcBorders>
                  <w:vAlign w:val="center"/>
                </w:tcPr>
                <w:p w14:paraId="0BB43476">
                  <w:pPr>
                    <w:spacing w:line="280" w:lineRule="exact"/>
                    <w:jc w:val="center"/>
                    <w:rPr>
                      <w:rFonts w:eastAsiaTheme="minorEastAsia"/>
                      <w:sz w:val="18"/>
                      <w:szCs w:val="18"/>
                    </w:rPr>
                  </w:pPr>
                </w:p>
              </w:tc>
            </w:tr>
            <w:tr w14:paraId="3A4720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24B681A8">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14</w:t>
                  </w:r>
                </w:p>
              </w:tc>
              <w:tc>
                <w:tcPr>
                  <w:tcW w:w="952" w:type="dxa"/>
                  <w:vMerge w:val="restart"/>
                  <w:tcBorders>
                    <w:right w:val="single" w:color="auto" w:sz="4" w:space="0"/>
                  </w:tcBorders>
                  <w:tcMar>
                    <w:top w:w="15" w:type="dxa"/>
                    <w:left w:w="15" w:type="dxa"/>
                    <w:right w:w="15" w:type="dxa"/>
                  </w:tcMar>
                  <w:vAlign w:val="center"/>
                </w:tcPr>
                <w:p w14:paraId="17D35245">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砖产品</w:t>
                  </w:r>
                </w:p>
              </w:tc>
              <w:tc>
                <w:tcPr>
                  <w:tcW w:w="1134" w:type="dxa"/>
                  <w:tcBorders>
                    <w:left w:val="single" w:color="auto" w:sz="4" w:space="0"/>
                  </w:tcBorders>
                  <w:vAlign w:val="center"/>
                </w:tcPr>
                <w:p w14:paraId="2916EE65">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切割</w:t>
                  </w:r>
                </w:p>
              </w:tc>
              <w:tc>
                <w:tcPr>
                  <w:tcW w:w="1701" w:type="dxa"/>
                  <w:tcMar>
                    <w:top w:w="15" w:type="dxa"/>
                    <w:left w:w="15" w:type="dxa"/>
                    <w:right w:w="15" w:type="dxa"/>
                  </w:tcMar>
                  <w:vAlign w:val="center"/>
                </w:tcPr>
                <w:p w14:paraId="266EA06F">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青砖切割机</w:t>
                  </w:r>
                </w:p>
              </w:tc>
              <w:tc>
                <w:tcPr>
                  <w:tcW w:w="709" w:type="dxa"/>
                  <w:tcMar>
                    <w:top w:w="15" w:type="dxa"/>
                    <w:left w:w="15" w:type="dxa"/>
                    <w:right w:w="15" w:type="dxa"/>
                  </w:tcMar>
                  <w:vAlign w:val="center"/>
                </w:tcPr>
                <w:p w14:paraId="65B6C15E">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restart"/>
                  <w:tcBorders>
                    <w:right w:val="single" w:color="auto" w:sz="4" w:space="0"/>
                  </w:tcBorders>
                  <w:tcMar>
                    <w:top w:w="15" w:type="dxa"/>
                    <w:left w:w="15" w:type="dxa"/>
                    <w:right w:w="15" w:type="dxa"/>
                  </w:tcMar>
                  <w:vAlign w:val="center"/>
                </w:tcPr>
                <w:p w14:paraId="4F5CD3CD">
                  <w:pPr>
                    <w:spacing w:line="280" w:lineRule="exact"/>
                    <w:jc w:val="center"/>
                    <w:rPr>
                      <w:rFonts w:eastAsiaTheme="minorEastAsia"/>
                      <w:sz w:val="18"/>
                      <w:szCs w:val="18"/>
                    </w:rPr>
                  </w:pPr>
                  <w:r>
                    <w:rPr>
                      <w:rFonts w:hint="eastAsia" w:eastAsiaTheme="minorEastAsia"/>
                      <w:sz w:val="18"/>
                      <w:szCs w:val="18"/>
                      <w:lang w:val="en-US" w:eastAsia="zh-CN"/>
                    </w:rPr>
                    <w:t>采用湿法作业</w:t>
                  </w:r>
                </w:p>
              </w:tc>
              <w:tc>
                <w:tcPr>
                  <w:tcW w:w="1458" w:type="dxa"/>
                  <w:vMerge w:val="restart"/>
                  <w:tcBorders>
                    <w:left w:val="single" w:color="auto" w:sz="4" w:space="0"/>
                  </w:tcBorders>
                  <w:vAlign w:val="center"/>
                </w:tcPr>
                <w:p w14:paraId="1B9F1414">
                  <w:pPr>
                    <w:spacing w:line="280" w:lineRule="exact"/>
                    <w:jc w:val="center"/>
                    <w:rPr>
                      <w:rFonts w:hint="eastAsia" w:eastAsiaTheme="minorEastAsia"/>
                      <w:sz w:val="18"/>
                      <w:szCs w:val="18"/>
                      <w:lang w:val="en-US" w:eastAsia="zh-CN"/>
                    </w:rPr>
                  </w:pPr>
                  <w:r>
                    <w:rPr>
                      <w:rFonts w:hint="eastAsia" w:eastAsiaTheme="minorEastAsia"/>
                      <w:sz w:val="18"/>
                      <w:szCs w:val="18"/>
                      <w:lang w:val="en-US" w:eastAsia="zh-CN"/>
                    </w:rPr>
                    <w:t>一车间</w:t>
                  </w:r>
                </w:p>
              </w:tc>
            </w:tr>
            <w:tr w14:paraId="4276E0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4BEA6E39">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15</w:t>
                  </w:r>
                </w:p>
              </w:tc>
              <w:tc>
                <w:tcPr>
                  <w:tcW w:w="952" w:type="dxa"/>
                  <w:vMerge w:val="continue"/>
                  <w:tcBorders>
                    <w:right w:val="single" w:color="auto" w:sz="4" w:space="0"/>
                  </w:tcBorders>
                  <w:tcMar>
                    <w:top w:w="15" w:type="dxa"/>
                    <w:left w:w="15" w:type="dxa"/>
                    <w:right w:w="15" w:type="dxa"/>
                  </w:tcMar>
                  <w:vAlign w:val="center"/>
                </w:tcPr>
                <w:p w14:paraId="31EFEC57">
                  <w:pPr>
                    <w:spacing w:line="280" w:lineRule="exact"/>
                    <w:jc w:val="center"/>
                    <w:rPr>
                      <w:rFonts w:hint="eastAsia" w:eastAsiaTheme="minorEastAsia"/>
                      <w:sz w:val="18"/>
                      <w:szCs w:val="18"/>
                      <w:lang w:val="en-US" w:eastAsia="zh-CN"/>
                    </w:rPr>
                  </w:pPr>
                </w:p>
              </w:tc>
              <w:tc>
                <w:tcPr>
                  <w:tcW w:w="1134" w:type="dxa"/>
                  <w:tcBorders>
                    <w:left w:val="single" w:color="auto" w:sz="4" w:space="0"/>
                  </w:tcBorders>
                  <w:vAlign w:val="center"/>
                </w:tcPr>
                <w:p w14:paraId="54F3AC87">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雕刻</w:t>
                  </w:r>
                </w:p>
              </w:tc>
              <w:tc>
                <w:tcPr>
                  <w:tcW w:w="1701" w:type="dxa"/>
                  <w:tcMar>
                    <w:top w:w="15" w:type="dxa"/>
                    <w:left w:w="15" w:type="dxa"/>
                    <w:right w:w="15" w:type="dxa"/>
                  </w:tcMar>
                  <w:vAlign w:val="center"/>
                </w:tcPr>
                <w:p w14:paraId="0E6807D0">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数控砖雕雕刻机</w:t>
                  </w:r>
                </w:p>
              </w:tc>
              <w:tc>
                <w:tcPr>
                  <w:tcW w:w="709" w:type="dxa"/>
                  <w:tcMar>
                    <w:top w:w="15" w:type="dxa"/>
                    <w:left w:w="15" w:type="dxa"/>
                    <w:right w:w="15" w:type="dxa"/>
                  </w:tcMar>
                  <w:vAlign w:val="center"/>
                </w:tcPr>
                <w:p w14:paraId="6022D7EF">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26648C0A">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108E4FA8">
                  <w:pPr>
                    <w:spacing w:line="280" w:lineRule="exact"/>
                    <w:jc w:val="center"/>
                    <w:rPr>
                      <w:rFonts w:eastAsiaTheme="minorEastAsia"/>
                      <w:sz w:val="18"/>
                      <w:szCs w:val="18"/>
                    </w:rPr>
                  </w:pPr>
                </w:p>
              </w:tc>
            </w:tr>
            <w:tr w14:paraId="2C6871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266" w:type="dxa"/>
                  <w:tcMar>
                    <w:top w:w="15" w:type="dxa"/>
                    <w:left w:w="15" w:type="dxa"/>
                    <w:right w:w="15" w:type="dxa"/>
                  </w:tcMar>
                  <w:vAlign w:val="center"/>
                </w:tcPr>
                <w:p w14:paraId="62FDE4DE">
                  <w:pPr>
                    <w:spacing w:line="280" w:lineRule="exact"/>
                    <w:jc w:val="center"/>
                    <w:rPr>
                      <w:rFonts w:hint="default" w:eastAsiaTheme="minorEastAsia"/>
                      <w:sz w:val="18"/>
                      <w:szCs w:val="18"/>
                      <w:lang w:val="en-US" w:eastAsia="zh-CN"/>
                    </w:rPr>
                  </w:pPr>
                  <w:r>
                    <w:rPr>
                      <w:rFonts w:hint="eastAsia" w:eastAsiaTheme="minorEastAsia"/>
                      <w:sz w:val="18"/>
                      <w:szCs w:val="18"/>
                      <w:lang w:val="en-US" w:eastAsia="zh-CN"/>
                    </w:rPr>
                    <w:t>16</w:t>
                  </w:r>
                </w:p>
              </w:tc>
              <w:tc>
                <w:tcPr>
                  <w:tcW w:w="952" w:type="dxa"/>
                  <w:vMerge w:val="continue"/>
                  <w:tcBorders>
                    <w:right w:val="single" w:color="auto" w:sz="4" w:space="0"/>
                  </w:tcBorders>
                  <w:tcMar>
                    <w:top w:w="15" w:type="dxa"/>
                    <w:left w:w="15" w:type="dxa"/>
                    <w:right w:w="15" w:type="dxa"/>
                  </w:tcMar>
                  <w:vAlign w:val="center"/>
                </w:tcPr>
                <w:p w14:paraId="54A6DDC1">
                  <w:pPr>
                    <w:spacing w:line="280" w:lineRule="exact"/>
                    <w:jc w:val="center"/>
                    <w:rPr>
                      <w:rFonts w:hint="eastAsia" w:eastAsiaTheme="minorEastAsia"/>
                      <w:sz w:val="18"/>
                      <w:szCs w:val="18"/>
                      <w:lang w:val="en-US" w:eastAsia="zh-CN"/>
                    </w:rPr>
                  </w:pPr>
                </w:p>
              </w:tc>
              <w:tc>
                <w:tcPr>
                  <w:tcW w:w="1134" w:type="dxa"/>
                  <w:tcBorders>
                    <w:left w:val="single" w:color="auto" w:sz="4" w:space="0"/>
                  </w:tcBorders>
                  <w:vAlign w:val="center"/>
                </w:tcPr>
                <w:p w14:paraId="2C0DDB1C">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打磨</w:t>
                  </w:r>
                </w:p>
              </w:tc>
              <w:tc>
                <w:tcPr>
                  <w:tcW w:w="1701" w:type="dxa"/>
                  <w:tcMar>
                    <w:top w:w="15" w:type="dxa"/>
                    <w:left w:w="15" w:type="dxa"/>
                    <w:right w:w="15" w:type="dxa"/>
                  </w:tcMar>
                  <w:vAlign w:val="center"/>
                </w:tcPr>
                <w:p w14:paraId="437AF456">
                  <w:pPr>
                    <w:spacing w:line="28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水磨打磨机</w:t>
                  </w:r>
                </w:p>
              </w:tc>
              <w:tc>
                <w:tcPr>
                  <w:tcW w:w="709" w:type="dxa"/>
                  <w:tcMar>
                    <w:top w:w="15" w:type="dxa"/>
                    <w:left w:w="15" w:type="dxa"/>
                    <w:right w:w="15" w:type="dxa"/>
                  </w:tcMar>
                  <w:vAlign w:val="center"/>
                </w:tcPr>
                <w:p w14:paraId="5DD49D21">
                  <w:pPr>
                    <w:spacing w:line="28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c>
                <w:tcPr>
                  <w:tcW w:w="1803" w:type="dxa"/>
                  <w:vMerge w:val="continue"/>
                  <w:tcBorders>
                    <w:right w:val="single" w:color="auto" w:sz="4" w:space="0"/>
                  </w:tcBorders>
                  <w:tcMar>
                    <w:top w:w="15" w:type="dxa"/>
                    <w:left w:w="15" w:type="dxa"/>
                    <w:right w:w="15" w:type="dxa"/>
                  </w:tcMar>
                  <w:vAlign w:val="center"/>
                </w:tcPr>
                <w:p w14:paraId="5056F2EC">
                  <w:pPr>
                    <w:spacing w:line="280" w:lineRule="exact"/>
                    <w:jc w:val="center"/>
                    <w:rPr>
                      <w:rFonts w:eastAsiaTheme="minorEastAsia"/>
                      <w:sz w:val="18"/>
                      <w:szCs w:val="18"/>
                    </w:rPr>
                  </w:pPr>
                </w:p>
              </w:tc>
              <w:tc>
                <w:tcPr>
                  <w:tcW w:w="1458" w:type="dxa"/>
                  <w:vMerge w:val="continue"/>
                  <w:tcBorders>
                    <w:left w:val="single" w:color="auto" w:sz="4" w:space="0"/>
                  </w:tcBorders>
                  <w:vAlign w:val="center"/>
                </w:tcPr>
                <w:p w14:paraId="734CD790">
                  <w:pPr>
                    <w:spacing w:line="280" w:lineRule="exact"/>
                    <w:jc w:val="center"/>
                    <w:rPr>
                      <w:rFonts w:eastAsiaTheme="minorEastAsia"/>
                      <w:sz w:val="18"/>
                      <w:szCs w:val="18"/>
                    </w:rPr>
                  </w:pPr>
                </w:p>
              </w:tc>
            </w:tr>
          </w:tbl>
          <w:p w14:paraId="734AE683">
            <w:pPr>
              <w:spacing w:line="360" w:lineRule="auto"/>
              <w:ind w:firstLine="420" w:firstLineChars="200"/>
              <w:rPr>
                <w:szCs w:val="21"/>
              </w:rPr>
            </w:pPr>
            <w:r>
              <w:rPr>
                <w:rFonts w:hint="eastAsia"/>
                <w:szCs w:val="21"/>
              </w:rPr>
              <w:t>根据《通风除尘设备设计手册》</w:t>
            </w:r>
            <w:r>
              <w:rPr>
                <w:rFonts w:hint="eastAsia"/>
                <w:szCs w:val="21"/>
                <w:lang w:eastAsia="zh-CN"/>
              </w:rPr>
              <w:t>、</w:t>
            </w:r>
            <w:r>
              <w:rPr>
                <w:rFonts w:hint="eastAsia"/>
                <w:szCs w:val="21"/>
              </w:rPr>
              <w:t>《通风除尘系统中吸尘罩的设计与计算》（李志华），顶吸罩的风量按下式计算：</w:t>
            </w:r>
          </w:p>
          <w:p w14:paraId="3B161313">
            <w:pPr>
              <w:spacing w:line="360" w:lineRule="auto"/>
              <w:ind w:firstLine="420" w:firstLineChars="200"/>
              <w:jc w:val="center"/>
              <w:rPr>
                <w:szCs w:val="21"/>
              </w:rPr>
            </w:pPr>
            <w:r>
              <w:rPr>
                <w:szCs w:val="21"/>
              </w:rPr>
              <w:t>L1=</w:t>
            </w:r>
            <w:r>
              <w:rPr>
                <w:rFonts w:hint="eastAsia"/>
                <w:szCs w:val="21"/>
              </w:rPr>
              <w:t>V</w:t>
            </w:r>
            <w:r>
              <w:rPr>
                <w:szCs w:val="21"/>
              </w:rPr>
              <w:t>1</w:t>
            </w:r>
            <w:r>
              <w:rPr>
                <w:rFonts w:hint="eastAsia"/>
                <w:szCs w:val="21"/>
              </w:rPr>
              <w:t>×</w:t>
            </w:r>
            <w:r>
              <w:rPr>
                <w:szCs w:val="21"/>
              </w:rPr>
              <w:t>F1</w:t>
            </w:r>
            <w:r>
              <w:rPr>
                <w:rFonts w:hint="eastAsia"/>
                <w:szCs w:val="21"/>
              </w:rPr>
              <w:t>×</w:t>
            </w:r>
            <w:r>
              <w:rPr>
                <w:szCs w:val="21"/>
              </w:rPr>
              <w:t>3600</w:t>
            </w:r>
          </w:p>
          <w:p w14:paraId="01CD56AA">
            <w:pPr>
              <w:spacing w:line="360" w:lineRule="auto"/>
              <w:ind w:firstLine="420" w:firstLineChars="200"/>
              <w:rPr>
                <w:szCs w:val="21"/>
              </w:rPr>
            </w:pPr>
            <w:r>
              <w:rPr>
                <w:rFonts w:hint="eastAsia"/>
                <w:szCs w:val="21"/>
              </w:rPr>
              <w:t>式中：</w:t>
            </w:r>
            <w:r>
              <w:rPr>
                <w:szCs w:val="21"/>
              </w:rPr>
              <w:t>L1</w:t>
            </w:r>
            <w:r>
              <w:rPr>
                <w:rFonts w:hint="eastAsia"/>
                <w:szCs w:val="21"/>
              </w:rPr>
              <w:t>—顶吸罩的计算风量，</w:t>
            </w:r>
            <w:r>
              <w:rPr>
                <w:szCs w:val="21"/>
              </w:rPr>
              <w:t>m</w:t>
            </w:r>
            <w:r>
              <w:rPr>
                <w:szCs w:val="21"/>
                <w:vertAlign w:val="superscript"/>
              </w:rPr>
              <w:t>3</w:t>
            </w:r>
            <w:r>
              <w:rPr>
                <w:szCs w:val="21"/>
              </w:rPr>
              <w:t>/h</w:t>
            </w:r>
            <w:r>
              <w:rPr>
                <w:rFonts w:hint="eastAsia"/>
                <w:szCs w:val="21"/>
              </w:rPr>
              <w:t>；</w:t>
            </w:r>
          </w:p>
          <w:p w14:paraId="16FFFDC4">
            <w:pPr>
              <w:spacing w:line="360" w:lineRule="auto"/>
              <w:ind w:firstLine="1050" w:firstLineChars="500"/>
              <w:rPr>
                <w:szCs w:val="21"/>
              </w:rPr>
            </w:pPr>
            <w:r>
              <w:rPr>
                <w:rFonts w:hint="eastAsia"/>
                <w:szCs w:val="21"/>
              </w:rPr>
              <w:t>V</w:t>
            </w:r>
            <w:r>
              <w:rPr>
                <w:szCs w:val="21"/>
              </w:rPr>
              <w:t>1</w:t>
            </w:r>
            <w:r>
              <w:rPr>
                <w:rFonts w:hint="eastAsia"/>
                <w:szCs w:val="21"/>
              </w:rPr>
              <w:t>—罩口平均风速，</w:t>
            </w:r>
            <w:r>
              <w:rPr>
                <w:szCs w:val="21"/>
              </w:rPr>
              <w:t>m/s</w:t>
            </w:r>
            <w:r>
              <w:rPr>
                <w:rFonts w:hint="eastAsia"/>
                <w:szCs w:val="21"/>
              </w:rPr>
              <w:t>；</w:t>
            </w:r>
          </w:p>
          <w:p w14:paraId="1B562B12">
            <w:pPr>
              <w:spacing w:line="360" w:lineRule="auto"/>
              <w:ind w:firstLine="1050" w:firstLineChars="500"/>
              <w:rPr>
                <w:szCs w:val="21"/>
              </w:rPr>
            </w:pPr>
            <w:r>
              <w:rPr>
                <w:szCs w:val="21"/>
              </w:rPr>
              <w:t>F1</w:t>
            </w:r>
            <w:r>
              <w:rPr>
                <w:rFonts w:hint="eastAsia"/>
                <w:szCs w:val="21"/>
              </w:rPr>
              <w:t>—排风罩开口面面积，</w:t>
            </w:r>
            <w:r>
              <w:rPr>
                <w:szCs w:val="21"/>
              </w:rPr>
              <w:t>m</w:t>
            </w:r>
            <w:r>
              <w:rPr>
                <w:szCs w:val="21"/>
                <w:vertAlign w:val="superscript"/>
              </w:rPr>
              <w:t>2</w:t>
            </w:r>
            <w:r>
              <w:rPr>
                <w:rFonts w:hint="eastAsia"/>
                <w:szCs w:val="21"/>
              </w:rPr>
              <w:t>。</w:t>
            </w:r>
          </w:p>
          <w:p w14:paraId="4E7BE24F">
            <w:pPr>
              <w:ind w:firstLine="361" w:firstLineChars="200"/>
              <w:jc w:val="center"/>
              <w:rPr>
                <w:rFonts w:hint="default" w:eastAsia="宋体"/>
                <w:b/>
                <w:color w:val="auto"/>
                <w:sz w:val="18"/>
                <w:szCs w:val="18"/>
                <w:lang w:val="en-US" w:eastAsia="zh-CN"/>
              </w:rPr>
            </w:pPr>
            <w:r>
              <w:rPr>
                <w:b/>
                <w:color w:val="auto"/>
                <w:sz w:val="18"/>
                <w:szCs w:val="18"/>
              </w:rPr>
              <w:t>表4</w:t>
            </w:r>
            <w:r>
              <w:rPr>
                <w:rFonts w:hint="eastAsia"/>
                <w:b/>
                <w:color w:val="auto"/>
                <w:sz w:val="18"/>
                <w:szCs w:val="18"/>
                <w:lang w:val="en-US" w:eastAsia="zh-CN"/>
              </w:rPr>
              <w:t>.1-4</w:t>
            </w:r>
            <w:r>
              <w:rPr>
                <w:b/>
                <w:color w:val="auto"/>
                <w:sz w:val="18"/>
                <w:szCs w:val="18"/>
              </w:rPr>
              <w:t xml:space="preserve"> </w:t>
            </w:r>
            <w:r>
              <w:rPr>
                <w:rFonts w:hint="eastAsia"/>
                <w:b/>
                <w:color w:val="auto"/>
                <w:sz w:val="18"/>
                <w:szCs w:val="18"/>
              </w:rPr>
              <w:t xml:space="preserve">  </w:t>
            </w:r>
            <w:r>
              <w:rPr>
                <w:b/>
                <w:color w:val="auto"/>
                <w:sz w:val="18"/>
                <w:szCs w:val="18"/>
              </w:rPr>
              <w:t xml:space="preserve"> </w:t>
            </w:r>
            <w:r>
              <w:rPr>
                <w:rFonts w:hint="eastAsia"/>
                <w:b/>
                <w:color w:val="auto"/>
                <w:sz w:val="18"/>
                <w:szCs w:val="18"/>
              </w:rPr>
              <w:t>集气</w:t>
            </w:r>
            <w:r>
              <w:rPr>
                <w:b/>
                <w:color w:val="auto"/>
                <w:sz w:val="18"/>
                <w:szCs w:val="18"/>
              </w:rPr>
              <w:t>系统</w:t>
            </w:r>
            <w:r>
              <w:rPr>
                <w:rFonts w:hint="eastAsia"/>
                <w:b/>
                <w:color w:val="auto"/>
                <w:sz w:val="18"/>
                <w:szCs w:val="18"/>
              </w:rPr>
              <w:t>技术参数</w:t>
            </w:r>
            <w:r>
              <w:rPr>
                <w:b/>
                <w:color w:val="auto"/>
                <w:sz w:val="18"/>
                <w:szCs w:val="18"/>
              </w:rPr>
              <w:t>一览表</w:t>
            </w:r>
            <w:r>
              <w:rPr>
                <w:rFonts w:hint="eastAsia"/>
                <w:b/>
                <w:color w:val="auto"/>
                <w:sz w:val="18"/>
                <w:szCs w:val="18"/>
                <w:lang w:eastAsia="zh-CN"/>
              </w:rPr>
              <w:t>（</w:t>
            </w:r>
            <w:r>
              <w:rPr>
                <w:rFonts w:hint="eastAsia"/>
                <w:b/>
                <w:color w:val="auto"/>
                <w:sz w:val="18"/>
                <w:szCs w:val="18"/>
                <w:lang w:val="en-US" w:eastAsia="zh-CN"/>
              </w:rPr>
              <w:t>1）</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00"/>
              <w:gridCol w:w="1445"/>
              <w:gridCol w:w="1012"/>
              <w:gridCol w:w="494"/>
              <w:gridCol w:w="1090"/>
              <w:gridCol w:w="1090"/>
              <w:gridCol w:w="1058"/>
              <w:gridCol w:w="635"/>
              <w:gridCol w:w="692"/>
            </w:tblGrid>
            <w:tr w14:paraId="4FD627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vMerge w:val="restart"/>
                  <w:noWrap w:val="0"/>
                  <w:vAlign w:val="center"/>
                </w:tcPr>
                <w:p w14:paraId="0F35D8CE">
                  <w:pPr>
                    <w:jc w:val="center"/>
                    <w:rPr>
                      <w:color w:val="auto"/>
                      <w:sz w:val="18"/>
                      <w:szCs w:val="18"/>
                    </w:rPr>
                  </w:pPr>
                  <w:r>
                    <w:rPr>
                      <w:color w:val="auto"/>
                      <w:sz w:val="18"/>
                      <w:szCs w:val="18"/>
                    </w:rPr>
                    <w:t>序号</w:t>
                  </w:r>
                </w:p>
              </w:tc>
              <w:tc>
                <w:tcPr>
                  <w:tcW w:w="913" w:type="pct"/>
                  <w:vMerge w:val="restart"/>
                  <w:noWrap w:val="0"/>
                  <w:vAlign w:val="center"/>
                </w:tcPr>
                <w:p w14:paraId="20D491A2">
                  <w:pPr>
                    <w:jc w:val="center"/>
                    <w:rPr>
                      <w:color w:val="auto"/>
                      <w:sz w:val="18"/>
                      <w:szCs w:val="18"/>
                    </w:rPr>
                  </w:pPr>
                  <w:r>
                    <w:rPr>
                      <w:color w:val="auto"/>
                      <w:sz w:val="18"/>
                      <w:szCs w:val="18"/>
                    </w:rPr>
                    <w:t>污染源名称</w:t>
                  </w:r>
                </w:p>
              </w:tc>
              <w:tc>
                <w:tcPr>
                  <w:tcW w:w="2995" w:type="pct"/>
                  <w:gridSpan w:val="5"/>
                  <w:tcBorders>
                    <w:right w:val="single" w:color="auto" w:sz="4" w:space="0"/>
                  </w:tcBorders>
                  <w:noWrap w:val="0"/>
                  <w:vAlign w:val="center"/>
                </w:tcPr>
                <w:p w14:paraId="10E3499A">
                  <w:pPr>
                    <w:jc w:val="center"/>
                    <w:rPr>
                      <w:color w:val="auto"/>
                      <w:sz w:val="18"/>
                      <w:szCs w:val="18"/>
                    </w:rPr>
                  </w:pPr>
                  <w:r>
                    <w:rPr>
                      <w:color w:val="auto"/>
                      <w:sz w:val="18"/>
                      <w:szCs w:val="18"/>
                    </w:rPr>
                    <w:t>技术参数</w:t>
                  </w:r>
                </w:p>
              </w:tc>
              <w:tc>
                <w:tcPr>
                  <w:tcW w:w="838" w:type="pct"/>
                  <w:gridSpan w:val="2"/>
                  <w:vMerge w:val="restart"/>
                  <w:tcBorders>
                    <w:left w:val="single" w:color="auto" w:sz="4" w:space="0"/>
                  </w:tcBorders>
                  <w:noWrap w:val="0"/>
                  <w:vAlign w:val="center"/>
                </w:tcPr>
                <w:p w14:paraId="0A881078">
                  <w:pPr>
                    <w:jc w:val="center"/>
                    <w:rPr>
                      <w:color w:val="auto"/>
                      <w:sz w:val="18"/>
                      <w:szCs w:val="18"/>
                    </w:rPr>
                  </w:pPr>
                  <w:r>
                    <w:rPr>
                      <w:color w:val="auto"/>
                      <w:sz w:val="18"/>
                      <w:szCs w:val="18"/>
                    </w:rPr>
                    <w:t>备注</w:t>
                  </w:r>
                </w:p>
              </w:tc>
            </w:tr>
            <w:tr w14:paraId="7A09D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vMerge w:val="continue"/>
                  <w:noWrap w:val="0"/>
                  <w:vAlign w:val="center"/>
                </w:tcPr>
                <w:p w14:paraId="462D6EEA">
                  <w:pPr>
                    <w:jc w:val="center"/>
                    <w:rPr>
                      <w:color w:val="auto"/>
                      <w:sz w:val="18"/>
                      <w:szCs w:val="18"/>
                    </w:rPr>
                  </w:pPr>
                </w:p>
              </w:tc>
              <w:tc>
                <w:tcPr>
                  <w:tcW w:w="913" w:type="pct"/>
                  <w:vMerge w:val="continue"/>
                  <w:noWrap w:val="0"/>
                  <w:vAlign w:val="center"/>
                </w:tcPr>
                <w:p w14:paraId="441DC819">
                  <w:pPr>
                    <w:jc w:val="center"/>
                    <w:rPr>
                      <w:color w:val="auto"/>
                      <w:sz w:val="18"/>
                      <w:szCs w:val="18"/>
                    </w:rPr>
                  </w:pPr>
                </w:p>
              </w:tc>
              <w:tc>
                <w:tcPr>
                  <w:tcW w:w="639" w:type="pct"/>
                  <w:noWrap w:val="0"/>
                  <w:vAlign w:val="center"/>
                </w:tcPr>
                <w:p w14:paraId="25CFB400">
                  <w:pPr>
                    <w:jc w:val="center"/>
                    <w:rPr>
                      <w:color w:val="auto"/>
                      <w:sz w:val="18"/>
                      <w:szCs w:val="18"/>
                    </w:rPr>
                  </w:pPr>
                  <w:r>
                    <w:rPr>
                      <w:rFonts w:hint="eastAsia"/>
                      <w:color w:val="auto"/>
                      <w:sz w:val="18"/>
                      <w:szCs w:val="18"/>
                    </w:rPr>
                    <w:t>尺寸m</w:t>
                  </w:r>
                </w:p>
              </w:tc>
              <w:tc>
                <w:tcPr>
                  <w:tcW w:w="312" w:type="pct"/>
                  <w:tcBorders>
                    <w:right w:val="single" w:color="auto" w:sz="4" w:space="0"/>
                  </w:tcBorders>
                  <w:noWrap w:val="0"/>
                  <w:vAlign w:val="center"/>
                </w:tcPr>
                <w:p w14:paraId="1AAF46D5">
                  <w:pPr>
                    <w:jc w:val="center"/>
                    <w:rPr>
                      <w:color w:val="auto"/>
                      <w:sz w:val="18"/>
                      <w:szCs w:val="18"/>
                    </w:rPr>
                  </w:pPr>
                  <w:r>
                    <w:rPr>
                      <w:rFonts w:hint="eastAsia"/>
                      <w:color w:val="auto"/>
                      <w:sz w:val="18"/>
                      <w:szCs w:val="18"/>
                    </w:rPr>
                    <w:t>Hm</w:t>
                  </w:r>
                </w:p>
              </w:tc>
              <w:tc>
                <w:tcPr>
                  <w:tcW w:w="688" w:type="pct"/>
                  <w:tcBorders>
                    <w:left w:val="single" w:color="auto" w:sz="4" w:space="0"/>
                  </w:tcBorders>
                  <w:noWrap w:val="0"/>
                  <w:vAlign w:val="center"/>
                </w:tcPr>
                <w:p w14:paraId="22602CBC">
                  <w:pPr>
                    <w:jc w:val="center"/>
                    <w:rPr>
                      <w:color w:val="auto"/>
                      <w:sz w:val="18"/>
                      <w:szCs w:val="18"/>
                    </w:rPr>
                  </w:pPr>
                  <w:r>
                    <w:rPr>
                      <w:color w:val="auto"/>
                      <w:sz w:val="18"/>
                      <w:szCs w:val="18"/>
                    </w:rPr>
                    <w:t>罩口面积m</w:t>
                  </w:r>
                  <w:r>
                    <w:rPr>
                      <w:rFonts w:hint="eastAsia"/>
                      <w:color w:val="auto"/>
                      <w:sz w:val="18"/>
                      <w:szCs w:val="18"/>
                      <w:vertAlign w:val="superscript"/>
                    </w:rPr>
                    <w:t>2</w:t>
                  </w:r>
                </w:p>
              </w:tc>
              <w:tc>
                <w:tcPr>
                  <w:tcW w:w="688" w:type="pct"/>
                  <w:noWrap w:val="0"/>
                  <w:vAlign w:val="center"/>
                </w:tcPr>
                <w:p w14:paraId="5EBE11F9">
                  <w:pPr>
                    <w:jc w:val="center"/>
                    <w:rPr>
                      <w:color w:val="auto"/>
                      <w:sz w:val="18"/>
                      <w:szCs w:val="18"/>
                    </w:rPr>
                  </w:pPr>
                  <w:r>
                    <w:rPr>
                      <w:color w:val="auto"/>
                      <w:sz w:val="18"/>
                      <w:szCs w:val="18"/>
                    </w:rPr>
                    <w:t>漏风面积m</w:t>
                  </w:r>
                  <w:r>
                    <w:rPr>
                      <w:rFonts w:hint="eastAsia"/>
                      <w:color w:val="auto"/>
                      <w:sz w:val="18"/>
                      <w:szCs w:val="18"/>
                      <w:vertAlign w:val="superscript"/>
                    </w:rPr>
                    <w:t>2</w:t>
                  </w:r>
                </w:p>
              </w:tc>
              <w:tc>
                <w:tcPr>
                  <w:tcW w:w="668" w:type="pct"/>
                  <w:tcBorders>
                    <w:right w:val="single" w:color="auto" w:sz="4" w:space="0"/>
                  </w:tcBorders>
                  <w:noWrap w:val="0"/>
                  <w:vAlign w:val="center"/>
                </w:tcPr>
                <w:p w14:paraId="3E819992">
                  <w:pPr>
                    <w:jc w:val="center"/>
                    <w:rPr>
                      <w:color w:val="auto"/>
                      <w:sz w:val="18"/>
                      <w:szCs w:val="18"/>
                    </w:rPr>
                  </w:pPr>
                  <w:r>
                    <w:rPr>
                      <w:rFonts w:hint="eastAsia"/>
                      <w:color w:val="auto"/>
                      <w:sz w:val="18"/>
                      <w:szCs w:val="18"/>
                    </w:rPr>
                    <w:t>风</w:t>
                  </w:r>
                  <w:r>
                    <w:rPr>
                      <w:color w:val="auto"/>
                      <w:sz w:val="18"/>
                      <w:szCs w:val="18"/>
                    </w:rPr>
                    <w:t>量m</w:t>
                  </w:r>
                  <w:r>
                    <w:rPr>
                      <w:rFonts w:hint="eastAsia"/>
                      <w:color w:val="auto"/>
                      <w:sz w:val="18"/>
                      <w:szCs w:val="18"/>
                      <w:vertAlign w:val="superscript"/>
                    </w:rPr>
                    <w:t>3</w:t>
                  </w:r>
                  <w:r>
                    <w:rPr>
                      <w:rFonts w:hint="eastAsia"/>
                      <w:color w:val="auto"/>
                      <w:sz w:val="18"/>
                      <w:szCs w:val="18"/>
                    </w:rPr>
                    <w:t>/h</w:t>
                  </w:r>
                </w:p>
              </w:tc>
              <w:tc>
                <w:tcPr>
                  <w:tcW w:w="838" w:type="pct"/>
                  <w:gridSpan w:val="2"/>
                  <w:vMerge w:val="continue"/>
                  <w:tcBorders>
                    <w:left w:val="single" w:color="auto" w:sz="4" w:space="0"/>
                  </w:tcBorders>
                  <w:noWrap w:val="0"/>
                  <w:vAlign w:val="center"/>
                </w:tcPr>
                <w:p w14:paraId="7C20CE68">
                  <w:pPr>
                    <w:jc w:val="center"/>
                    <w:rPr>
                      <w:color w:val="auto"/>
                      <w:sz w:val="18"/>
                      <w:szCs w:val="18"/>
                    </w:rPr>
                  </w:pPr>
                </w:p>
              </w:tc>
            </w:tr>
            <w:tr w14:paraId="5DCFC5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3D53E740">
                  <w:pPr>
                    <w:jc w:val="center"/>
                    <w:rPr>
                      <w:color w:val="auto"/>
                      <w:sz w:val="18"/>
                      <w:szCs w:val="18"/>
                    </w:rPr>
                  </w:pPr>
                  <w:r>
                    <w:rPr>
                      <w:rFonts w:hint="eastAsia"/>
                      <w:color w:val="auto"/>
                      <w:sz w:val="18"/>
                      <w:szCs w:val="18"/>
                    </w:rPr>
                    <w:t>1</w:t>
                  </w:r>
                </w:p>
              </w:tc>
              <w:tc>
                <w:tcPr>
                  <w:tcW w:w="913" w:type="pct"/>
                  <w:noWrap w:val="0"/>
                  <w:vAlign w:val="center"/>
                </w:tcPr>
                <w:p w14:paraId="5EEEE0FB">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数控带锯机</w:t>
                  </w:r>
                </w:p>
              </w:tc>
              <w:tc>
                <w:tcPr>
                  <w:tcW w:w="639" w:type="pct"/>
                  <w:noWrap w:val="0"/>
                  <w:vAlign w:val="center"/>
                </w:tcPr>
                <w:p w14:paraId="44671B12">
                  <w:pPr>
                    <w:jc w:val="center"/>
                    <w:rPr>
                      <w:rFonts w:hint="default" w:eastAsia="宋体"/>
                      <w:color w:val="auto"/>
                      <w:sz w:val="18"/>
                      <w:szCs w:val="18"/>
                      <w:lang w:val="en-US" w:eastAsia="zh-CN"/>
                    </w:rPr>
                  </w:pPr>
                  <w:r>
                    <w:rPr>
                      <w:rFonts w:hint="eastAsia"/>
                      <w:color w:val="auto"/>
                      <w:sz w:val="18"/>
                      <w:szCs w:val="18"/>
                      <w:lang w:val="en-US" w:eastAsia="zh-CN"/>
                    </w:rPr>
                    <w:t>0.6</w:t>
                  </w:r>
                  <w:r>
                    <w:rPr>
                      <w:rFonts w:hint="eastAsia"/>
                      <w:color w:val="auto"/>
                      <w:sz w:val="18"/>
                      <w:szCs w:val="18"/>
                    </w:rPr>
                    <w:t>×</w:t>
                  </w:r>
                  <w:r>
                    <w:rPr>
                      <w:rFonts w:hint="eastAsia"/>
                      <w:color w:val="auto"/>
                      <w:sz w:val="18"/>
                      <w:szCs w:val="18"/>
                      <w:lang w:val="en-US" w:eastAsia="zh-CN"/>
                    </w:rPr>
                    <w:t>0.6</w:t>
                  </w:r>
                </w:p>
              </w:tc>
              <w:tc>
                <w:tcPr>
                  <w:tcW w:w="312" w:type="pct"/>
                  <w:tcBorders>
                    <w:right w:val="single" w:color="auto" w:sz="4" w:space="0"/>
                  </w:tcBorders>
                  <w:noWrap w:val="0"/>
                  <w:vAlign w:val="center"/>
                </w:tcPr>
                <w:p w14:paraId="4855125F">
                  <w:pPr>
                    <w:jc w:val="center"/>
                    <w:rPr>
                      <w:rFonts w:hint="default" w:eastAsia="宋体"/>
                      <w:color w:val="auto"/>
                      <w:sz w:val="18"/>
                      <w:szCs w:val="18"/>
                      <w:lang w:val="en-US" w:eastAsia="zh-CN"/>
                    </w:rPr>
                  </w:pPr>
                  <w:r>
                    <w:rPr>
                      <w:rFonts w:hint="eastAsia"/>
                      <w:color w:val="auto"/>
                      <w:sz w:val="18"/>
                      <w:szCs w:val="18"/>
                    </w:rPr>
                    <w:t>0</w:t>
                  </w:r>
                  <w:r>
                    <w:rPr>
                      <w:rFonts w:hint="eastAsia"/>
                      <w:color w:val="auto"/>
                      <w:sz w:val="18"/>
                      <w:szCs w:val="18"/>
                      <w:lang w:val="en-US" w:eastAsia="zh-CN"/>
                    </w:rPr>
                    <w:t>.2</w:t>
                  </w:r>
                </w:p>
              </w:tc>
              <w:tc>
                <w:tcPr>
                  <w:tcW w:w="688" w:type="pct"/>
                  <w:tcBorders>
                    <w:left w:val="single" w:color="auto" w:sz="4" w:space="0"/>
                  </w:tcBorders>
                  <w:noWrap w:val="0"/>
                  <w:vAlign w:val="center"/>
                </w:tcPr>
                <w:p w14:paraId="1DA7E652">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0.36</w:t>
                  </w:r>
                </w:p>
              </w:tc>
              <w:tc>
                <w:tcPr>
                  <w:tcW w:w="688" w:type="pct"/>
                  <w:noWrap w:val="0"/>
                  <w:vAlign w:val="center"/>
                </w:tcPr>
                <w:p w14:paraId="5A4B9649">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0.48</w:t>
                  </w:r>
                </w:p>
              </w:tc>
              <w:tc>
                <w:tcPr>
                  <w:tcW w:w="668" w:type="pct"/>
                  <w:tcBorders>
                    <w:right w:val="single" w:color="auto" w:sz="4" w:space="0"/>
                  </w:tcBorders>
                  <w:noWrap w:val="0"/>
                  <w:vAlign w:val="center"/>
                </w:tcPr>
                <w:p w14:paraId="5FDE7EC3">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882</w:t>
                  </w:r>
                </w:p>
              </w:tc>
              <w:tc>
                <w:tcPr>
                  <w:tcW w:w="401" w:type="pct"/>
                  <w:tcBorders>
                    <w:left w:val="single" w:color="auto" w:sz="4" w:space="0"/>
                    <w:right w:val="single" w:color="auto" w:sz="4" w:space="0"/>
                  </w:tcBorders>
                  <w:noWrap w:val="0"/>
                  <w:vAlign w:val="center"/>
                </w:tcPr>
                <w:p w14:paraId="69C004C9">
                  <w:pPr>
                    <w:jc w:val="center"/>
                    <w:rPr>
                      <w:rFonts w:hint="default" w:eastAsia="宋体"/>
                      <w:color w:val="auto"/>
                      <w:sz w:val="18"/>
                      <w:szCs w:val="18"/>
                      <w:lang w:val="en-US" w:eastAsia="zh-CN"/>
                    </w:rPr>
                  </w:pPr>
                  <w:r>
                    <w:rPr>
                      <w:rFonts w:hint="eastAsia"/>
                      <w:color w:val="auto"/>
                      <w:sz w:val="18"/>
                      <w:szCs w:val="18"/>
                      <w:lang w:val="en-US" w:eastAsia="zh-CN"/>
                    </w:rPr>
                    <w:t>1套</w:t>
                  </w:r>
                </w:p>
              </w:tc>
              <w:tc>
                <w:tcPr>
                  <w:tcW w:w="436" w:type="pct"/>
                  <w:vMerge w:val="restart"/>
                  <w:tcBorders>
                    <w:left w:val="single" w:color="auto" w:sz="4" w:space="0"/>
                  </w:tcBorders>
                  <w:noWrap w:val="0"/>
                  <w:vAlign w:val="center"/>
                </w:tcPr>
                <w:p w14:paraId="2F4C4BCC">
                  <w:pPr>
                    <w:jc w:val="center"/>
                    <w:rPr>
                      <w:rFonts w:hint="eastAsia"/>
                      <w:color w:val="auto"/>
                      <w:sz w:val="18"/>
                      <w:szCs w:val="18"/>
                      <w:lang w:val="en-US" w:eastAsia="zh-CN"/>
                    </w:rPr>
                  </w:pPr>
                  <w:r>
                    <w:rPr>
                      <w:rFonts w:hint="eastAsia"/>
                      <w:color w:val="auto"/>
                      <w:sz w:val="18"/>
                      <w:szCs w:val="18"/>
                      <w:lang w:val="en-US" w:eastAsia="zh-CN"/>
                    </w:rPr>
                    <w:t>五</w:t>
                  </w:r>
                </w:p>
                <w:p w14:paraId="12D839A7">
                  <w:pPr>
                    <w:jc w:val="center"/>
                    <w:rPr>
                      <w:rFonts w:hint="eastAsia"/>
                      <w:color w:val="auto"/>
                      <w:sz w:val="18"/>
                      <w:szCs w:val="18"/>
                      <w:lang w:val="en-US" w:eastAsia="zh-CN"/>
                    </w:rPr>
                  </w:pPr>
                  <w:r>
                    <w:rPr>
                      <w:rFonts w:hint="eastAsia"/>
                      <w:color w:val="auto"/>
                      <w:sz w:val="18"/>
                      <w:szCs w:val="18"/>
                      <w:lang w:val="en-US" w:eastAsia="zh-CN"/>
                    </w:rPr>
                    <w:t>车</w:t>
                  </w:r>
                </w:p>
                <w:p w14:paraId="6DCDC91C">
                  <w:pPr>
                    <w:jc w:val="center"/>
                    <w:rPr>
                      <w:rFonts w:hint="eastAsia" w:eastAsia="宋体"/>
                      <w:color w:val="auto"/>
                      <w:sz w:val="18"/>
                      <w:szCs w:val="18"/>
                      <w:lang w:val="en-US" w:eastAsia="zh-CN"/>
                    </w:rPr>
                  </w:pPr>
                  <w:r>
                    <w:rPr>
                      <w:rFonts w:hint="eastAsia"/>
                      <w:color w:val="auto"/>
                      <w:sz w:val="18"/>
                      <w:szCs w:val="18"/>
                      <w:lang w:val="en-US" w:eastAsia="zh-CN"/>
                    </w:rPr>
                    <w:t>间</w:t>
                  </w:r>
                </w:p>
              </w:tc>
            </w:tr>
            <w:tr w14:paraId="6C6D9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7DDFDFB9">
                  <w:pPr>
                    <w:jc w:val="center"/>
                    <w:rPr>
                      <w:color w:val="auto"/>
                      <w:sz w:val="18"/>
                      <w:szCs w:val="18"/>
                    </w:rPr>
                  </w:pPr>
                  <w:r>
                    <w:rPr>
                      <w:rFonts w:hint="eastAsia"/>
                      <w:color w:val="auto"/>
                      <w:sz w:val="18"/>
                      <w:szCs w:val="18"/>
                    </w:rPr>
                    <w:t>2</w:t>
                  </w:r>
                </w:p>
              </w:tc>
              <w:tc>
                <w:tcPr>
                  <w:tcW w:w="913" w:type="pct"/>
                  <w:shd w:val="clear" w:color="auto" w:fill="auto"/>
                  <w:noWrap w:val="0"/>
                  <w:vAlign w:val="center"/>
                </w:tcPr>
                <w:p w14:paraId="1EC9C9B6">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rPr>
                    <w:t>精密推台锯</w:t>
                  </w:r>
                </w:p>
              </w:tc>
              <w:tc>
                <w:tcPr>
                  <w:tcW w:w="639" w:type="pct"/>
                  <w:noWrap w:val="0"/>
                  <w:vAlign w:val="center"/>
                </w:tcPr>
                <w:p w14:paraId="7EA5CED6">
                  <w:pPr>
                    <w:jc w:val="center"/>
                    <w:rPr>
                      <w:rFonts w:hint="default" w:eastAsia="宋体"/>
                      <w:color w:val="auto"/>
                      <w:sz w:val="18"/>
                      <w:szCs w:val="18"/>
                      <w:lang w:val="en-US" w:eastAsia="zh-CN"/>
                    </w:rPr>
                  </w:pPr>
                  <w:r>
                    <w:rPr>
                      <w:rFonts w:hint="eastAsia"/>
                      <w:color w:val="auto"/>
                      <w:sz w:val="18"/>
                      <w:szCs w:val="18"/>
                      <w:lang w:val="en-US" w:eastAsia="zh-CN"/>
                    </w:rPr>
                    <w:t>0.8</w:t>
                  </w:r>
                  <w:r>
                    <w:rPr>
                      <w:rFonts w:hint="eastAsia"/>
                      <w:color w:val="auto"/>
                      <w:sz w:val="18"/>
                      <w:szCs w:val="18"/>
                    </w:rPr>
                    <w:t>×</w:t>
                  </w:r>
                  <w:r>
                    <w:rPr>
                      <w:rFonts w:hint="eastAsia"/>
                      <w:color w:val="auto"/>
                      <w:sz w:val="18"/>
                      <w:szCs w:val="18"/>
                      <w:lang w:val="en-US" w:eastAsia="zh-CN"/>
                    </w:rPr>
                    <w:t>0.6</w:t>
                  </w:r>
                </w:p>
              </w:tc>
              <w:tc>
                <w:tcPr>
                  <w:tcW w:w="312" w:type="pct"/>
                  <w:tcBorders>
                    <w:right w:val="single" w:color="auto" w:sz="4" w:space="0"/>
                  </w:tcBorders>
                  <w:noWrap w:val="0"/>
                  <w:vAlign w:val="center"/>
                </w:tcPr>
                <w:p w14:paraId="6300C6AB">
                  <w:pPr>
                    <w:jc w:val="center"/>
                    <w:rPr>
                      <w:rFonts w:hint="eastAsia" w:eastAsia="宋体"/>
                      <w:color w:val="auto"/>
                      <w:sz w:val="18"/>
                      <w:szCs w:val="18"/>
                      <w:lang w:val="en-US" w:eastAsia="zh-CN"/>
                    </w:rPr>
                  </w:pPr>
                  <w:r>
                    <w:rPr>
                      <w:rFonts w:hint="eastAsia"/>
                      <w:color w:val="auto"/>
                      <w:sz w:val="18"/>
                      <w:szCs w:val="18"/>
                    </w:rPr>
                    <w:t>0.</w:t>
                  </w:r>
                  <w:r>
                    <w:rPr>
                      <w:rFonts w:hint="eastAsia"/>
                      <w:color w:val="auto"/>
                      <w:sz w:val="18"/>
                      <w:szCs w:val="18"/>
                      <w:lang w:val="en-US" w:eastAsia="zh-CN"/>
                    </w:rPr>
                    <w:t>2</w:t>
                  </w:r>
                </w:p>
              </w:tc>
              <w:tc>
                <w:tcPr>
                  <w:tcW w:w="688" w:type="pct"/>
                  <w:tcBorders>
                    <w:left w:val="single" w:color="auto" w:sz="4" w:space="0"/>
                  </w:tcBorders>
                  <w:noWrap w:val="0"/>
                  <w:vAlign w:val="center"/>
                </w:tcPr>
                <w:p w14:paraId="6D7CE7E5">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0.48</w:t>
                  </w:r>
                </w:p>
              </w:tc>
              <w:tc>
                <w:tcPr>
                  <w:tcW w:w="688" w:type="pct"/>
                  <w:noWrap w:val="0"/>
                  <w:vAlign w:val="center"/>
                </w:tcPr>
                <w:p w14:paraId="56D5DF7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0.56</w:t>
                  </w:r>
                </w:p>
              </w:tc>
              <w:tc>
                <w:tcPr>
                  <w:tcW w:w="668" w:type="pct"/>
                  <w:tcBorders>
                    <w:right w:val="single" w:color="auto" w:sz="4" w:space="0"/>
                  </w:tcBorders>
                  <w:noWrap w:val="0"/>
                  <w:vAlign w:val="center"/>
                </w:tcPr>
                <w:p w14:paraId="48165D3E">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1134</w:t>
                  </w:r>
                </w:p>
              </w:tc>
              <w:tc>
                <w:tcPr>
                  <w:tcW w:w="401" w:type="pct"/>
                  <w:tcBorders>
                    <w:left w:val="single" w:color="auto" w:sz="4" w:space="0"/>
                    <w:right w:val="single" w:color="auto" w:sz="4" w:space="0"/>
                  </w:tcBorders>
                  <w:noWrap w:val="0"/>
                  <w:vAlign w:val="center"/>
                </w:tcPr>
                <w:p w14:paraId="49BE024E">
                  <w:pPr>
                    <w:jc w:val="center"/>
                    <w:rPr>
                      <w:rFonts w:hint="eastAsia"/>
                      <w:color w:val="auto"/>
                      <w:sz w:val="18"/>
                      <w:szCs w:val="18"/>
                    </w:rPr>
                  </w:pPr>
                  <w:r>
                    <w:rPr>
                      <w:rFonts w:hint="eastAsia"/>
                      <w:color w:val="auto"/>
                      <w:sz w:val="18"/>
                      <w:szCs w:val="18"/>
                      <w:lang w:val="en-US" w:eastAsia="zh-CN"/>
                    </w:rPr>
                    <w:t>1套</w:t>
                  </w:r>
                </w:p>
              </w:tc>
              <w:tc>
                <w:tcPr>
                  <w:tcW w:w="436" w:type="pct"/>
                  <w:vMerge w:val="continue"/>
                  <w:tcBorders>
                    <w:left w:val="single" w:color="auto" w:sz="4" w:space="0"/>
                  </w:tcBorders>
                  <w:noWrap w:val="0"/>
                  <w:vAlign w:val="center"/>
                </w:tcPr>
                <w:p w14:paraId="7EED1CA8">
                  <w:pPr>
                    <w:jc w:val="center"/>
                    <w:rPr>
                      <w:rFonts w:hint="eastAsia"/>
                      <w:color w:val="auto"/>
                      <w:sz w:val="18"/>
                      <w:szCs w:val="18"/>
                      <w:lang w:val="en-US" w:eastAsia="zh-CN"/>
                    </w:rPr>
                  </w:pPr>
                </w:p>
              </w:tc>
            </w:tr>
            <w:tr w14:paraId="482BA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0D0CDC48">
                  <w:pPr>
                    <w:jc w:val="center"/>
                    <w:rPr>
                      <w:rFonts w:hint="eastAsia" w:eastAsia="宋体"/>
                      <w:color w:val="auto"/>
                      <w:sz w:val="18"/>
                      <w:szCs w:val="18"/>
                      <w:lang w:val="en-US" w:eastAsia="zh-CN"/>
                    </w:rPr>
                  </w:pPr>
                  <w:r>
                    <w:rPr>
                      <w:rFonts w:hint="eastAsia"/>
                      <w:color w:val="auto"/>
                      <w:sz w:val="18"/>
                      <w:szCs w:val="18"/>
                      <w:lang w:val="en-US" w:eastAsia="zh-CN"/>
                    </w:rPr>
                    <w:t>3</w:t>
                  </w:r>
                </w:p>
              </w:tc>
              <w:tc>
                <w:tcPr>
                  <w:tcW w:w="913" w:type="pct"/>
                  <w:shd w:val="clear" w:color="auto" w:fill="auto"/>
                  <w:noWrap w:val="0"/>
                  <w:vAlign w:val="center"/>
                </w:tcPr>
                <w:p w14:paraId="61A67926">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rPr>
                    <w:t>重型四面刨</w:t>
                  </w:r>
                </w:p>
              </w:tc>
              <w:tc>
                <w:tcPr>
                  <w:tcW w:w="639" w:type="pct"/>
                  <w:noWrap w:val="0"/>
                  <w:vAlign w:val="center"/>
                </w:tcPr>
                <w:p w14:paraId="34A54A78">
                  <w:pPr>
                    <w:jc w:val="center"/>
                    <w:rPr>
                      <w:rFonts w:hint="default" w:eastAsia="宋体"/>
                      <w:color w:val="auto"/>
                      <w:sz w:val="18"/>
                      <w:szCs w:val="18"/>
                      <w:lang w:val="en-US" w:eastAsia="zh-CN"/>
                    </w:rPr>
                  </w:pPr>
                  <w:r>
                    <w:rPr>
                      <w:rFonts w:hint="eastAsia"/>
                      <w:color w:val="auto"/>
                      <w:sz w:val="18"/>
                      <w:szCs w:val="18"/>
                      <w:lang w:val="en-US" w:eastAsia="zh-CN"/>
                    </w:rPr>
                    <w:t>2.0</w:t>
                  </w:r>
                  <w:r>
                    <w:rPr>
                      <w:rFonts w:hint="eastAsia"/>
                      <w:color w:val="auto"/>
                      <w:sz w:val="18"/>
                      <w:szCs w:val="18"/>
                    </w:rPr>
                    <w:t>×</w:t>
                  </w:r>
                  <w:r>
                    <w:rPr>
                      <w:rFonts w:hint="eastAsia"/>
                      <w:color w:val="auto"/>
                      <w:sz w:val="18"/>
                      <w:szCs w:val="18"/>
                      <w:lang w:val="en-US" w:eastAsia="zh-CN"/>
                    </w:rPr>
                    <w:t>0.23</w:t>
                  </w:r>
                </w:p>
              </w:tc>
              <w:tc>
                <w:tcPr>
                  <w:tcW w:w="312" w:type="pct"/>
                  <w:tcBorders>
                    <w:right w:val="single" w:color="auto" w:sz="4" w:space="0"/>
                  </w:tcBorders>
                  <w:noWrap w:val="0"/>
                  <w:vAlign w:val="center"/>
                </w:tcPr>
                <w:p w14:paraId="63498045">
                  <w:pPr>
                    <w:jc w:val="center"/>
                    <w:rPr>
                      <w:rFonts w:hint="default" w:eastAsia="宋体"/>
                      <w:color w:val="auto"/>
                      <w:sz w:val="18"/>
                      <w:szCs w:val="18"/>
                      <w:lang w:val="en-US" w:eastAsia="zh-CN"/>
                    </w:rPr>
                  </w:pPr>
                  <w:r>
                    <w:rPr>
                      <w:rFonts w:hint="eastAsia"/>
                      <w:color w:val="auto"/>
                      <w:sz w:val="18"/>
                      <w:szCs w:val="18"/>
                      <w:lang w:val="en-US" w:eastAsia="zh-CN"/>
                    </w:rPr>
                    <w:t>0.2</w:t>
                  </w:r>
                </w:p>
              </w:tc>
              <w:tc>
                <w:tcPr>
                  <w:tcW w:w="688" w:type="pct"/>
                  <w:tcBorders>
                    <w:left w:val="single" w:color="auto" w:sz="4" w:space="0"/>
                  </w:tcBorders>
                  <w:noWrap w:val="0"/>
                  <w:vAlign w:val="center"/>
                </w:tcPr>
                <w:p w14:paraId="7166B97B">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0.46</w:t>
                  </w:r>
                </w:p>
              </w:tc>
              <w:tc>
                <w:tcPr>
                  <w:tcW w:w="688" w:type="pct"/>
                  <w:noWrap w:val="0"/>
                  <w:vAlign w:val="center"/>
                </w:tcPr>
                <w:p w14:paraId="355D0B1E">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0.892</w:t>
                  </w:r>
                </w:p>
              </w:tc>
              <w:tc>
                <w:tcPr>
                  <w:tcW w:w="668" w:type="pct"/>
                  <w:tcBorders>
                    <w:right w:val="single" w:color="auto" w:sz="4" w:space="0"/>
                  </w:tcBorders>
                  <w:noWrap w:val="0"/>
                  <w:vAlign w:val="center"/>
                </w:tcPr>
                <w:p w14:paraId="2B358EDB">
                  <w:pPr>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1247.4</w:t>
                  </w:r>
                </w:p>
              </w:tc>
              <w:tc>
                <w:tcPr>
                  <w:tcW w:w="401" w:type="pct"/>
                  <w:tcBorders>
                    <w:left w:val="single" w:color="auto" w:sz="4" w:space="0"/>
                    <w:right w:val="single" w:color="auto" w:sz="4" w:space="0"/>
                  </w:tcBorders>
                  <w:noWrap w:val="0"/>
                  <w:vAlign w:val="center"/>
                </w:tcPr>
                <w:p w14:paraId="39F986EB">
                  <w:pPr>
                    <w:jc w:val="center"/>
                    <w:rPr>
                      <w:rFonts w:hint="eastAsia"/>
                      <w:color w:val="auto"/>
                      <w:sz w:val="18"/>
                      <w:szCs w:val="18"/>
                      <w:lang w:val="en-US" w:eastAsia="zh-CN"/>
                    </w:rPr>
                  </w:pPr>
                  <w:r>
                    <w:rPr>
                      <w:rFonts w:hint="eastAsia"/>
                      <w:color w:val="auto"/>
                      <w:sz w:val="18"/>
                      <w:szCs w:val="18"/>
                      <w:lang w:val="en-US" w:eastAsia="zh-CN"/>
                    </w:rPr>
                    <w:t>1套</w:t>
                  </w:r>
                </w:p>
              </w:tc>
              <w:tc>
                <w:tcPr>
                  <w:tcW w:w="436" w:type="pct"/>
                  <w:vMerge w:val="continue"/>
                  <w:tcBorders>
                    <w:left w:val="single" w:color="auto" w:sz="4" w:space="0"/>
                  </w:tcBorders>
                  <w:noWrap w:val="0"/>
                  <w:vAlign w:val="center"/>
                </w:tcPr>
                <w:p w14:paraId="69CFEEC7">
                  <w:pPr>
                    <w:jc w:val="center"/>
                    <w:rPr>
                      <w:rFonts w:hint="eastAsia"/>
                      <w:color w:val="auto"/>
                      <w:sz w:val="18"/>
                      <w:szCs w:val="18"/>
                      <w:lang w:val="en-US" w:eastAsia="zh-CN"/>
                    </w:rPr>
                  </w:pPr>
                </w:p>
              </w:tc>
            </w:tr>
            <w:tr w14:paraId="2C383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6" w:type="pct"/>
                  <w:gridSpan w:val="2"/>
                  <w:noWrap w:val="0"/>
                  <w:vAlign w:val="center"/>
                </w:tcPr>
                <w:p w14:paraId="0A41A437">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小计</w:t>
                  </w:r>
                </w:p>
              </w:tc>
              <w:tc>
                <w:tcPr>
                  <w:tcW w:w="639" w:type="pct"/>
                  <w:shd w:val="clear" w:color="auto" w:fill="auto"/>
                  <w:noWrap w:val="0"/>
                  <w:vAlign w:val="center"/>
                </w:tcPr>
                <w:p w14:paraId="1F1B6805">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312" w:type="pct"/>
                  <w:tcBorders>
                    <w:right w:val="single" w:color="auto" w:sz="4" w:space="0"/>
                  </w:tcBorders>
                  <w:shd w:val="clear" w:color="auto" w:fill="auto"/>
                  <w:noWrap w:val="0"/>
                  <w:vAlign w:val="center"/>
                </w:tcPr>
                <w:p w14:paraId="292CD031">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tcBorders>
                    <w:left w:val="single" w:color="auto" w:sz="4" w:space="0"/>
                  </w:tcBorders>
                  <w:shd w:val="clear" w:color="auto" w:fill="auto"/>
                  <w:noWrap w:val="0"/>
                  <w:vAlign w:val="center"/>
                </w:tcPr>
                <w:p w14:paraId="1FA9877F">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shd w:val="clear" w:color="auto" w:fill="auto"/>
                  <w:noWrap w:val="0"/>
                  <w:vAlign w:val="center"/>
                </w:tcPr>
                <w:p w14:paraId="278502C4">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68" w:type="pct"/>
                  <w:tcBorders>
                    <w:right w:val="single" w:color="auto" w:sz="4" w:space="0"/>
                  </w:tcBorders>
                  <w:noWrap w:val="0"/>
                  <w:vAlign w:val="center"/>
                </w:tcPr>
                <w:p w14:paraId="658ECE94">
                  <w:pPr>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3263.4</w:t>
                  </w:r>
                </w:p>
              </w:tc>
              <w:tc>
                <w:tcPr>
                  <w:tcW w:w="401" w:type="pct"/>
                  <w:tcBorders>
                    <w:left w:val="single" w:color="auto" w:sz="4" w:space="0"/>
                    <w:right w:val="single" w:color="auto" w:sz="4" w:space="0"/>
                  </w:tcBorders>
                  <w:noWrap w:val="0"/>
                  <w:vAlign w:val="center"/>
                </w:tcPr>
                <w:p w14:paraId="3E4E8E60">
                  <w:pPr>
                    <w:jc w:val="center"/>
                    <w:rPr>
                      <w:rFonts w:hint="default"/>
                      <w:color w:val="auto"/>
                      <w:sz w:val="18"/>
                      <w:szCs w:val="18"/>
                      <w:lang w:val="en-US" w:eastAsia="zh-CN"/>
                    </w:rPr>
                  </w:pPr>
                  <w:r>
                    <w:rPr>
                      <w:rFonts w:hint="eastAsia"/>
                      <w:color w:val="auto"/>
                      <w:sz w:val="18"/>
                      <w:szCs w:val="18"/>
                      <w:lang w:val="en-US" w:eastAsia="zh-CN"/>
                    </w:rPr>
                    <w:t>3套</w:t>
                  </w:r>
                </w:p>
              </w:tc>
              <w:tc>
                <w:tcPr>
                  <w:tcW w:w="436" w:type="pct"/>
                  <w:vMerge w:val="continue"/>
                  <w:tcBorders>
                    <w:left w:val="single" w:color="auto" w:sz="4" w:space="0"/>
                  </w:tcBorders>
                  <w:noWrap w:val="0"/>
                  <w:vAlign w:val="center"/>
                </w:tcPr>
                <w:p w14:paraId="58D5457F">
                  <w:pPr>
                    <w:jc w:val="center"/>
                    <w:rPr>
                      <w:rFonts w:hint="eastAsia"/>
                      <w:color w:val="auto"/>
                      <w:sz w:val="18"/>
                      <w:szCs w:val="18"/>
                      <w:lang w:val="en-US" w:eastAsia="zh-CN"/>
                    </w:rPr>
                  </w:pPr>
                </w:p>
              </w:tc>
            </w:tr>
            <w:tr w14:paraId="5E104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3EA4A37E">
                  <w:pPr>
                    <w:jc w:val="center"/>
                    <w:rPr>
                      <w:rFonts w:hint="eastAsia" w:eastAsia="宋体"/>
                      <w:color w:val="auto"/>
                      <w:sz w:val="18"/>
                      <w:szCs w:val="18"/>
                      <w:lang w:val="en-US" w:eastAsia="zh-CN"/>
                    </w:rPr>
                  </w:pPr>
                  <w:r>
                    <w:rPr>
                      <w:rFonts w:hint="eastAsia"/>
                      <w:color w:val="auto"/>
                      <w:sz w:val="18"/>
                      <w:szCs w:val="18"/>
                      <w:lang w:val="en-US" w:eastAsia="zh-CN"/>
                    </w:rPr>
                    <w:t>4</w:t>
                  </w:r>
                </w:p>
              </w:tc>
              <w:tc>
                <w:tcPr>
                  <w:tcW w:w="913" w:type="pct"/>
                  <w:noWrap w:val="0"/>
                  <w:vAlign w:val="center"/>
                </w:tcPr>
                <w:p w14:paraId="55AD1A7E">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数控开榫机</w:t>
                  </w:r>
                </w:p>
              </w:tc>
              <w:tc>
                <w:tcPr>
                  <w:tcW w:w="639" w:type="pct"/>
                  <w:noWrap w:val="0"/>
                  <w:vAlign w:val="center"/>
                </w:tcPr>
                <w:p w14:paraId="3320245C">
                  <w:pPr>
                    <w:jc w:val="center"/>
                    <w:rPr>
                      <w:rFonts w:hint="default"/>
                      <w:color w:val="auto"/>
                      <w:sz w:val="18"/>
                      <w:szCs w:val="18"/>
                      <w:lang w:val="en-US"/>
                    </w:rPr>
                  </w:pPr>
                  <w:r>
                    <w:rPr>
                      <w:rFonts w:hint="eastAsia"/>
                      <w:color w:val="auto"/>
                      <w:sz w:val="18"/>
                      <w:szCs w:val="18"/>
                      <w:lang w:val="en-US" w:eastAsia="zh-CN"/>
                    </w:rPr>
                    <w:t>1.2</w:t>
                  </w:r>
                  <w:r>
                    <w:rPr>
                      <w:rFonts w:hint="eastAsia"/>
                      <w:color w:val="auto"/>
                      <w:sz w:val="18"/>
                      <w:szCs w:val="18"/>
                    </w:rPr>
                    <w:t>×</w:t>
                  </w:r>
                  <w:r>
                    <w:rPr>
                      <w:rFonts w:hint="eastAsia"/>
                      <w:color w:val="auto"/>
                      <w:sz w:val="18"/>
                      <w:szCs w:val="18"/>
                      <w:lang w:val="en-US" w:eastAsia="zh-CN"/>
                    </w:rPr>
                    <w:t>0.32</w:t>
                  </w:r>
                </w:p>
              </w:tc>
              <w:tc>
                <w:tcPr>
                  <w:tcW w:w="312" w:type="pct"/>
                  <w:tcBorders>
                    <w:right w:val="single" w:color="auto" w:sz="4" w:space="0"/>
                  </w:tcBorders>
                  <w:noWrap w:val="0"/>
                  <w:vAlign w:val="center"/>
                </w:tcPr>
                <w:p w14:paraId="724BE976">
                  <w:pPr>
                    <w:jc w:val="center"/>
                    <w:rPr>
                      <w:rFonts w:hint="eastAsia"/>
                      <w:color w:val="auto"/>
                      <w:sz w:val="18"/>
                      <w:szCs w:val="18"/>
                    </w:rPr>
                  </w:pPr>
                  <w:r>
                    <w:rPr>
                      <w:rFonts w:hint="eastAsia"/>
                      <w:color w:val="auto"/>
                      <w:sz w:val="18"/>
                      <w:szCs w:val="18"/>
                    </w:rPr>
                    <w:t>0</w:t>
                  </w:r>
                  <w:r>
                    <w:rPr>
                      <w:rFonts w:hint="eastAsia"/>
                      <w:color w:val="auto"/>
                      <w:sz w:val="18"/>
                      <w:szCs w:val="18"/>
                      <w:lang w:val="en-US" w:eastAsia="zh-CN"/>
                    </w:rPr>
                    <w:t>.2</w:t>
                  </w:r>
                </w:p>
              </w:tc>
              <w:tc>
                <w:tcPr>
                  <w:tcW w:w="688" w:type="pct"/>
                  <w:tcBorders>
                    <w:left w:val="single" w:color="auto" w:sz="4" w:space="0"/>
                  </w:tcBorders>
                  <w:noWrap w:val="0"/>
                  <w:vAlign w:val="center"/>
                </w:tcPr>
                <w:p w14:paraId="0F5D8297">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0.384</w:t>
                  </w:r>
                </w:p>
              </w:tc>
              <w:tc>
                <w:tcPr>
                  <w:tcW w:w="688" w:type="pct"/>
                  <w:noWrap w:val="0"/>
                  <w:vAlign w:val="center"/>
                </w:tcPr>
                <w:p w14:paraId="5B8775E7">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0.608</w:t>
                  </w:r>
                </w:p>
              </w:tc>
              <w:tc>
                <w:tcPr>
                  <w:tcW w:w="668" w:type="pct"/>
                  <w:tcBorders>
                    <w:right w:val="single" w:color="auto" w:sz="4" w:space="0"/>
                  </w:tcBorders>
                  <w:noWrap w:val="0"/>
                  <w:vAlign w:val="center"/>
                </w:tcPr>
                <w:p w14:paraId="451A8FC1">
                  <w:pPr>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982.8</w:t>
                  </w:r>
                </w:p>
              </w:tc>
              <w:tc>
                <w:tcPr>
                  <w:tcW w:w="401" w:type="pct"/>
                  <w:tcBorders>
                    <w:left w:val="single" w:color="auto" w:sz="4" w:space="0"/>
                    <w:right w:val="single" w:color="auto" w:sz="4" w:space="0"/>
                  </w:tcBorders>
                  <w:noWrap w:val="0"/>
                  <w:vAlign w:val="center"/>
                </w:tcPr>
                <w:p w14:paraId="4EFFE8CE">
                  <w:pPr>
                    <w:jc w:val="center"/>
                    <w:rPr>
                      <w:rFonts w:hint="eastAsia"/>
                      <w:color w:val="auto"/>
                      <w:sz w:val="18"/>
                      <w:szCs w:val="18"/>
                      <w:lang w:val="en-US" w:eastAsia="zh-CN"/>
                    </w:rPr>
                  </w:pPr>
                  <w:r>
                    <w:rPr>
                      <w:rFonts w:hint="eastAsia"/>
                      <w:color w:val="auto"/>
                      <w:sz w:val="18"/>
                      <w:szCs w:val="18"/>
                      <w:lang w:val="en-US" w:eastAsia="zh-CN"/>
                    </w:rPr>
                    <w:t>1套</w:t>
                  </w:r>
                </w:p>
              </w:tc>
              <w:tc>
                <w:tcPr>
                  <w:tcW w:w="436" w:type="pct"/>
                  <w:vMerge w:val="restart"/>
                  <w:tcBorders>
                    <w:left w:val="single" w:color="auto" w:sz="4" w:space="0"/>
                  </w:tcBorders>
                  <w:noWrap w:val="0"/>
                  <w:vAlign w:val="center"/>
                </w:tcPr>
                <w:p w14:paraId="08DF0C20">
                  <w:pPr>
                    <w:jc w:val="center"/>
                    <w:rPr>
                      <w:rFonts w:hint="eastAsia"/>
                      <w:color w:val="auto"/>
                      <w:sz w:val="18"/>
                      <w:szCs w:val="18"/>
                      <w:lang w:val="en-US" w:eastAsia="zh-CN"/>
                    </w:rPr>
                  </w:pPr>
                  <w:r>
                    <w:rPr>
                      <w:rFonts w:hint="eastAsia"/>
                      <w:color w:val="auto"/>
                      <w:sz w:val="18"/>
                      <w:szCs w:val="18"/>
                      <w:lang w:val="en-US" w:eastAsia="zh-CN"/>
                    </w:rPr>
                    <w:t>四</w:t>
                  </w:r>
                </w:p>
                <w:p w14:paraId="3FEAE404">
                  <w:pPr>
                    <w:jc w:val="center"/>
                    <w:rPr>
                      <w:rFonts w:hint="eastAsia"/>
                      <w:color w:val="auto"/>
                      <w:sz w:val="18"/>
                      <w:szCs w:val="18"/>
                      <w:lang w:val="en-US" w:eastAsia="zh-CN"/>
                    </w:rPr>
                  </w:pPr>
                  <w:r>
                    <w:rPr>
                      <w:rFonts w:hint="eastAsia"/>
                      <w:color w:val="auto"/>
                      <w:sz w:val="18"/>
                      <w:szCs w:val="18"/>
                      <w:lang w:val="en-US" w:eastAsia="zh-CN"/>
                    </w:rPr>
                    <w:t>车</w:t>
                  </w:r>
                </w:p>
                <w:p w14:paraId="2DA6872C">
                  <w:pPr>
                    <w:jc w:val="center"/>
                    <w:rPr>
                      <w:rFonts w:hint="default"/>
                      <w:color w:val="auto"/>
                      <w:sz w:val="18"/>
                      <w:szCs w:val="18"/>
                      <w:lang w:val="en-US" w:eastAsia="zh-CN"/>
                    </w:rPr>
                  </w:pPr>
                  <w:r>
                    <w:rPr>
                      <w:rFonts w:hint="eastAsia"/>
                      <w:color w:val="auto"/>
                      <w:sz w:val="18"/>
                      <w:szCs w:val="18"/>
                      <w:lang w:val="en-US" w:eastAsia="zh-CN"/>
                    </w:rPr>
                    <w:t>间</w:t>
                  </w:r>
                </w:p>
              </w:tc>
            </w:tr>
            <w:tr w14:paraId="0B5DF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3C9D3DF6">
                  <w:pPr>
                    <w:jc w:val="center"/>
                    <w:rPr>
                      <w:rFonts w:hint="eastAsia" w:eastAsia="宋体"/>
                      <w:color w:val="auto"/>
                      <w:sz w:val="18"/>
                      <w:szCs w:val="18"/>
                      <w:lang w:val="en-US" w:eastAsia="zh-CN"/>
                    </w:rPr>
                  </w:pPr>
                  <w:r>
                    <w:rPr>
                      <w:rFonts w:hint="eastAsia"/>
                      <w:color w:val="auto"/>
                      <w:sz w:val="18"/>
                      <w:szCs w:val="18"/>
                      <w:lang w:val="en-US" w:eastAsia="zh-CN"/>
                    </w:rPr>
                    <w:t>5</w:t>
                  </w:r>
                </w:p>
              </w:tc>
              <w:tc>
                <w:tcPr>
                  <w:tcW w:w="913" w:type="pct"/>
                  <w:noWrap w:val="0"/>
                  <w:vAlign w:val="center"/>
                </w:tcPr>
                <w:p w14:paraId="1557E618">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榫槽机</w:t>
                  </w:r>
                </w:p>
              </w:tc>
              <w:tc>
                <w:tcPr>
                  <w:tcW w:w="639" w:type="pct"/>
                  <w:noWrap w:val="0"/>
                  <w:vAlign w:val="center"/>
                </w:tcPr>
                <w:p w14:paraId="2BE93E3F">
                  <w:pPr>
                    <w:jc w:val="center"/>
                    <w:rPr>
                      <w:rFonts w:hint="default"/>
                      <w:color w:val="auto"/>
                      <w:sz w:val="18"/>
                      <w:szCs w:val="18"/>
                      <w:lang w:val="en-US"/>
                    </w:rPr>
                  </w:pPr>
                  <w:r>
                    <w:rPr>
                      <w:rFonts w:hint="eastAsia"/>
                      <w:color w:val="auto"/>
                      <w:sz w:val="18"/>
                      <w:szCs w:val="18"/>
                      <w:lang w:val="en-US" w:eastAsia="zh-CN"/>
                    </w:rPr>
                    <w:t>1.1</w:t>
                  </w:r>
                  <w:r>
                    <w:rPr>
                      <w:rFonts w:hint="eastAsia"/>
                      <w:color w:val="auto"/>
                      <w:sz w:val="18"/>
                      <w:szCs w:val="18"/>
                    </w:rPr>
                    <w:t>×</w:t>
                  </w:r>
                  <w:r>
                    <w:rPr>
                      <w:rFonts w:hint="eastAsia"/>
                      <w:color w:val="auto"/>
                      <w:sz w:val="18"/>
                      <w:szCs w:val="18"/>
                      <w:lang w:val="en-US" w:eastAsia="zh-CN"/>
                    </w:rPr>
                    <w:t>0.42</w:t>
                  </w:r>
                </w:p>
              </w:tc>
              <w:tc>
                <w:tcPr>
                  <w:tcW w:w="312" w:type="pct"/>
                  <w:tcBorders>
                    <w:right w:val="single" w:color="auto" w:sz="4" w:space="0"/>
                  </w:tcBorders>
                  <w:noWrap w:val="0"/>
                  <w:vAlign w:val="center"/>
                </w:tcPr>
                <w:p w14:paraId="12951673">
                  <w:pPr>
                    <w:jc w:val="center"/>
                    <w:rPr>
                      <w:rFonts w:hint="eastAsia"/>
                      <w:color w:val="auto"/>
                      <w:sz w:val="18"/>
                      <w:szCs w:val="18"/>
                    </w:rPr>
                  </w:pPr>
                  <w:r>
                    <w:rPr>
                      <w:rFonts w:hint="eastAsia"/>
                      <w:color w:val="auto"/>
                      <w:sz w:val="18"/>
                      <w:szCs w:val="18"/>
                    </w:rPr>
                    <w:t>0.</w:t>
                  </w:r>
                  <w:r>
                    <w:rPr>
                      <w:rFonts w:hint="eastAsia"/>
                      <w:color w:val="auto"/>
                      <w:sz w:val="18"/>
                      <w:szCs w:val="18"/>
                      <w:lang w:val="en-US" w:eastAsia="zh-CN"/>
                    </w:rPr>
                    <w:t>2</w:t>
                  </w:r>
                </w:p>
              </w:tc>
              <w:tc>
                <w:tcPr>
                  <w:tcW w:w="688" w:type="pct"/>
                  <w:tcBorders>
                    <w:left w:val="single" w:color="auto" w:sz="4" w:space="0"/>
                  </w:tcBorders>
                  <w:noWrap w:val="0"/>
                  <w:vAlign w:val="center"/>
                </w:tcPr>
                <w:p w14:paraId="14384AC3">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0.462</w:t>
                  </w:r>
                </w:p>
              </w:tc>
              <w:tc>
                <w:tcPr>
                  <w:tcW w:w="688" w:type="pct"/>
                  <w:noWrap w:val="0"/>
                  <w:vAlign w:val="center"/>
                </w:tcPr>
                <w:p w14:paraId="3A86BC81">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6.688</w:t>
                  </w:r>
                </w:p>
              </w:tc>
              <w:tc>
                <w:tcPr>
                  <w:tcW w:w="668" w:type="pct"/>
                  <w:tcBorders>
                    <w:right w:val="single" w:color="auto" w:sz="4" w:space="0"/>
                  </w:tcBorders>
                  <w:noWrap w:val="0"/>
                  <w:vAlign w:val="center"/>
                </w:tcPr>
                <w:p w14:paraId="5B7F8C07">
                  <w:pPr>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1123.2</w:t>
                  </w:r>
                </w:p>
              </w:tc>
              <w:tc>
                <w:tcPr>
                  <w:tcW w:w="401" w:type="pct"/>
                  <w:tcBorders>
                    <w:left w:val="single" w:color="auto" w:sz="4" w:space="0"/>
                    <w:right w:val="single" w:color="auto" w:sz="4" w:space="0"/>
                  </w:tcBorders>
                  <w:noWrap w:val="0"/>
                  <w:vAlign w:val="center"/>
                </w:tcPr>
                <w:p w14:paraId="70B499E0">
                  <w:pPr>
                    <w:jc w:val="center"/>
                    <w:rPr>
                      <w:rFonts w:hint="eastAsia"/>
                      <w:color w:val="auto"/>
                      <w:sz w:val="18"/>
                      <w:szCs w:val="18"/>
                      <w:lang w:val="en-US" w:eastAsia="zh-CN"/>
                    </w:rPr>
                  </w:pPr>
                  <w:r>
                    <w:rPr>
                      <w:rFonts w:hint="eastAsia"/>
                      <w:color w:val="auto"/>
                      <w:sz w:val="18"/>
                      <w:szCs w:val="18"/>
                      <w:lang w:val="en-US" w:eastAsia="zh-CN"/>
                    </w:rPr>
                    <w:t>1套</w:t>
                  </w:r>
                </w:p>
              </w:tc>
              <w:tc>
                <w:tcPr>
                  <w:tcW w:w="436" w:type="pct"/>
                  <w:vMerge w:val="continue"/>
                  <w:tcBorders>
                    <w:left w:val="single" w:color="auto" w:sz="4" w:space="0"/>
                  </w:tcBorders>
                  <w:noWrap w:val="0"/>
                  <w:vAlign w:val="center"/>
                </w:tcPr>
                <w:p w14:paraId="4AE80817">
                  <w:pPr>
                    <w:jc w:val="center"/>
                    <w:rPr>
                      <w:rFonts w:hint="eastAsia"/>
                      <w:color w:val="auto"/>
                      <w:sz w:val="18"/>
                      <w:szCs w:val="18"/>
                      <w:lang w:val="en-US" w:eastAsia="zh-CN"/>
                    </w:rPr>
                  </w:pPr>
                </w:p>
              </w:tc>
            </w:tr>
            <w:tr w14:paraId="0874A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622BD617">
                  <w:pPr>
                    <w:jc w:val="center"/>
                    <w:rPr>
                      <w:rFonts w:hint="eastAsia" w:eastAsia="宋体"/>
                      <w:color w:val="auto"/>
                      <w:sz w:val="18"/>
                      <w:szCs w:val="18"/>
                      <w:lang w:val="en-US" w:eastAsia="zh-CN"/>
                    </w:rPr>
                  </w:pPr>
                  <w:r>
                    <w:rPr>
                      <w:rFonts w:hint="eastAsia"/>
                      <w:color w:val="auto"/>
                      <w:sz w:val="18"/>
                      <w:szCs w:val="18"/>
                      <w:lang w:val="en-US" w:eastAsia="zh-CN"/>
                    </w:rPr>
                    <w:t>6</w:t>
                  </w:r>
                </w:p>
              </w:tc>
              <w:tc>
                <w:tcPr>
                  <w:tcW w:w="913" w:type="pct"/>
                  <w:noWrap w:val="0"/>
                  <w:vAlign w:val="center"/>
                </w:tcPr>
                <w:p w14:paraId="29775D72">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单立轴铣床</w:t>
                  </w:r>
                </w:p>
              </w:tc>
              <w:tc>
                <w:tcPr>
                  <w:tcW w:w="639" w:type="pct"/>
                  <w:noWrap w:val="0"/>
                  <w:vAlign w:val="center"/>
                </w:tcPr>
                <w:p w14:paraId="72F897BF">
                  <w:pPr>
                    <w:jc w:val="center"/>
                    <w:rPr>
                      <w:rFonts w:hint="default"/>
                      <w:color w:val="auto"/>
                      <w:sz w:val="18"/>
                      <w:szCs w:val="18"/>
                      <w:lang w:val="en-US"/>
                    </w:rPr>
                  </w:pPr>
                  <w:r>
                    <w:rPr>
                      <w:rFonts w:hint="eastAsia"/>
                      <w:color w:val="auto"/>
                      <w:sz w:val="18"/>
                      <w:szCs w:val="18"/>
                      <w:lang w:val="en-US" w:eastAsia="zh-CN"/>
                    </w:rPr>
                    <w:t>1.13</w:t>
                  </w:r>
                  <w:r>
                    <w:rPr>
                      <w:rFonts w:hint="eastAsia"/>
                      <w:color w:val="auto"/>
                      <w:sz w:val="18"/>
                      <w:szCs w:val="18"/>
                    </w:rPr>
                    <w:t>×</w:t>
                  </w:r>
                  <w:r>
                    <w:rPr>
                      <w:rFonts w:hint="eastAsia"/>
                      <w:color w:val="auto"/>
                      <w:sz w:val="18"/>
                      <w:szCs w:val="18"/>
                      <w:lang w:val="en-US" w:eastAsia="zh-CN"/>
                    </w:rPr>
                    <w:t>0.67</w:t>
                  </w:r>
                </w:p>
              </w:tc>
              <w:tc>
                <w:tcPr>
                  <w:tcW w:w="312" w:type="pct"/>
                  <w:tcBorders>
                    <w:right w:val="single" w:color="auto" w:sz="4" w:space="0"/>
                  </w:tcBorders>
                  <w:noWrap w:val="0"/>
                  <w:vAlign w:val="center"/>
                </w:tcPr>
                <w:p w14:paraId="4CBE7F25">
                  <w:pPr>
                    <w:jc w:val="center"/>
                    <w:rPr>
                      <w:rFonts w:hint="eastAsia"/>
                      <w:color w:val="auto"/>
                      <w:sz w:val="18"/>
                      <w:szCs w:val="18"/>
                    </w:rPr>
                  </w:pPr>
                  <w:r>
                    <w:rPr>
                      <w:rFonts w:hint="eastAsia"/>
                      <w:color w:val="auto"/>
                      <w:sz w:val="18"/>
                      <w:szCs w:val="18"/>
                      <w:lang w:val="en-US" w:eastAsia="zh-CN"/>
                    </w:rPr>
                    <w:t>0.2</w:t>
                  </w:r>
                </w:p>
              </w:tc>
              <w:tc>
                <w:tcPr>
                  <w:tcW w:w="688" w:type="pct"/>
                  <w:tcBorders>
                    <w:left w:val="single" w:color="auto" w:sz="4" w:space="0"/>
                  </w:tcBorders>
                  <w:noWrap w:val="0"/>
                  <w:vAlign w:val="center"/>
                </w:tcPr>
                <w:p w14:paraId="59F07D9C">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0.7571</w:t>
                  </w:r>
                </w:p>
              </w:tc>
              <w:tc>
                <w:tcPr>
                  <w:tcW w:w="688" w:type="pct"/>
                  <w:noWrap w:val="0"/>
                  <w:vAlign w:val="center"/>
                </w:tcPr>
                <w:p w14:paraId="7D7BA948">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0.72</w:t>
                  </w:r>
                </w:p>
              </w:tc>
              <w:tc>
                <w:tcPr>
                  <w:tcW w:w="668" w:type="pct"/>
                  <w:tcBorders>
                    <w:right w:val="single" w:color="auto" w:sz="4" w:space="0"/>
                  </w:tcBorders>
                  <w:noWrap w:val="0"/>
                  <w:vAlign w:val="center"/>
                </w:tcPr>
                <w:p w14:paraId="23A2C77D">
                  <w:pPr>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1704.78</w:t>
                  </w:r>
                </w:p>
              </w:tc>
              <w:tc>
                <w:tcPr>
                  <w:tcW w:w="401" w:type="pct"/>
                  <w:tcBorders>
                    <w:left w:val="single" w:color="auto" w:sz="4" w:space="0"/>
                    <w:right w:val="single" w:color="auto" w:sz="4" w:space="0"/>
                  </w:tcBorders>
                  <w:noWrap w:val="0"/>
                  <w:vAlign w:val="center"/>
                </w:tcPr>
                <w:p w14:paraId="730DF34E">
                  <w:pPr>
                    <w:jc w:val="center"/>
                    <w:rPr>
                      <w:rFonts w:hint="eastAsia"/>
                      <w:color w:val="auto"/>
                      <w:sz w:val="18"/>
                      <w:szCs w:val="18"/>
                      <w:lang w:val="en-US" w:eastAsia="zh-CN"/>
                    </w:rPr>
                  </w:pPr>
                  <w:r>
                    <w:rPr>
                      <w:rFonts w:hint="eastAsia"/>
                      <w:color w:val="auto"/>
                      <w:sz w:val="18"/>
                      <w:szCs w:val="18"/>
                      <w:lang w:val="en-US" w:eastAsia="zh-CN"/>
                    </w:rPr>
                    <w:t>1套</w:t>
                  </w:r>
                </w:p>
              </w:tc>
              <w:tc>
                <w:tcPr>
                  <w:tcW w:w="436" w:type="pct"/>
                  <w:vMerge w:val="continue"/>
                  <w:tcBorders>
                    <w:left w:val="single" w:color="auto" w:sz="4" w:space="0"/>
                  </w:tcBorders>
                  <w:noWrap w:val="0"/>
                  <w:vAlign w:val="center"/>
                </w:tcPr>
                <w:p w14:paraId="0159CF54">
                  <w:pPr>
                    <w:jc w:val="center"/>
                    <w:rPr>
                      <w:rFonts w:hint="eastAsia"/>
                      <w:color w:val="auto"/>
                      <w:sz w:val="18"/>
                      <w:szCs w:val="18"/>
                      <w:lang w:val="en-US" w:eastAsia="zh-CN"/>
                    </w:rPr>
                  </w:pPr>
                </w:p>
              </w:tc>
            </w:tr>
            <w:tr w14:paraId="79DD8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6" w:type="pct"/>
                  <w:gridSpan w:val="2"/>
                  <w:shd w:val="clear" w:color="auto" w:fill="auto"/>
                  <w:noWrap w:val="0"/>
                  <w:vAlign w:val="center"/>
                </w:tcPr>
                <w:p w14:paraId="5DCDDFE4">
                  <w:pPr>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小计</w:t>
                  </w:r>
                </w:p>
              </w:tc>
              <w:tc>
                <w:tcPr>
                  <w:tcW w:w="639" w:type="pct"/>
                  <w:shd w:val="clear" w:color="auto" w:fill="auto"/>
                  <w:noWrap w:val="0"/>
                  <w:vAlign w:val="center"/>
                </w:tcPr>
                <w:p w14:paraId="1C90B295">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312" w:type="pct"/>
                  <w:tcBorders>
                    <w:right w:val="single" w:color="auto" w:sz="4" w:space="0"/>
                  </w:tcBorders>
                  <w:shd w:val="clear" w:color="auto" w:fill="auto"/>
                  <w:noWrap w:val="0"/>
                  <w:vAlign w:val="center"/>
                </w:tcPr>
                <w:p w14:paraId="01406D2B">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tcBorders>
                    <w:left w:val="single" w:color="auto" w:sz="4" w:space="0"/>
                  </w:tcBorders>
                  <w:shd w:val="clear" w:color="auto" w:fill="auto"/>
                  <w:noWrap w:val="0"/>
                  <w:vAlign w:val="center"/>
                </w:tcPr>
                <w:p w14:paraId="4328E438">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shd w:val="clear" w:color="auto" w:fill="auto"/>
                  <w:noWrap w:val="0"/>
                  <w:vAlign w:val="center"/>
                </w:tcPr>
                <w:p w14:paraId="0A9174F8">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68" w:type="pct"/>
                  <w:tcBorders>
                    <w:right w:val="single" w:color="auto" w:sz="4" w:space="0"/>
                  </w:tcBorders>
                  <w:noWrap w:val="0"/>
                  <w:vAlign w:val="center"/>
                </w:tcPr>
                <w:p w14:paraId="6C1D4045">
                  <w:pPr>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3810.78</w:t>
                  </w:r>
                </w:p>
              </w:tc>
              <w:tc>
                <w:tcPr>
                  <w:tcW w:w="401" w:type="pct"/>
                  <w:tcBorders>
                    <w:left w:val="single" w:color="auto" w:sz="4" w:space="0"/>
                    <w:right w:val="single" w:color="auto" w:sz="4" w:space="0"/>
                  </w:tcBorders>
                  <w:noWrap w:val="0"/>
                  <w:vAlign w:val="center"/>
                </w:tcPr>
                <w:p w14:paraId="346C27B6">
                  <w:pPr>
                    <w:jc w:val="center"/>
                    <w:rPr>
                      <w:rFonts w:hint="default"/>
                      <w:color w:val="auto"/>
                      <w:sz w:val="18"/>
                      <w:szCs w:val="18"/>
                      <w:lang w:val="en-US" w:eastAsia="zh-CN"/>
                    </w:rPr>
                  </w:pPr>
                  <w:r>
                    <w:rPr>
                      <w:rFonts w:hint="eastAsia"/>
                      <w:color w:val="auto"/>
                      <w:sz w:val="18"/>
                      <w:szCs w:val="18"/>
                      <w:lang w:val="en-US" w:eastAsia="zh-CN"/>
                    </w:rPr>
                    <w:t>3套</w:t>
                  </w:r>
                </w:p>
              </w:tc>
              <w:tc>
                <w:tcPr>
                  <w:tcW w:w="436" w:type="pct"/>
                  <w:vMerge w:val="continue"/>
                  <w:tcBorders>
                    <w:left w:val="single" w:color="auto" w:sz="4" w:space="0"/>
                  </w:tcBorders>
                  <w:noWrap w:val="0"/>
                  <w:vAlign w:val="center"/>
                </w:tcPr>
                <w:p w14:paraId="6D38B6D9">
                  <w:pPr>
                    <w:jc w:val="center"/>
                    <w:rPr>
                      <w:rFonts w:hint="eastAsia"/>
                      <w:color w:val="auto"/>
                      <w:sz w:val="18"/>
                      <w:szCs w:val="18"/>
                      <w:lang w:val="en-US" w:eastAsia="zh-CN"/>
                    </w:rPr>
                  </w:pPr>
                </w:p>
              </w:tc>
            </w:tr>
            <w:tr w14:paraId="0703FB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253" w:type="pct"/>
                  <w:noWrap w:val="0"/>
                  <w:vAlign w:val="center"/>
                </w:tcPr>
                <w:p w14:paraId="13D89F67">
                  <w:pPr>
                    <w:jc w:val="center"/>
                    <w:rPr>
                      <w:rFonts w:hint="eastAsia" w:eastAsia="宋体"/>
                      <w:color w:val="auto"/>
                      <w:sz w:val="18"/>
                      <w:szCs w:val="18"/>
                      <w:lang w:val="en-US" w:eastAsia="zh-CN"/>
                    </w:rPr>
                  </w:pPr>
                  <w:r>
                    <w:rPr>
                      <w:rFonts w:hint="eastAsia"/>
                      <w:color w:val="auto"/>
                      <w:sz w:val="18"/>
                      <w:szCs w:val="18"/>
                      <w:lang w:val="en-US" w:eastAsia="zh-CN"/>
                    </w:rPr>
                    <w:t>7</w:t>
                  </w:r>
                </w:p>
              </w:tc>
              <w:tc>
                <w:tcPr>
                  <w:tcW w:w="913" w:type="pct"/>
                  <w:noWrap w:val="0"/>
                  <w:vAlign w:val="center"/>
                </w:tcPr>
                <w:p w14:paraId="2B836FB5">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pacing w:val="-6"/>
                      <w:sz w:val="18"/>
                      <w:szCs w:val="18"/>
                    </w:rPr>
                    <w:t>CNC木工雕刻机</w:t>
                  </w:r>
                </w:p>
              </w:tc>
              <w:tc>
                <w:tcPr>
                  <w:tcW w:w="639" w:type="pct"/>
                  <w:noWrap w:val="0"/>
                  <w:vAlign w:val="center"/>
                </w:tcPr>
                <w:p w14:paraId="00B611DD">
                  <w:pPr>
                    <w:jc w:val="center"/>
                    <w:rPr>
                      <w:rFonts w:hint="default"/>
                      <w:color w:val="auto"/>
                      <w:sz w:val="18"/>
                      <w:szCs w:val="18"/>
                      <w:lang w:val="en-US"/>
                    </w:rPr>
                  </w:pPr>
                  <w:r>
                    <w:rPr>
                      <w:rFonts w:hint="eastAsia"/>
                      <w:color w:val="auto"/>
                      <w:sz w:val="18"/>
                      <w:szCs w:val="18"/>
                      <w:lang w:val="en-US" w:eastAsia="zh-CN"/>
                    </w:rPr>
                    <w:t>2.0</w:t>
                  </w:r>
                  <w:r>
                    <w:rPr>
                      <w:rFonts w:hint="eastAsia"/>
                      <w:color w:val="auto"/>
                      <w:sz w:val="18"/>
                      <w:szCs w:val="18"/>
                    </w:rPr>
                    <w:t>×</w:t>
                  </w:r>
                  <w:r>
                    <w:rPr>
                      <w:rFonts w:hint="eastAsia"/>
                      <w:color w:val="auto"/>
                      <w:sz w:val="18"/>
                      <w:szCs w:val="18"/>
                      <w:lang w:val="en-US" w:eastAsia="zh-CN"/>
                    </w:rPr>
                    <w:t>1.2</w:t>
                  </w:r>
                </w:p>
              </w:tc>
              <w:tc>
                <w:tcPr>
                  <w:tcW w:w="312" w:type="pct"/>
                  <w:tcBorders>
                    <w:right w:val="single" w:color="auto" w:sz="4" w:space="0"/>
                  </w:tcBorders>
                  <w:noWrap w:val="0"/>
                  <w:vAlign w:val="center"/>
                </w:tcPr>
                <w:p w14:paraId="68AFAA4D">
                  <w:pPr>
                    <w:jc w:val="center"/>
                    <w:rPr>
                      <w:rFonts w:hint="eastAsia"/>
                      <w:color w:val="auto"/>
                      <w:sz w:val="18"/>
                      <w:szCs w:val="18"/>
                    </w:rPr>
                  </w:pPr>
                  <w:r>
                    <w:rPr>
                      <w:rFonts w:hint="eastAsia"/>
                      <w:color w:val="auto"/>
                      <w:sz w:val="18"/>
                      <w:szCs w:val="18"/>
                    </w:rPr>
                    <w:t>0</w:t>
                  </w:r>
                  <w:r>
                    <w:rPr>
                      <w:rFonts w:hint="eastAsia"/>
                      <w:color w:val="auto"/>
                      <w:sz w:val="18"/>
                      <w:szCs w:val="18"/>
                      <w:lang w:val="en-US" w:eastAsia="zh-CN"/>
                    </w:rPr>
                    <w:t>.2</w:t>
                  </w:r>
                </w:p>
              </w:tc>
              <w:tc>
                <w:tcPr>
                  <w:tcW w:w="1104" w:type="dxa"/>
                  <w:tcBorders>
                    <w:left w:val="single" w:color="auto" w:sz="4" w:space="0"/>
                  </w:tcBorders>
                  <w:noWrap w:val="0"/>
                  <w:vAlign w:val="center"/>
                </w:tcPr>
                <w:p w14:paraId="320B4190">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4.2</w:t>
                  </w:r>
                </w:p>
              </w:tc>
              <w:tc>
                <w:tcPr>
                  <w:tcW w:w="1104" w:type="dxa"/>
                  <w:noWrap w:val="0"/>
                  <w:vAlign w:val="center"/>
                </w:tcPr>
                <w:p w14:paraId="0BBBEAE3">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1.28</w:t>
                  </w:r>
                </w:p>
              </w:tc>
              <w:tc>
                <w:tcPr>
                  <w:tcW w:w="668" w:type="pct"/>
                  <w:tcBorders>
                    <w:right w:val="single" w:color="auto" w:sz="4" w:space="0"/>
                  </w:tcBorders>
                  <w:noWrap w:val="0"/>
                  <w:vAlign w:val="center"/>
                </w:tcPr>
                <w:p w14:paraId="6CE9D77C">
                  <w:pPr>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4914×2</w:t>
                  </w:r>
                </w:p>
              </w:tc>
              <w:tc>
                <w:tcPr>
                  <w:tcW w:w="401" w:type="pct"/>
                  <w:tcBorders>
                    <w:left w:val="single" w:color="auto" w:sz="4" w:space="0"/>
                    <w:right w:val="single" w:color="auto" w:sz="4" w:space="0"/>
                  </w:tcBorders>
                  <w:noWrap w:val="0"/>
                  <w:vAlign w:val="center"/>
                </w:tcPr>
                <w:p w14:paraId="5BA731B9">
                  <w:pPr>
                    <w:jc w:val="center"/>
                    <w:rPr>
                      <w:rFonts w:hint="eastAsia"/>
                      <w:color w:val="auto"/>
                      <w:sz w:val="18"/>
                      <w:szCs w:val="18"/>
                      <w:lang w:val="en-US" w:eastAsia="zh-CN"/>
                    </w:rPr>
                  </w:pPr>
                  <w:r>
                    <w:rPr>
                      <w:rFonts w:hint="eastAsia"/>
                      <w:color w:val="auto"/>
                      <w:sz w:val="18"/>
                      <w:szCs w:val="18"/>
                      <w:lang w:val="en-US" w:eastAsia="zh-CN"/>
                    </w:rPr>
                    <w:t>2套</w:t>
                  </w:r>
                </w:p>
              </w:tc>
              <w:tc>
                <w:tcPr>
                  <w:tcW w:w="436" w:type="pct"/>
                  <w:vMerge w:val="restart"/>
                  <w:tcBorders>
                    <w:left w:val="single" w:color="auto" w:sz="4" w:space="0"/>
                  </w:tcBorders>
                  <w:noWrap w:val="0"/>
                  <w:vAlign w:val="center"/>
                </w:tcPr>
                <w:p w14:paraId="634B2D26">
                  <w:pPr>
                    <w:jc w:val="center"/>
                    <w:rPr>
                      <w:rFonts w:hint="eastAsia"/>
                      <w:color w:val="auto"/>
                      <w:sz w:val="18"/>
                      <w:szCs w:val="18"/>
                      <w:lang w:val="en-US" w:eastAsia="zh-CN"/>
                    </w:rPr>
                  </w:pPr>
                  <w:r>
                    <w:rPr>
                      <w:rFonts w:hint="eastAsia"/>
                      <w:color w:val="auto"/>
                      <w:sz w:val="18"/>
                      <w:szCs w:val="18"/>
                      <w:lang w:val="en-US" w:eastAsia="zh-CN"/>
                    </w:rPr>
                    <w:t>三</w:t>
                  </w:r>
                </w:p>
                <w:p w14:paraId="44951070">
                  <w:pPr>
                    <w:jc w:val="center"/>
                    <w:rPr>
                      <w:rFonts w:hint="eastAsia"/>
                      <w:color w:val="auto"/>
                      <w:sz w:val="18"/>
                      <w:szCs w:val="18"/>
                      <w:lang w:val="en-US" w:eastAsia="zh-CN"/>
                    </w:rPr>
                  </w:pPr>
                  <w:r>
                    <w:rPr>
                      <w:rFonts w:hint="eastAsia"/>
                      <w:color w:val="auto"/>
                      <w:sz w:val="18"/>
                      <w:szCs w:val="18"/>
                      <w:lang w:val="en-US" w:eastAsia="zh-CN"/>
                    </w:rPr>
                    <w:t>车</w:t>
                  </w:r>
                </w:p>
                <w:p w14:paraId="4587B704">
                  <w:pPr>
                    <w:jc w:val="center"/>
                    <w:rPr>
                      <w:rFonts w:hint="default"/>
                      <w:color w:val="auto"/>
                      <w:sz w:val="18"/>
                      <w:szCs w:val="18"/>
                      <w:lang w:val="en-US" w:eastAsia="zh-CN"/>
                    </w:rPr>
                  </w:pPr>
                  <w:r>
                    <w:rPr>
                      <w:rFonts w:hint="eastAsia"/>
                      <w:color w:val="auto"/>
                      <w:sz w:val="18"/>
                      <w:szCs w:val="18"/>
                      <w:lang w:val="en-US" w:eastAsia="zh-CN"/>
                    </w:rPr>
                    <w:t>间</w:t>
                  </w:r>
                </w:p>
              </w:tc>
            </w:tr>
            <w:tr w14:paraId="2FA13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53" w:type="pct"/>
                  <w:noWrap w:val="0"/>
                  <w:vAlign w:val="center"/>
                </w:tcPr>
                <w:p w14:paraId="3DBE75E0">
                  <w:pPr>
                    <w:jc w:val="center"/>
                    <w:rPr>
                      <w:rFonts w:hint="default"/>
                      <w:color w:val="auto"/>
                      <w:sz w:val="18"/>
                      <w:szCs w:val="18"/>
                      <w:lang w:val="en-US" w:eastAsia="zh-CN"/>
                    </w:rPr>
                  </w:pPr>
                  <w:r>
                    <w:rPr>
                      <w:rFonts w:hint="eastAsia"/>
                      <w:color w:val="auto"/>
                      <w:sz w:val="18"/>
                      <w:szCs w:val="18"/>
                      <w:lang w:val="en-US" w:eastAsia="zh-CN"/>
                    </w:rPr>
                    <w:t>8</w:t>
                  </w:r>
                </w:p>
              </w:tc>
              <w:tc>
                <w:tcPr>
                  <w:tcW w:w="913" w:type="pct"/>
                  <w:noWrap w:val="0"/>
                  <w:vAlign w:val="center"/>
                </w:tcPr>
                <w:p w14:paraId="6973FDCC">
                  <w:pPr>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pacing w:val="-17"/>
                      <w:sz w:val="18"/>
                      <w:szCs w:val="18"/>
                    </w:rPr>
                    <w:t>花格数控加工中心</w:t>
                  </w:r>
                </w:p>
              </w:tc>
              <w:tc>
                <w:tcPr>
                  <w:tcW w:w="639" w:type="pct"/>
                  <w:noWrap w:val="0"/>
                  <w:vAlign w:val="center"/>
                </w:tcPr>
                <w:p w14:paraId="1BC58420">
                  <w:pPr>
                    <w:jc w:val="center"/>
                    <w:rPr>
                      <w:rFonts w:hint="default"/>
                      <w:color w:val="auto"/>
                      <w:sz w:val="18"/>
                      <w:szCs w:val="18"/>
                      <w:lang w:val="en-US" w:eastAsia="zh-CN"/>
                    </w:rPr>
                  </w:pPr>
                  <w:r>
                    <w:rPr>
                      <w:rFonts w:hint="eastAsia"/>
                      <w:color w:val="auto"/>
                      <w:sz w:val="18"/>
                      <w:szCs w:val="18"/>
                      <w:lang w:val="en-US" w:eastAsia="zh-CN"/>
                    </w:rPr>
                    <w:t>2.0</w:t>
                  </w:r>
                  <w:r>
                    <w:rPr>
                      <w:rFonts w:hint="eastAsia"/>
                      <w:color w:val="auto"/>
                      <w:sz w:val="18"/>
                      <w:szCs w:val="18"/>
                    </w:rPr>
                    <w:t>×</w:t>
                  </w:r>
                  <w:r>
                    <w:rPr>
                      <w:rFonts w:hint="eastAsia"/>
                      <w:color w:val="auto"/>
                      <w:sz w:val="18"/>
                      <w:szCs w:val="18"/>
                      <w:lang w:val="en-US" w:eastAsia="zh-CN"/>
                    </w:rPr>
                    <w:t>1.6</w:t>
                  </w:r>
                </w:p>
              </w:tc>
              <w:tc>
                <w:tcPr>
                  <w:tcW w:w="312" w:type="pct"/>
                  <w:tcBorders>
                    <w:right w:val="single" w:color="auto" w:sz="4" w:space="0"/>
                  </w:tcBorders>
                  <w:noWrap w:val="0"/>
                  <w:vAlign w:val="center"/>
                </w:tcPr>
                <w:p w14:paraId="52449CE0">
                  <w:pPr>
                    <w:jc w:val="center"/>
                    <w:rPr>
                      <w:rFonts w:hint="default" w:eastAsia="宋体"/>
                      <w:color w:val="auto"/>
                      <w:sz w:val="18"/>
                      <w:szCs w:val="18"/>
                      <w:lang w:val="en-US" w:eastAsia="zh-CN"/>
                    </w:rPr>
                  </w:pPr>
                  <w:r>
                    <w:rPr>
                      <w:rFonts w:hint="eastAsia"/>
                      <w:color w:val="auto"/>
                      <w:sz w:val="18"/>
                      <w:szCs w:val="18"/>
                      <w:lang w:val="en-US" w:eastAsia="zh-CN"/>
                    </w:rPr>
                    <w:t>0.2</w:t>
                  </w:r>
                </w:p>
              </w:tc>
              <w:tc>
                <w:tcPr>
                  <w:tcW w:w="1104" w:type="dxa"/>
                  <w:tcBorders>
                    <w:left w:val="single" w:color="auto" w:sz="4" w:space="0"/>
                  </w:tcBorders>
                  <w:noWrap w:val="0"/>
                  <w:vAlign w:val="center"/>
                </w:tcPr>
                <w:p w14:paraId="709F6FE8">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3.8</w:t>
                  </w:r>
                </w:p>
              </w:tc>
              <w:tc>
                <w:tcPr>
                  <w:tcW w:w="1104" w:type="dxa"/>
                  <w:noWrap w:val="0"/>
                  <w:vAlign w:val="center"/>
                </w:tcPr>
                <w:p w14:paraId="0033B1CE">
                  <w:pPr>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1.44</w:t>
                  </w:r>
                </w:p>
              </w:tc>
              <w:tc>
                <w:tcPr>
                  <w:tcW w:w="668" w:type="pct"/>
                  <w:tcBorders>
                    <w:right w:val="single" w:color="auto" w:sz="4" w:space="0"/>
                  </w:tcBorders>
                  <w:shd w:val="clear" w:color="auto" w:fill="auto"/>
                  <w:noWrap w:val="0"/>
                  <w:vAlign w:val="center"/>
                </w:tcPr>
                <w:p w14:paraId="614E4A6A">
                  <w:pPr>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6426</w:t>
                  </w:r>
                </w:p>
              </w:tc>
              <w:tc>
                <w:tcPr>
                  <w:tcW w:w="401" w:type="pct"/>
                  <w:tcBorders>
                    <w:left w:val="single" w:color="auto" w:sz="4" w:space="0"/>
                    <w:right w:val="single" w:color="auto" w:sz="4" w:space="0"/>
                  </w:tcBorders>
                  <w:noWrap w:val="0"/>
                  <w:vAlign w:val="center"/>
                </w:tcPr>
                <w:p w14:paraId="153DAEFD">
                  <w:pPr>
                    <w:jc w:val="center"/>
                    <w:rPr>
                      <w:rFonts w:hint="eastAsia"/>
                      <w:color w:val="auto"/>
                      <w:sz w:val="18"/>
                      <w:szCs w:val="18"/>
                      <w:lang w:val="en-US" w:eastAsia="zh-CN"/>
                    </w:rPr>
                  </w:pPr>
                  <w:r>
                    <w:rPr>
                      <w:rFonts w:hint="eastAsia"/>
                      <w:color w:val="auto"/>
                      <w:sz w:val="18"/>
                      <w:szCs w:val="18"/>
                      <w:lang w:val="en-US" w:eastAsia="zh-CN"/>
                    </w:rPr>
                    <w:t>1套</w:t>
                  </w:r>
                </w:p>
              </w:tc>
              <w:tc>
                <w:tcPr>
                  <w:tcW w:w="436" w:type="pct"/>
                  <w:vMerge w:val="continue"/>
                  <w:tcBorders>
                    <w:left w:val="single" w:color="auto" w:sz="4" w:space="0"/>
                  </w:tcBorders>
                  <w:noWrap w:val="0"/>
                  <w:vAlign w:val="center"/>
                </w:tcPr>
                <w:p w14:paraId="000CCB55">
                  <w:pPr>
                    <w:jc w:val="center"/>
                    <w:rPr>
                      <w:rFonts w:hint="eastAsia"/>
                      <w:color w:val="auto"/>
                      <w:sz w:val="18"/>
                      <w:szCs w:val="18"/>
                      <w:lang w:val="en-US" w:eastAsia="zh-CN"/>
                    </w:rPr>
                  </w:pPr>
                </w:p>
              </w:tc>
            </w:tr>
            <w:tr w14:paraId="4C7E6D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6" w:type="pct"/>
                  <w:gridSpan w:val="2"/>
                  <w:shd w:val="clear" w:color="auto" w:fill="auto"/>
                  <w:noWrap w:val="0"/>
                  <w:vAlign w:val="center"/>
                </w:tcPr>
                <w:p w14:paraId="7FDD67DF">
                  <w:pPr>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小计</w:t>
                  </w:r>
                </w:p>
              </w:tc>
              <w:tc>
                <w:tcPr>
                  <w:tcW w:w="639" w:type="pct"/>
                  <w:shd w:val="clear" w:color="auto" w:fill="auto"/>
                  <w:noWrap w:val="0"/>
                  <w:vAlign w:val="center"/>
                </w:tcPr>
                <w:p w14:paraId="4254B5B5">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312" w:type="pct"/>
                  <w:tcBorders>
                    <w:right w:val="single" w:color="auto" w:sz="4" w:space="0"/>
                  </w:tcBorders>
                  <w:shd w:val="clear" w:color="auto" w:fill="auto"/>
                  <w:noWrap w:val="0"/>
                  <w:vAlign w:val="center"/>
                </w:tcPr>
                <w:p w14:paraId="4C367D52">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tcBorders>
                    <w:left w:val="single" w:color="auto" w:sz="4" w:space="0"/>
                  </w:tcBorders>
                  <w:shd w:val="clear" w:color="auto" w:fill="auto"/>
                  <w:noWrap w:val="0"/>
                  <w:vAlign w:val="center"/>
                </w:tcPr>
                <w:p w14:paraId="742D51D0">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88" w:type="pct"/>
                  <w:shd w:val="clear" w:color="auto" w:fill="auto"/>
                  <w:noWrap w:val="0"/>
                  <w:vAlign w:val="center"/>
                </w:tcPr>
                <w:p w14:paraId="4775BEA6">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68" w:type="pct"/>
                  <w:tcBorders>
                    <w:right w:val="single" w:color="auto" w:sz="4" w:space="0"/>
                  </w:tcBorders>
                  <w:shd w:val="clear" w:color="auto" w:fill="auto"/>
                  <w:noWrap w:val="0"/>
                  <w:vAlign w:val="center"/>
                </w:tcPr>
                <w:p w14:paraId="7B418A30">
                  <w:pPr>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16254</w:t>
                  </w:r>
                </w:p>
              </w:tc>
              <w:tc>
                <w:tcPr>
                  <w:tcW w:w="401" w:type="pct"/>
                  <w:tcBorders>
                    <w:left w:val="single" w:color="auto" w:sz="4" w:space="0"/>
                    <w:right w:val="single" w:color="auto" w:sz="4" w:space="0"/>
                  </w:tcBorders>
                  <w:noWrap w:val="0"/>
                  <w:vAlign w:val="center"/>
                </w:tcPr>
                <w:p w14:paraId="2300B7E0">
                  <w:pPr>
                    <w:jc w:val="center"/>
                    <w:rPr>
                      <w:rFonts w:hint="default"/>
                      <w:color w:val="auto"/>
                      <w:sz w:val="18"/>
                      <w:szCs w:val="18"/>
                      <w:lang w:val="en-US" w:eastAsia="zh-CN"/>
                    </w:rPr>
                  </w:pPr>
                  <w:r>
                    <w:rPr>
                      <w:rFonts w:hint="eastAsia"/>
                      <w:color w:val="auto"/>
                      <w:sz w:val="18"/>
                      <w:szCs w:val="18"/>
                      <w:lang w:val="en-US" w:eastAsia="zh-CN"/>
                    </w:rPr>
                    <w:t>3套</w:t>
                  </w:r>
                </w:p>
              </w:tc>
              <w:tc>
                <w:tcPr>
                  <w:tcW w:w="436" w:type="pct"/>
                  <w:vMerge w:val="continue"/>
                  <w:tcBorders>
                    <w:left w:val="single" w:color="auto" w:sz="4" w:space="0"/>
                  </w:tcBorders>
                  <w:noWrap w:val="0"/>
                  <w:vAlign w:val="center"/>
                </w:tcPr>
                <w:p w14:paraId="30F70F88">
                  <w:pPr>
                    <w:jc w:val="center"/>
                    <w:rPr>
                      <w:rFonts w:hint="eastAsia"/>
                      <w:color w:val="auto"/>
                      <w:sz w:val="18"/>
                      <w:szCs w:val="18"/>
                      <w:lang w:val="en-US" w:eastAsia="zh-CN"/>
                    </w:rPr>
                  </w:pPr>
                </w:p>
              </w:tc>
            </w:tr>
            <w:tr w14:paraId="1D68D4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6" w:type="pct"/>
                  <w:gridSpan w:val="2"/>
                  <w:noWrap w:val="0"/>
                  <w:vAlign w:val="center"/>
                </w:tcPr>
                <w:p w14:paraId="2196B731">
                  <w:pPr>
                    <w:jc w:val="center"/>
                    <w:rPr>
                      <w:rFonts w:hint="eastAsia"/>
                      <w:color w:val="auto"/>
                      <w:sz w:val="18"/>
                      <w:szCs w:val="18"/>
                    </w:rPr>
                  </w:pPr>
                  <w:r>
                    <w:rPr>
                      <w:rFonts w:hint="eastAsia"/>
                      <w:color w:val="auto"/>
                      <w:sz w:val="18"/>
                      <w:szCs w:val="18"/>
                      <w:lang w:val="en-US" w:eastAsia="zh-CN"/>
                    </w:rPr>
                    <w:t>总</w:t>
                  </w:r>
                  <w:r>
                    <w:rPr>
                      <w:rFonts w:hint="eastAsia"/>
                      <w:color w:val="auto"/>
                      <w:sz w:val="18"/>
                      <w:szCs w:val="18"/>
                    </w:rPr>
                    <w:t>计</w:t>
                  </w:r>
                </w:p>
              </w:tc>
              <w:tc>
                <w:tcPr>
                  <w:tcW w:w="639" w:type="pct"/>
                  <w:noWrap w:val="0"/>
                  <w:vAlign w:val="center"/>
                </w:tcPr>
                <w:p w14:paraId="7FA8015A">
                  <w:pPr>
                    <w:jc w:val="center"/>
                    <w:rPr>
                      <w:rFonts w:hint="eastAsia" w:eastAsia="宋体"/>
                      <w:color w:val="auto"/>
                      <w:sz w:val="18"/>
                      <w:szCs w:val="18"/>
                      <w:lang w:val="en-US" w:eastAsia="zh-CN"/>
                    </w:rPr>
                  </w:pPr>
                  <w:r>
                    <w:rPr>
                      <w:rFonts w:hint="eastAsia"/>
                      <w:color w:val="auto"/>
                      <w:sz w:val="18"/>
                      <w:szCs w:val="18"/>
                      <w:lang w:val="en-US" w:eastAsia="zh-CN"/>
                    </w:rPr>
                    <w:t>-</w:t>
                  </w:r>
                </w:p>
              </w:tc>
              <w:tc>
                <w:tcPr>
                  <w:tcW w:w="312" w:type="pct"/>
                  <w:tcBorders>
                    <w:right w:val="single" w:color="auto" w:sz="4" w:space="0"/>
                  </w:tcBorders>
                  <w:noWrap w:val="0"/>
                  <w:vAlign w:val="center"/>
                </w:tcPr>
                <w:p w14:paraId="27A400C8">
                  <w:pPr>
                    <w:jc w:val="center"/>
                    <w:rPr>
                      <w:rFonts w:hint="eastAsia" w:eastAsia="宋体"/>
                      <w:color w:val="auto"/>
                      <w:sz w:val="18"/>
                      <w:szCs w:val="18"/>
                      <w:lang w:val="en-US" w:eastAsia="zh-CN"/>
                    </w:rPr>
                  </w:pPr>
                  <w:r>
                    <w:rPr>
                      <w:rFonts w:hint="eastAsia"/>
                      <w:color w:val="auto"/>
                      <w:sz w:val="18"/>
                      <w:szCs w:val="18"/>
                      <w:lang w:val="en-US" w:eastAsia="zh-CN"/>
                    </w:rPr>
                    <w:t>-</w:t>
                  </w:r>
                </w:p>
              </w:tc>
              <w:tc>
                <w:tcPr>
                  <w:tcW w:w="688" w:type="pct"/>
                  <w:tcBorders>
                    <w:left w:val="single" w:color="auto" w:sz="4" w:space="0"/>
                  </w:tcBorders>
                  <w:noWrap w:val="0"/>
                  <w:vAlign w:val="center"/>
                </w:tcPr>
                <w:p w14:paraId="198B6B19">
                  <w:pPr>
                    <w:jc w:val="center"/>
                    <w:rPr>
                      <w:rFonts w:hint="eastAsia" w:eastAsia="宋体"/>
                      <w:color w:val="auto"/>
                      <w:sz w:val="18"/>
                      <w:szCs w:val="18"/>
                      <w:lang w:val="en-US" w:eastAsia="zh-CN"/>
                    </w:rPr>
                  </w:pPr>
                  <w:r>
                    <w:rPr>
                      <w:rFonts w:hint="eastAsia"/>
                      <w:color w:val="auto"/>
                      <w:sz w:val="18"/>
                      <w:szCs w:val="18"/>
                      <w:lang w:val="en-US" w:eastAsia="zh-CN"/>
                    </w:rPr>
                    <w:t>-</w:t>
                  </w:r>
                </w:p>
              </w:tc>
              <w:tc>
                <w:tcPr>
                  <w:tcW w:w="688" w:type="pct"/>
                  <w:noWrap w:val="0"/>
                  <w:vAlign w:val="center"/>
                </w:tcPr>
                <w:p w14:paraId="0516E88F">
                  <w:pPr>
                    <w:jc w:val="center"/>
                    <w:rPr>
                      <w:rFonts w:hint="eastAsia" w:eastAsia="宋体"/>
                      <w:color w:val="auto"/>
                      <w:sz w:val="18"/>
                      <w:szCs w:val="18"/>
                      <w:lang w:val="en-US" w:eastAsia="zh-CN"/>
                    </w:rPr>
                  </w:pPr>
                  <w:r>
                    <w:rPr>
                      <w:rFonts w:hint="eastAsia"/>
                      <w:color w:val="auto"/>
                      <w:sz w:val="18"/>
                      <w:szCs w:val="18"/>
                      <w:lang w:val="en-US" w:eastAsia="zh-CN"/>
                    </w:rPr>
                    <w:t>-</w:t>
                  </w:r>
                </w:p>
              </w:tc>
              <w:tc>
                <w:tcPr>
                  <w:tcW w:w="668" w:type="pct"/>
                  <w:tcBorders>
                    <w:right w:val="single" w:color="auto" w:sz="4" w:space="0"/>
                  </w:tcBorders>
                  <w:noWrap w:val="0"/>
                  <w:vAlign w:val="center"/>
                </w:tcPr>
                <w:p w14:paraId="7DB39EFA">
                  <w:pPr>
                    <w:jc w:val="center"/>
                    <w:rPr>
                      <w:rFonts w:hint="default" w:eastAsia="宋体"/>
                      <w:color w:val="auto"/>
                      <w:sz w:val="18"/>
                      <w:szCs w:val="18"/>
                      <w:lang w:val="en-US" w:eastAsia="zh-CN"/>
                    </w:rPr>
                  </w:pPr>
                  <w:r>
                    <w:rPr>
                      <w:rFonts w:hint="eastAsia"/>
                      <w:color w:val="auto"/>
                      <w:sz w:val="18"/>
                      <w:szCs w:val="18"/>
                      <w:lang w:val="en-US" w:eastAsia="zh-CN"/>
                    </w:rPr>
                    <w:t>-</w:t>
                  </w:r>
                </w:p>
              </w:tc>
              <w:tc>
                <w:tcPr>
                  <w:tcW w:w="401" w:type="pct"/>
                  <w:tcBorders>
                    <w:left w:val="single" w:color="auto" w:sz="4" w:space="0"/>
                    <w:right w:val="single" w:color="auto" w:sz="4" w:space="0"/>
                  </w:tcBorders>
                  <w:noWrap w:val="0"/>
                  <w:vAlign w:val="center"/>
                </w:tcPr>
                <w:p w14:paraId="28396C90">
                  <w:pPr>
                    <w:jc w:val="center"/>
                    <w:rPr>
                      <w:rFonts w:hint="default" w:eastAsia="宋体"/>
                      <w:color w:val="auto"/>
                      <w:sz w:val="18"/>
                      <w:szCs w:val="18"/>
                      <w:lang w:val="en-US" w:eastAsia="zh-CN"/>
                    </w:rPr>
                  </w:pPr>
                  <w:r>
                    <w:rPr>
                      <w:rFonts w:hint="eastAsia"/>
                      <w:color w:val="auto"/>
                      <w:sz w:val="18"/>
                      <w:szCs w:val="18"/>
                      <w:lang w:val="en-US" w:eastAsia="zh-CN"/>
                    </w:rPr>
                    <w:t>9套</w:t>
                  </w:r>
                </w:p>
              </w:tc>
              <w:tc>
                <w:tcPr>
                  <w:tcW w:w="436" w:type="pct"/>
                  <w:tcBorders>
                    <w:left w:val="single" w:color="auto" w:sz="4" w:space="0"/>
                  </w:tcBorders>
                  <w:noWrap w:val="0"/>
                  <w:vAlign w:val="center"/>
                </w:tcPr>
                <w:p w14:paraId="107AB295">
                  <w:pPr>
                    <w:jc w:val="center"/>
                    <w:rPr>
                      <w:rFonts w:hint="eastAsia" w:eastAsia="宋体"/>
                      <w:color w:val="auto"/>
                      <w:sz w:val="18"/>
                      <w:szCs w:val="18"/>
                      <w:lang w:val="en-US" w:eastAsia="zh-CN"/>
                    </w:rPr>
                  </w:pPr>
                  <w:r>
                    <w:rPr>
                      <w:rFonts w:hint="eastAsia"/>
                      <w:color w:val="auto"/>
                      <w:sz w:val="18"/>
                      <w:szCs w:val="18"/>
                      <w:lang w:val="en-US" w:eastAsia="zh-CN"/>
                    </w:rPr>
                    <w:t>-</w:t>
                  </w:r>
                </w:p>
              </w:tc>
            </w:tr>
          </w:tbl>
          <w:p w14:paraId="5F6EFB80">
            <w:pPr>
              <w:spacing w:line="360" w:lineRule="auto"/>
              <w:ind w:firstLine="420" w:firstLineChars="200"/>
              <w:rPr>
                <w:rFonts w:hint="eastAsia"/>
                <w:color w:val="auto"/>
                <w:szCs w:val="21"/>
              </w:rPr>
            </w:pPr>
            <w:r>
              <w:rPr>
                <w:color w:val="auto"/>
                <w:szCs w:val="21"/>
              </w:rPr>
              <w:t>经上式及上表分析计算，</w:t>
            </w:r>
            <w:r>
              <w:rPr>
                <w:rFonts w:hint="eastAsia"/>
                <w:color w:val="auto"/>
                <w:szCs w:val="21"/>
                <w:lang w:val="en-US" w:eastAsia="zh-CN"/>
              </w:rPr>
              <w:t>结合车间布置情况，</w:t>
            </w:r>
            <w:r>
              <w:rPr>
                <w:color w:val="auto"/>
                <w:szCs w:val="21"/>
              </w:rPr>
              <w:t>考虑管道风力损耗系数</w:t>
            </w:r>
            <w:r>
              <w:rPr>
                <w:rFonts w:hint="eastAsia"/>
                <w:color w:val="auto"/>
                <w:szCs w:val="21"/>
              </w:rPr>
              <w:t>1.1~1.2，并</w:t>
            </w:r>
            <w:r>
              <w:rPr>
                <w:color w:val="auto"/>
                <w:szCs w:val="21"/>
              </w:rPr>
              <w:t>取整后</w:t>
            </w:r>
            <w:r>
              <w:rPr>
                <w:rFonts w:hint="eastAsia"/>
                <w:color w:val="auto"/>
                <w:szCs w:val="21"/>
                <w:lang w:val="en-US" w:eastAsia="zh-CN"/>
              </w:rPr>
              <w:t>确定五车间</w:t>
            </w:r>
            <w:r>
              <w:rPr>
                <w:color w:val="auto"/>
                <w:szCs w:val="21"/>
              </w:rPr>
              <w:t>引风量约</w:t>
            </w:r>
            <w:r>
              <w:rPr>
                <w:rFonts w:hint="eastAsia"/>
                <w:color w:val="auto"/>
                <w:szCs w:val="21"/>
                <w:lang w:val="en-US" w:eastAsia="zh-CN"/>
              </w:rPr>
              <w:t>4000</w:t>
            </w:r>
            <w:r>
              <w:rPr>
                <w:color w:val="auto"/>
                <w:szCs w:val="21"/>
              </w:rPr>
              <w:t>m</w:t>
            </w:r>
            <w:r>
              <w:rPr>
                <w:color w:val="auto"/>
                <w:szCs w:val="21"/>
                <w:vertAlign w:val="superscript"/>
              </w:rPr>
              <w:t>3</w:t>
            </w:r>
            <w:r>
              <w:rPr>
                <w:color w:val="auto"/>
                <w:szCs w:val="21"/>
              </w:rPr>
              <w:t>/h</w:t>
            </w:r>
            <w:r>
              <w:rPr>
                <w:rFonts w:hint="eastAsia"/>
                <w:color w:val="auto"/>
                <w:szCs w:val="21"/>
                <w:lang w:eastAsia="zh-CN"/>
              </w:rPr>
              <w:t>、</w:t>
            </w:r>
            <w:r>
              <w:rPr>
                <w:rFonts w:hint="eastAsia"/>
                <w:color w:val="auto"/>
                <w:szCs w:val="21"/>
                <w:lang w:val="en-US" w:eastAsia="zh-CN"/>
              </w:rPr>
              <w:t>四车间</w:t>
            </w:r>
            <w:r>
              <w:rPr>
                <w:color w:val="auto"/>
                <w:szCs w:val="21"/>
              </w:rPr>
              <w:t>引风量约</w:t>
            </w:r>
            <w:r>
              <w:rPr>
                <w:rFonts w:hint="eastAsia"/>
                <w:color w:val="auto"/>
                <w:szCs w:val="21"/>
                <w:lang w:val="en-US" w:eastAsia="zh-CN"/>
              </w:rPr>
              <w:t>5000</w:t>
            </w:r>
            <w:r>
              <w:rPr>
                <w:color w:val="auto"/>
                <w:szCs w:val="21"/>
              </w:rPr>
              <w:t>m</w:t>
            </w:r>
            <w:r>
              <w:rPr>
                <w:color w:val="auto"/>
                <w:szCs w:val="21"/>
                <w:vertAlign w:val="superscript"/>
              </w:rPr>
              <w:t>3</w:t>
            </w:r>
            <w:r>
              <w:rPr>
                <w:color w:val="auto"/>
                <w:szCs w:val="21"/>
              </w:rPr>
              <w:t>/h</w:t>
            </w:r>
            <w:r>
              <w:rPr>
                <w:rFonts w:hint="eastAsia"/>
                <w:color w:val="auto"/>
                <w:szCs w:val="21"/>
                <w:lang w:eastAsia="zh-CN"/>
              </w:rPr>
              <w:t>、</w:t>
            </w:r>
            <w:r>
              <w:rPr>
                <w:rFonts w:hint="eastAsia"/>
                <w:color w:val="auto"/>
                <w:szCs w:val="21"/>
                <w:lang w:val="en-US" w:eastAsia="zh-CN"/>
              </w:rPr>
              <w:t>三车间</w:t>
            </w:r>
            <w:r>
              <w:rPr>
                <w:color w:val="auto"/>
                <w:szCs w:val="21"/>
              </w:rPr>
              <w:t>引风量约</w:t>
            </w:r>
            <w:r>
              <w:rPr>
                <w:rFonts w:hint="eastAsia"/>
                <w:color w:val="auto"/>
                <w:szCs w:val="21"/>
                <w:lang w:val="en-US" w:eastAsia="zh-CN"/>
              </w:rPr>
              <w:t>2</w:t>
            </w:r>
            <w:r>
              <w:rPr>
                <w:rFonts w:hint="eastAsia"/>
                <w:color w:val="auto"/>
                <w:szCs w:val="21"/>
              </w:rPr>
              <w:t>0000</w:t>
            </w:r>
            <w:r>
              <w:rPr>
                <w:color w:val="auto"/>
                <w:szCs w:val="21"/>
              </w:rPr>
              <w:t>m</w:t>
            </w:r>
            <w:r>
              <w:rPr>
                <w:color w:val="auto"/>
                <w:szCs w:val="21"/>
                <w:vertAlign w:val="superscript"/>
              </w:rPr>
              <w:t>3</w:t>
            </w:r>
            <w:r>
              <w:rPr>
                <w:color w:val="auto"/>
                <w:szCs w:val="21"/>
              </w:rPr>
              <w:t>/h。过滤风速为0.6m/min。</w:t>
            </w:r>
            <w:r>
              <w:rPr>
                <w:rFonts w:hint="eastAsia"/>
                <w:color w:val="auto"/>
                <w:szCs w:val="21"/>
              </w:rPr>
              <w:t>具体技术参数均以企业委托第三方环保设施设计单位为准，环评中技术参数不作为具体实施参数实施。</w:t>
            </w:r>
          </w:p>
          <w:p w14:paraId="35CD2A1C">
            <w:pPr>
              <w:spacing w:line="360" w:lineRule="auto"/>
              <w:ind w:firstLine="420" w:firstLineChars="200"/>
              <w:rPr>
                <w:rFonts w:hint="default" w:ascii="Times New Roman" w:hAnsi="Times New Roman" w:eastAsia="宋体" w:cs="Times New Roman"/>
                <w:szCs w:val="21"/>
                <w:lang w:val="en-US" w:eastAsia="zh-CN"/>
              </w:rPr>
            </w:pPr>
            <w:r>
              <w:rPr>
                <w:rFonts w:hint="eastAsia"/>
                <w:szCs w:val="21"/>
              </w:rPr>
              <w:t>由于本项目加工车间及设施设备较多，为了节省资源，优化环保设施布置。其中</w:t>
            </w:r>
            <w:r>
              <w:rPr>
                <w:rFonts w:hint="eastAsia"/>
                <w:szCs w:val="21"/>
                <w:lang w:val="en-US" w:eastAsia="zh-CN"/>
              </w:rPr>
              <w:t>五</w:t>
            </w:r>
            <w:r>
              <w:rPr>
                <w:rFonts w:hint="eastAsia"/>
                <w:szCs w:val="21"/>
              </w:rPr>
              <w:t>车间北侧设置1#布袋除尘器，</w:t>
            </w:r>
            <w:r>
              <w:rPr>
                <w:rFonts w:hint="eastAsia"/>
                <w:szCs w:val="21"/>
                <w:lang w:val="en-US" w:eastAsia="zh-CN"/>
              </w:rPr>
              <w:t>将五车间和四车间的废气统一收集后，通过风管进入</w:t>
            </w:r>
            <w:r>
              <w:rPr>
                <w:rFonts w:hint="eastAsia"/>
                <w:szCs w:val="21"/>
              </w:rPr>
              <w:t>1#布袋除尘器</w:t>
            </w:r>
            <w:r>
              <w:rPr>
                <w:rFonts w:hint="eastAsia" w:ascii="Times New Roman" w:hAnsi="Times New Roman" w:eastAsia="宋体" w:cs="Times New Roman"/>
                <w:szCs w:val="21"/>
                <w:lang w:val="en-US" w:eastAsia="zh-CN"/>
              </w:rPr>
              <w:t>净化处理，风机风量不小于9000m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/h，废气经处理达标后，由DA001（H15m，Φ0.5m）；</w:t>
            </w:r>
            <w:r>
              <w:rPr>
                <w:rFonts w:hint="eastAsia"/>
                <w:szCs w:val="21"/>
                <w:lang w:val="en-US" w:eastAsia="zh-CN"/>
              </w:rPr>
              <w:t>三</w:t>
            </w:r>
            <w:r>
              <w:rPr>
                <w:rFonts w:hint="eastAsia"/>
                <w:szCs w:val="21"/>
              </w:rPr>
              <w:t>车间</w:t>
            </w:r>
            <w:r>
              <w:rPr>
                <w:rFonts w:hint="eastAsia"/>
                <w:szCs w:val="21"/>
                <w:lang w:val="en-US" w:eastAsia="zh-CN"/>
              </w:rPr>
              <w:t>南</w:t>
            </w:r>
            <w:r>
              <w:rPr>
                <w:rFonts w:hint="eastAsia"/>
                <w:szCs w:val="21"/>
              </w:rPr>
              <w:t>侧设置</w:t>
            </w:r>
            <w:r>
              <w:rPr>
                <w:rFonts w:hint="eastAsia"/>
                <w:szCs w:val="21"/>
                <w:lang w:val="en-US" w:eastAsia="zh-CN"/>
              </w:rPr>
              <w:t>2</w:t>
            </w:r>
            <w:r>
              <w:rPr>
                <w:rFonts w:hint="eastAsia"/>
                <w:szCs w:val="21"/>
              </w:rPr>
              <w:t>#布袋除尘器，</w:t>
            </w:r>
            <w:r>
              <w:rPr>
                <w:rFonts w:hint="eastAsia"/>
                <w:szCs w:val="21"/>
                <w:lang w:val="en-US" w:eastAsia="zh-CN"/>
              </w:rPr>
              <w:t>将三车间的废气统一收集后，通过风管进入2</w:t>
            </w:r>
            <w:r>
              <w:rPr>
                <w:rFonts w:hint="eastAsia"/>
                <w:szCs w:val="21"/>
              </w:rPr>
              <w:t>#布袋除尘器</w:t>
            </w:r>
            <w:r>
              <w:rPr>
                <w:rFonts w:hint="eastAsia" w:ascii="Times New Roman" w:hAnsi="Times New Roman" w:eastAsia="宋体" w:cs="Times New Roman"/>
                <w:szCs w:val="21"/>
                <w:lang w:val="en-US" w:eastAsia="zh-CN"/>
              </w:rPr>
              <w:t>净化处理，风机风量不小于20000m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/h，废气经处理达标后，由DA002（H15m，Φ0.</w:t>
            </w:r>
            <w:r>
              <w:rPr>
                <w:rFonts w:hint="eastAsia" w:cs="Times New Roman"/>
                <w:szCs w:val="21"/>
                <w:lang w:val="en-US" w:eastAsia="zh-CN"/>
              </w:rPr>
              <w:t>8</w:t>
            </w:r>
            <w:r>
              <w:rPr>
                <w:rFonts w:hint="eastAsia" w:ascii="Times New Roman" w:hAnsi="Times New Roman" w:eastAsia="宋体" w:cs="Times New Roman"/>
                <w:szCs w:val="21"/>
                <w:lang w:val="en-US" w:eastAsia="zh-CN"/>
              </w:rPr>
              <w:t>m）；集气效率95%，除尘效率99%，工作时间2400h/a。</w:t>
            </w:r>
          </w:p>
          <w:p w14:paraId="01B9DB31">
            <w:pPr>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DA001排气筒</w:t>
            </w:r>
            <w:r>
              <w:rPr>
                <w:rFonts w:hint="eastAsia" w:cs="Times New Roman"/>
                <w:szCs w:val="21"/>
                <w:lang w:val="en-US" w:eastAsia="zh-CN"/>
              </w:rPr>
              <w:t>颗粒物</w:t>
            </w:r>
            <w:r>
              <w:rPr>
                <w:rFonts w:hint="eastAsia" w:ascii="Times New Roman" w:hAnsi="Times New Roman" w:eastAsia="宋体" w:cs="Times New Roman"/>
                <w:szCs w:val="21"/>
                <w:lang w:val="en-US" w:eastAsia="zh-CN"/>
              </w:rPr>
              <w:t>排放量：18.85t/a×95%×（1-99%）=0.1791t/a，排放速率0.075kg/h，排放浓度8.29mg/m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w:t>
            </w:r>
          </w:p>
          <w:p w14:paraId="6235FA50">
            <w:pPr>
              <w:spacing w:line="360" w:lineRule="auto"/>
              <w:ind w:firstLine="420" w:firstLineChars="20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DA002排气筒</w:t>
            </w:r>
            <w:r>
              <w:rPr>
                <w:rFonts w:hint="eastAsia" w:cs="Times New Roman"/>
                <w:szCs w:val="21"/>
                <w:lang w:val="en-US" w:eastAsia="zh-CN"/>
              </w:rPr>
              <w:t>颗粒物</w:t>
            </w:r>
            <w:r>
              <w:rPr>
                <w:rFonts w:hint="eastAsia" w:ascii="Times New Roman" w:hAnsi="Times New Roman" w:eastAsia="宋体" w:cs="Times New Roman"/>
                <w:szCs w:val="21"/>
                <w:lang w:val="en-US" w:eastAsia="zh-CN"/>
              </w:rPr>
              <w:t>排放量：109.25t/a×95%×（1-99%）=1.0379t/a，排放速率0.432kg/h，排放浓度21.62mg/m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w:t>
            </w:r>
          </w:p>
          <w:p w14:paraId="1F6AD51D">
            <w:pPr>
              <w:spacing w:line="360" w:lineRule="auto"/>
              <w:ind w:firstLine="420" w:firstLineChars="200"/>
              <w:rPr>
                <w:rFonts w:hint="eastAsia"/>
                <w:szCs w:val="21"/>
              </w:rPr>
            </w:pPr>
            <w:r>
              <w:rPr>
                <w:szCs w:val="21"/>
              </w:rPr>
              <w:t>颗粒物排放浓度</w:t>
            </w:r>
            <w:r>
              <w:rPr>
                <w:rFonts w:hint="eastAsia"/>
                <w:szCs w:val="21"/>
              </w:rPr>
              <w:t>、</w:t>
            </w:r>
            <w:r>
              <w:rPr>
                <w:szCs w:val="21"/>
              </w:rPr>
              <w:t>排放速率均满足执行</w:t>
            </w:r>
            <w:r>
              <w:rPr>
                <w:rFonts w:hint="eastAsia"/>
                <w:szCs w:val="21"/>
              </w:rPr>
              <w:t>《大气污染物综合排放标准》（GB16297-1996）表2中二级标准限值要求。</w:t>
            </w:r>
          </w:p>
          <w:p w14:paraId="6F07FB88">
            <w:pPr>
              <w:spacing w:line="360" w:lineRule="auto"/>
              <w:ind w:firstLine="420" w:firstLineChars="200"/>
              <w:rPr>
                <w:rFonts w:hint="eastAsia"/>
                <w:szCs w:val="21"/>
              </w:rPr>
            </w:pPr>
            <w:r>
              <w:rPr>
                <w:rFonts w:hint="eastAsia"/>
                <w:szCs w:val="21"/>
              </w:rPr>
              <w:t>另外，</w:t>
            </w:r>
            <w:r>
              <w:rPr>
                <w:rFonts w:hint="eastAsia"/>
                <w:szCs w:val="21"/>
                <w:lang w:val="en-US" w:eastAsia="zh-CN"/>
              </w:rPr>
              <w:t>三、四、五</w:t>
            </w:r>
            <w:r>
              <w:rPr>
                <w:rFonts w:hint="eastAsia"/>
                <w:szCs w:val="21"/>
              </w:rPr>
              <w:t>车间</w:t>
            </w:r>
            <w:r>
              <w:rPr>
                <w:rFonts w:hint="eastAsia"/>
                <w:szCs w:val="21"/>
                <w:lang w:val="en-US" w:eastAsia="zh-CN"/>
              </w:rPr>
              <w:t>内</w:t>
            </w:r>
            <w:r>
              <w:rPr>
                <w:rFonts w:hint="eastAsia"/>
                <w:szCs w:val="21"/>
              </w:rPr>
              <w:t>集气设施未捕集的颗粒物产生量约为</w:t>
            </w:r>
            <w:r>
              <w:rPr>
                <w:rFonts w:hint="eastAsia"/>
                <w:szCs w:val="21"/>
                <w:lang w:val="en-US" w:eastAsia="zh-CN"/>
              </w:rPr>
              <w:t>6.405</w:t>
            </w:r>
            <w:r>
              <w:rPr>
                <w:rFonts w:hint="eastAsia"/>
                <w:szCs w:val="21"/>
              </w:rPr>
              <w:t>t/a，经封闭式车间防治，并加强车间通风、清扫等措施防治后，抑尘效率达9</w:t>
            </w:r>
            <w:r>
              <w:rPr>
                <w:rFonts w:hint="eastAsia"/>
                <w:szCs w:val="21"/>
                <w:lang w:val="en-US" w:eastAsia="zh-CN"/>
              </w:rPr>
              <w:t>8</w:t>
            </w:r>
            <w:r>
              <w:rPr>
                <w:rFonts w:hint="eastAsia"/>
                <w:szCs w:val="21"/>
              </w:rPr>
              <w:t>%以上，无组织颗粒物排放量为0.</w:t>
            </w:r>
            <w:r>
              <w:rPr>
                <w:rFonts w:hint="eastAsia"/>
                <w:szCs w:val="21"/>
                <w:lang w:val="en-US" w:eastAsia="zh-CN"/>
              </w:rPr>
              <w:t>1281</w:t>
            </w:r>
            <w:r>
              <w:rPr>
                <w:rFonts w:hint="eastAsia"/>
                <w:szCs w:val="21"/>
              </w:rPr>
              <w:t>t/a。</w:t>
            </w:r>
          </w:p>
          <w:p w14:paraId="04D9CA60">
            <w:pPr>
              <w:spacing w:line="360" w:lineRule="auto"/>
              <w:ind w:firstLine="420" w:firstLineChars="200"/>
              <w:rPr>
                <w:rFonts w:hint="default" w:eastAsia="宋体"/>
                <w:szCs w:val="21"/>
                <w:lang w:val="en-US" w:eastAsia="zh-CN"/>
              </w:rPr>
            </w:pPr>
            <w:r>
              <w:rPr>
                <w:rFonts w:hint="eastAsia"/>
                <w:szCs w:val="21"/>
                <w:lang w:val="en-US" w:eastAsia="zh-CN"/>
              </w:rPr>
              <w:t>一、二车间内的砖石加工过程中产生的废气，采用湿式工艺，切割、雕刻等过程中喷水除尘，颗粒物与水雾混合形成的泥浆经车间设置的排水渠汇入沉淀池内，循环使用，除尘效率90%。则次部分颗粒物排放量=20.8t/a×（1-90%）=2.08t/a，作业区处于车间内，</w:t>
            </w:r>
            <w:r>
              <w:rPr>
                <w:rFonts w:hint="eastAsia"/>
                <w:szCs w:val="21"/>
              </w:rPr>
              <w:t>经封闭式车间防治，并加强车间通风、清扫等措施防治后，抑尘效率达9</w:t>
            </w:r>
            <w:r>
              <w:rPr>
                <w:rFonts w:hint="eastAsia"/>
                <w:szCs w:val="21"/>
                <w:lang w:val="en-US" w:eastAsia="zh-CN"/>
              </w:rPr>
              <w:t>8</w:t>
            </w:r>
            <w:r>
              <w:rPr>
                <w:rFonts w:hint="eastAsia"/>
                <w:szCs w:val="21"/>
              </w:rPr>
              <w:t>%以上，无组织颗粒物排放量为0.</w:t>
            </w:r>
            <w:r>
              <w:rPr>
                <w:rFonts w:hint="eastAsia"/>
                <w:szCs w:val="21"/>
                <w:lang w:val="en-US" w:eastAsia="zh-CN"/>
              </w:rPr>
              <w:t>0416</w:t>
            </w:r>
            <w:r>
              <w:rPr>
                <w:rFonts w:hint="eastAsia"/>
                <w:szCs w:val="21"/>
              </w:rPr>
              <w:t>t/a。</w:t>
            </w:r>
          </w:p>
          <w:p w14:paraId="5E5E8917">
            <w:pPr>
              <w:spacing w:line="360" w:lineRule="auto"/>
              <w:ind w:firstLine="422" w:firstLineChars="200"/>
              <w:rPr>
                <w:rFonts w:hint="eastAsia" w:ascii="Times New Roman" w:hAnsi="Times New Roman" w:eastAsia="宋体" w:cs="Times New Roman"/>
                <w:b/>
                <w:bCs/>
                <w:szCs w:val="21"/>
                <w:lang w:val="en-US" w:eastAsia="zh-CN"/>
              </w:rPr>
            </w:pPr>
            <w:r>
              <w:rPr>
                <w:rFonts w:hint="eastAsia" w:ascii="Times New Roman" w:hAnsi="Times New Roman" w:eastAsia="宋体" w:cs="Times New Roman"/>
                <w:b/>
                <w:bCs/>
                <w:szCs w:val="21"/>
                <w:lang w:eastAsia="zh-CN"/>
              </w:rPr>
              <w:t>（</w:t>
            </w:r>
            <w:r>
              <w:rPr>
                <w:rFonts w:hint="eastAsia" w:ascii="Times New Roman" w:hAnsi="Times New Roman" w:eastAsia="宋体" w:cs="Times New Roman"/>
                <w:b/>
                <w:bCs/>
                <w:szCs w:val="21"/>
                <w:lang w:val="en-US" w:eastAsia="zh-CN"/>
              </w:rPr>
              <w:t>2）有机废气</w:t>
            </w:r>
          </w:p>
          <w:p w14:paraId="72253DB1">
            <w:pPr>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本项目运营期产生有机废气的工序主要包括木材原料烘干废气、拼接胶粘废气、喷漆废气，主要污染物以非甲烷总烃计。</w:t>
            </w:r>
            <w:r>
              <w:rPr>
                <w:rFonts w:hint="eastAsia"/>
                <w:szCs w:val="21"/>
              </w:rPr>
              <w:t>参照《排放源统计调查产排污核算方法和系数手册》（2021年）中“203木质制品制造行业系数表”</w:t>
            </w:r>
            <w:r>
              <w:rPr>
                <w:rFonts w:hint="eastAsia"/>
                <w:szCs w:val="21"/>
                <w:lang w:val="en-US" w:eastAsia="zh-CN"/>
              </w:rPr>
              <w:t>污染物源强如表4.1-5所示。</w:t>
            </w:r>
          </w:p>
          <w:p w14:paraId="6F947A73">
            <w:pPr>
              <w:spacing w:line="240" w:lineRule="exact"/>
              <w:ind w:firstLine="361" w:firstLineChars="200"/>
              <w:jc w:val="center"/>
              <w:rPr>
                <w:b/>
                <w:sz w:val="18"/>
                <w:szCs w:val="18"/>
              </w:rPr>
            </w:pPr>
            <w:r>
              <w:rPr>
                <w:b/>
                <w:sz w:val="18"/>
                <w:szCs w:val="18"/>
              </w:rPr>
              <w:t>表</w:t>
            </w:r>
            <w:r>
              <w:rPr>
                <w:rFonts w:hint="eastAsia"/>
                <w:b/>
                <w:sz w:val="18"/>
                <w:szCs w:val="18"/>
              </w:rPr>
              <w:t>4</w:t>
            </w:r>
            <w:r>
              <w:rPr>
                <w:rFonts w:hint="eastAsia"/>
                <w:b/>
                <w:sz w:val="18"/>
                <w:szCs w:val="18"/>
                <w:lang w:val="en-US" w:eastAsia="zh-CN"/>
              </w:rPr>
              <w:t>.1</w:t>
            </w:r>
            <w:r>
              <w:rPr>
                <w:b/>
                <w:sz w:val="18"/>
                <w:szCs w:val="18"/>
              </w:rPr>
              <w:t>-</w:t>
            </w:r>
            <w:r>
              <w:rPr>
                <w:rFonts w:hint="eastAsia"/>
                <w:b/>
                <w:sz w:val="18"/>
                <w:szCs w:val="18"/>
                <w:lang w:val="en-US" w:eastAsia="zh-CN"/>
              </w:rPr>
              <w:t>5</w:t>
            </w:r>
            <w:r>
              <w:rPr>
                <w:b/>
                <w:sz w:val="18"/>
                <w:szCs w:val="18"/>
              </w:rPr>
              <w:t xml:space="preserve">    产品加工</w:t>
            </w:r>
            <w:r>
              <w:rPr>
                <w:rFonts w:hint="eastAsia"/>
                <w:b/>
                <w:sz w:val="18"/>
                <w:szCs w:val="18"/>
                <w:lang w:val="en-US" w:eastAsia="zh-CN"/>
              </w:rPr>
              <w:t>污染物</w:t>
            </w:r>
            <w:r>
              <w:rPr>
                <w:b/>
                <w:sz w:val="18"/>
                <w:szCs w:val="18"/>
              </w:rPr>
              <w:t>产生情况明细表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8"/>
              <w:gridCol w:w="843"/>
              <w:gridCol w:w="815"/>
              <w:gridCol w:w="840"/>
              <w:gridCol w:w="931"/>
              <w:gridCol w:w="1113"/>
              <w:gridCol w:w="1268"/>
              <w:gridCol w:w="658"/>
              <w:gridCol w:w="880"/>
            </w:tblGrid>
            <w:tr w14:paraId="09F90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9" w:hRule="atLeast"/>
                <w:tblHeader/>
                <w:jc w:val="center"/>
              </w:trPr>
              <w:tc>
                <w:tcPr>
                  <w:tcW w:w="358" w:type="pct"/>
                  <w:vAlign w:val="center"/>
                </w:tcPr>
                <w:p w14:paraId="7888F3D5">
                  <w:pPr>
                    <w:spacing w:line="200" w:lineRule="exact"/>
                    <w:jc w:val="center"/>
                    <w:rPr>
                      <w:sz w:val="18"/>
                      <w:szCs w:val="18"/>
                    </w:rPr>
                  </w:pPr>
                  <w:r>
                    <w:rPr>
                      <w:sz w:val="18"/>
                      <w:szCs w:val="18"/>
                    </w:rPr>
                    <w:t>产品名称</w:t>
                  </w:r>
                </w:p>
              </w:tc>
              <w:tc>
                <w:tcPr>
                  <w:tcW w:w="532" w:type="pct"/>
                  <w:vAlign w:val="center"/>
                </w:tcPr>
                <w:p w14:paraId="106610CD">
                  <w:pPr>
                    <w:spacing w:line="200" w:lineRule="exact"/>
                    <w:jc w:val="center"/>
                    <w:rPr>
                      <w:sz w:val="18"/>
                      <w:szCs w:val="18"/>
                    </w:rPr>
                  </w:pPr>
                  <w:r>
                    <w:rPr>
                      <w:sz w:val="18"/>
                      <w:szCs w:val="18"/>
                    </w:rPr>
                    <w:t>原料名称</w:t>
                  </w:r>
                </w:p>
              </w:tc>
              <w:tc>
                <w:tcPr>
                  <w:tcW w:w="514" w:type="pct"/>
                  <w:vAlign w:val="center"/>
                </w:tcPr>
                <w:p w14:paraId="78A8F057">
                  <w:pPr>
                    <w:spacing w:line="200" w:lineRule="exact"/>
                    <w:jc w:val="center"/>
                    <w:rPr>
                      <w:sz w:val="18"/>
                      <w:szCs w:val="18"/>
                    </w:rPr>
                  </w:pPr>
                  <w:r>
                    <w:rPr>
                      <w:sz w:val="18"/>
                      <w:szCs w:val="18"/>
                    </w:rPr>
                    <w:t>工段</w:t>
                  </w:r>
                </w:p>
                <w:p w14:paraId="718F5DE8">
                  <w:pPr>
                    <w:spacing w:line="200" w:lineRule="exact"/>
                    <w:jc w:val="center"/>
                    <w:rPr>
                      <w:sz w:val="18"/>
                      <w:szCs w:val="18"/>
                    </w:rPr>
                  </w:pPr>
                  <w:r>
                    <w:rPr>
                      <w:sz w:val="18"/>
                      <w:szCs w:val="18"/>
                    </w:rPr>
                    <w:t>名称</w:t>
                  </w:r>
                </w:p>
              </w:tc>
              <w:tc>
                <w:tcPr>
                  <w:tcW w:w="530" w:type="pct"/>
                  <w:vAlign w:val="center"/>
                </w:tcPr>
                <w:p w14:paraId="0FC6F2E5">
                  <w:pPr>
                    <w:spacing w:line="200" w:lineRule="exact"/>
                    <w:jc w:val="center"/>
                    <w:rPr>
                      <w:sz w:val="18"/>
                      <w:szCs w:val="18"/>
                    </w:rPr>
                  </w:pPr>
                  <w:r>
                    <w:rPr>
                      <w:sz w:val="18"/>
                      <w:szCs w:val="18"/>
                    </w:rPr>
                    <w:t>工艺</w:t>
                  </w:r>
                </w:p>
                <w:p w14:paraId="302CF653">
                  <w:pPr>
                    <w:spacing w:line="200" w:lineRule="exact"/>
                    <w:jc w:val="center"/>
                    <w:rPr>
                      <w:sz w:val="18"/>
                      <w:szCs w:val="18"/>
                    </w:rPr>
                  </w:pPr>
                  <w:r>
                    <w:rPr>
                      <w:sz w:val="18"/>
                      <w:szCs w:val="18"/>
                    </w:rPr>
                    <w:t>名称</w:t>
                  </w:r>
                </w:p>
              </w:tc>
              <w:tc>
                <w:tcPr>
                  <w:tcW w:w="587" w:type="pct"/>
                  <w:vAlign w:val="center"/>
                </w:tcPr>
                <w:p w14:paraId="7CDF6BAB">
                  <w:pPr>
                    <w:spacing w:line="200" w:lineRule="exact"/>
                    <w:jc w:val="center"/>
                    <w:rPr>
                      <w:sz w:val="18"/>
                      <w:szCs w:val="18"/>
                    </w:rPr>
                  </w:pPr>
                  <w:r>
                    <w:rPr>
                      <w:sz w:val="18"/>
                      <w:szCs w:val="18"/>
                    </w:rPr>
                    <w:t>污染物</w:t>
                  </w:r>
                </w:p>
              </w:tc>
              <w:tc>
                <w:tcPr>
                  <w:tcW w:w="702" w:type="pct"/>
                  <w:vAlign w:val="center"/>
                </w:tcPr>
                <w:p w14:paraId="4B9264D5">
                  <w:pPr>
                    <w:spacing w:line="200" w:lineRule="exact"/>
                    <w:jc w:val="center"/>
                    <w:rPr>
                      <w:sz w:val="18"/>
                      <w:szCs w:val="18"/>
                    </w:rPr>
                  </w:pPr>
                  <w:r>
                    <w:rPr>
                      <w:sz w:val="18"/>
                      <w:szCs w:val="18"/>
                    </w:rPr>
                    <w:t>系数单位</w:t>
                  </w:r>
                </w:p>
              </w:tc>
              <w:tc>
                <w:tcPr>
                  <w:tcW w:w="800" w:type="pct"/>
                  <w:vAlign w:val="center"/>
                </w:tcPr>
                <w:p w14:paraId="3465C261">
                  <w:pPr>
                    <w:spacing w:line="200" w:lineRule="exact"/>
                    <w:jc w:val="center"/>
                    <w:rPr>
                      <w:sz w:val="18"/>
                      <w:szCs w:val="18"/>
                    </w:rPr>
                  </w:pPr>
                  <w:r>
                    <w:rPr>
                      <w:sz w:val="18"/>
                      <w:szCs w:val="18"/>
                    </w:rPr>
                    <w:t>产污系数</w:t>
                  </w:r>
                </w:p>
              </w:tc>
              <w:tc>
                <w:tcPr>
                  <w:tcW w:w="415" w:type="pct"/>
                  <w:vAlign w:val="center"/>
                </w:tcPr>
                <w:p w14:paraId="6A280361">
                  <w:pPr>
                    <w:spacing w:line="200" w:lineRule="exact"/>
                    <w:jc w:val="center"/>
                    <w:rPr>
                      <w:sz w:val="18"/>
                      <w:szCs w:val="18"/>
                    </w:rPr>
                  </w:pPr>
                  <w:r>
                    <w:rPr>
                      <w:sz w:val="18"/>
                      <w:szCs w:val="18"/>
                    </w:rPr>
                    <w:t>本项目产能m</w:t>
                  </w:r>
                  <w:r>
                    <w:rPr>
                      <w:rFonts w:hint="eastAsia"/>
                      <w:sz w:val="18"/>
                      <w:szCs w:val="18"/>
                      <w:vertAlign w:val="superscript"/>
                    </w:rPr>
                    <w:t>3</w:t>
                  </w:r>
                  <w:r>
                    <w:rPr>
                      <w:rFonts w:hint="eastAsia"/>
                      <w:sz w:val="18"/>
                      <w:szCs w:val="18"/>
                    </w:rPr>
                    <w:t>/a</w:t>
                  </w:r>
                </w:p>
              </w:tc>
              <w:tc>
                <w:tcPr>
                  <w:tcW w:w="555" w:type="pct"/>
                  <w:vAlign w:val="center"/>
                </w:tcPr>
                <w:p w14:paraId="3C845724">
                  <w:pPr>
                    <w:spacing w:line="200" w:lineRule="exact"/>
                    <w:jc w:val="center"/>
                    <w:rPr>
                      <w:sz w:val="18"/>
                      <w:szCs w:val="18"/>
                    </w:rPr>
                  </w:pPr>
                  <w:r>
                    <w:rPr>
                      <w:sz w:val="18"/>
                      <w:szCs w:val="18"/>
                    </w:rPr>
                    <w:t>本项目相应工序污染物产生量t</w:t>
                  </w:r>
                  <w:r>
                    <w:rPr>
                      <w:rFonts w:hint="eastAsia"/>
                      <w:sz w:val="18"/>
                      <w:szCs w:val="18"/>
                    </w:rPr>
                    <w:t>./a</w:t>
                  </w:r>
                </w:p>
              </w:tc>
            </w:tr>
            <w:tr w14:paraId="59EA4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358" w:type="pct"/>
                  <w:vMerge w:val="restart"/>
                  <w:vAlign w:val="center"/>
                </w:tcPr>
                <w:p w14:paraId="5A447991">
                  <w:pPr>
                    <w:spacing w:line="200" w:lineRule="exact"/>
                    <w:jc w:val="center"/>
                    <w:rPr>
                      <w:sz w:val="18"/>
                      <w:szCs w:val="18"/>
                    </w:rPr>
                  </w:pPr>
                  <w:r>
                    <w:rPr>
                      <w:rFonts w:hint="eastAsia"/>
                      <w:sz w:val="18"/>
                      <w:szCs w:val="18"/>
                    </w:rPr>
                    <w:t>木构件、木门窗、木屋</w:t>
                  </w:r>
                </w:p>
              </w:tc>
              <w:tc>
                <w:tcPr>
                  <w:tcW w:w="532" w:type="pct"/>
                  <w:vAlign w:val="center"/>
                </w:tcPr>
                <w:p w14:paraId="5B24096D">
                  <w:pPr>
                    <w:spacing w:line="200" w:lineRule="exact"/>
                    <w:jc w:val="center"/>
                    <w:rPr>
                      <w:sz w:val="18"/>
                      <w:szCs w:val="18"/>
                    </w:rPr>
                  </w:pPr>
                  <w:r>
                    <w:rPr>
                      <w:sz w:val="18"/>
                      <w:szCs w:val="18"/>
                    </w:rPr>
                    <w:t>木材料</w:t>
                  </w:r>
                </w:p>
              </w:tc>
              <w:tc>
                <w:tcPr>
                  <w:tcW w:w="514" w:type="pct"/>
                  <w:shd w:val="clear" w:color="auto" w:fill="auto"/>
                  <w:vAlign w:val="center"/>
                </w:tcPr>
                <w:p w14:paraId="5421346A">
                  <w:pPr>
                    <w:spacing w:line="200" w:lineRule="exact"/>
                    <w:jc w:val="center"/>
                    <w:rPr>
                      <w:sz w:val="18"/>
                      <w:szCs w:val="18"/>
                    </w:rPr>
                  </w:pPr>
                  <w:r>
                    <w:rPr>
                      <w:sz w:val="18"/>
                      <w:szCs w:val="18"/>
                    </w:rPr>
                    <w:t>原料</w:t>
                  </w:r>
                </w:p>
                <w:p w14:paraId="2FB17984">
                  <w:pPr>
                    <w:spacing w:line="200" w:lineRule="exact"/>
                    <w:jc w:val="center"/>
                    <w:rPr>
                      <w:rFonts w:ascii="Times New Roman" w:hAnsi="Times New Roman" w:eastAsia="宋体" w:cs="Times New Roman"/>
                      <w:kern w:val="2"/>
                      <w:sz w:val="18"/>
                      <w:szCs w:val="18"/>
                      <w:lang w:val="en-US" w:eastAsia="zh-CN" w:bidi="ar-SA"/>
                    </w:rPr>
                  </w:pPr>
                  <w:r>
                    <w:rPr>
                      <w:sz w:val="18"/>
                      <w:szCs w:val="18"/>
                    </w:rPr>
                    <w:t>干燥</w:t>
                  </w:r>
                </w:p>
              </w:tc>
              <w:tc>
                <w:tcPr>
                  <w:tcW w:w="530" w:type="pct"/>
                  <w:shd w:val="clear" w:color="auto" w:fill="auto"/>
                  <w:vAlign w:val="center"/>
                </w:tcPr>
                <w:p w14:paraId="61CB88E9">
                  <w:pPr>
                    <w:spacing w:line="200" w:lineRule="exact"/>
                    <w:jc w:val="center"/>
                    <w:rPr>
                      <w:rFonts w:ascii="Times New Roman" w:hAnsi="Times New Roman" w:eastAsia="宋体" w:cs="Times New Roman"/>
                      <w:kern w:val="2"/>
                      <w:sz w:val="18"/>
                      <w:szCs w:val="18"/>
                      <w:lang w:val="en-US" w:eastAsia="zh-CN" w:bidi="ar-SA"/>
                    </w:rPr>
                  </w:pPr>
                  <w:r>
                    <w:rPr>
                      <w:sz w:val="18"/>
                      <w:szCs w:val="18"/>
                    </w:rPr>
                    <w:t>烘干</w:t>
                  </w:r>
                </w:p>
              </w:tc>
              <w:tc>
                <w:tcPr>
                  <w:tcW w:w="587" w:type="pct"/>
                  <w:shd w:val="clear" w:color="auto" w:fill="auto"/>
                  <w:vAlign w:val="center"/>
                </w:tcPr>
                <w:p w14:paraId="3AC18132">
                  <w:pPr>
                    <w:spacing w:line="200" w:lineRule="exact"/>
                    <w:jc w:val="center"/>
                    <w:rPr>
                      <w:rFonts w:ascii="Times New Roman" w:hAnsi="Times New Roman" w:eastAsia="宋体" w:cs="Times New Roman"/>
                      <w:kern w:val="2"/>
                      <w:sz w:val="18"/>
                      <w:szCs w:val="18"/>
                      <w:lang w:val="en-US" w:eastAsia="zh-CN" w:bidi="ar-SA"/>
                    </w:rPr>
                  </w:pPr>
                  <w:r>
                    <w:rPr>
                      <w:sz w:val="18"/>
                      <w:szCs w:val="18"/>
                    </w:rPr>
                    <w:t>挥发性有机物</w:t>
                  </w:r>
                </w:p>
              </w:tc>
              <w:tc>
                <w:tcPr>
                  <w:tcW w:w="702" w:type="pct"/>
                  <w:shd w:val="clear" w:color="auto" w:fill="auto"/>
                  <w:vAlign w:val="center"/>
                </w:tcPr>
                <w:p w14:paraId="15EC92B0">
                  <w:pPr>
                    <w:spacing w:line="200" w:lineRule="exact"/>
                    <w:jc w:val="center"/>
                    <w:rPr>
                      <w:rFonts w:ascii="Times New Roman" w:hAnsi="Times New Roman" w:eastAsia="宋体" w:cs="Times New Roman"/>
                      <w:kern w:val="2"/>
                      <w:sz w:val="18"/>
                      <w:szCs w:val="18"/>
                      <w:lang w:val="en-US" w:eastAsia="zh-CN" w:bidi="ar-SA"/>
                    </w:rPr>
                  </w:pP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0" w:type="pct"/>
                  <w:shd w:val="clear" w:color="auto" w:fill="auto"/>
                  <w:vAlign w:val="center"/>
                </w:tcPr>
                <w:p w14:paraId="4B7E8999">
                  <w:pPr>
                    <w:spacing w:line="200" w:lineRule="exact"/>
                    <w:jc w:val="center"/>
                    <w:rPr>
                      <w:rFonts w:ascii="Times New Roman" w:hAnsi="Times New Roman" w:eastAsia="宋体" w:cs="Times New Roman"/>
                      <w:kern w:val="2"/>
                      <w:sz w:val="18"/>
                      <w:szCs w:val="18"/>
                      <w:lang w:val="en-US" w:eastAsia="zh-CN" w:bidi="ar-SA"/>
                    </w:rPr>
                  </w:pPr>
                  <w:r>
                    <w:rPr>
                      <w:rFonts w:hint="eastAsia"/>
                      <w:sz w:val="18"/>
                      <w:szCs w:val="18"/>
                    </w:rPr>
                    <w:t>273×10</w:t>
                  </w:r>
                  <w:r>
                    <w:rPr>
                      <w:rFonts w:hint="eastAsia"/>
                      <w:sz w:val="18"/>
                      <w:szCs w:val="18"/>
                      <w:vertAlign w:val="superscript"/>
                    </w:rPr>
                    <w:t>-3</w:t>
                  </w:r>
                </w:p>
              </w:tc>
              <w:tc>
                <w:tcPr>
                  <w:tcW w:w="415" w:type="pct"/>
                  <w:shd w:val="clear" w:color="auto" w:fill="auto"/>
                  <w:vAlign w:val="center"/>
                </w:tcPr>
                <w:p w14:paraId="0B68FFFF">
                  <w:pPr>
                    <w:spacing w:line="200" w:lineRule="exact"/>
                    <w:jc w:val="center"/>
                    <w:rPr>
                      <w:rFonts w:ascii="Times New Roman" w:hAnsi="Times New Roman" w:eastAsia="宋体" w:cs="Times New Roman"/>
                      <w:kern w:val="2"/>
                      <w:sz w:val="18"/>
                      <w:szCs w:val="18"/>
                      <w:lang w:val="en-US" w:eastAsia="zh-CN" w:bidi="ar-SA"/>
                    </w:rPr>
                  </w:pPr>
                  <w:r>
                    <w:rPr>
                      <w:rFonts w:hint="eastAsia"/>
                      <w:sz w:val="18"/>
                      <w:szCs w:val="18"/>
                    </w:rPr>
                    <w:t>65000</w:t>
                  </w:r>
                </w:p>
              </w:tc>
              <w:tc>
                <w:tcPr>
                  <w:tcW w:w="555" w:type="pct"/>
                  <w:shd w:val="clear" w:color="auto" w:fill="auto"/>
                  <w:vAlign w:val="center"/>
                </w:tcPr>
                <w:p w14:paraId="223D5452">
                  <w:pPr>
                    <w:spacing w:line="200" w:lineRule="exact"/>
                    <w:jc w:val="center"/>
                    <w:rPr>
                      <w:rFonts w:ascii="Times New Roman" w:hAnsi="Times New Roman" w:eastAsia="宋体" w:cs="Times New Roman"/>
                      <w:kern w:val="2"/>
                      <w:sz w:val="18"/>
                      <w:szCs w:val="18"/>
                      <w:lang w:val="en-US" w:eastAsia="zh-CN" w:bidi="ar-SA"/>
                    </w:rPr>
                  </w:pPr>
                  <w:r>
                    <w:rPr>
                      <w:rFonts w:hint="eastAsia"/>
                      <w:sz w:val="18"/>
                      <w:szCs w:val="18"/>
                    </w:rPr>
                    <w:t>0.017745</w:t>
                  </w:r>
                </w:p>
              </w:tc>
            </w:tr>
            <w:tr w14:paraId="40780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58" w:type="pct"/>
                  <w:vMerge w:val="continue"/>
                  <w:vAlign w:val="center"/>
                </w:tcPr>
                <w:p w14:paraId="11784898">
                  <w:pPr>
                    <w:spacing w:line="200" w:lineRule="exact"/>
                    <w:jc w:val="center"/>
                    <w:rPr>
                      <w:sz w:val="18"/>
                      <w:szCs w:val="18"/>
                    </w:rPr>
                  </w:pPr>
                </w:p>
              </w:tc>
              <w:tc>
                <w:tcPr>
                  <w:tcW w:w="532" w:type="pct"/>
                  <w:vAlign w:val="center"/>
                </w:tcPr>
                <w:p w14:paraId="19EDA5D7">
                  <w:pPr>
                    <w:spacing w:line="200" w:lineRule="exact"/>
                    <w:jc w:val="center"/>
                    <w:rPr>
                      <w:sz w:val="18"/>
                      <w:szCs w:val="18"/>
                    </w:rPr>
                  </w:pPr>
                  <w:r>
                    <w:rPr>
                      <w:sz w:val="18"/>
                      <w:szCs w:val="18"/>
                    </w:rPr>
                    <w:t>胶黏剂</w:t>
                  </w:r>
                </w:p>
                <w:p w14:paraId="71F9CE20">
                  <w:pPr>
                    <w:spacing w:line="200" w:lineRule="exact"/>
                    <w:jc w:val="center"/>
                    <w:rPr>
                      <w:sz w:val="18"/>
                      <w:szCs w:val="18"/>
                    </w:rPr>
                  </w:pPr>
                  <w:r>
                    <w:rPr>
                      <w:rFonts w:hint="eastAsia"/>
                      <w:sz w:val="18"/>
                      <w:szCs w:val="18"/>
                    </w:rPr>
                    <w:t>（水性）</w:t>
                  </w:r>
                </w:p>
              </w:tc>
              <w:tc>
                <w:tcPr>
                  <w:tcW w:w="514" w:type="pct"/>
                  <w:vAlign w:val="center"/>
                </w:tcPr>
                <w:p w14:paraId="4AC59E4B">
                  <w:pPr>
                    <w:spacing w:line="200" w:lineRule="exact"/>
                    <w:jc w:val="center"/>
                    <w:rPr>
                      <w:rFonts w:hint="default" w:eastAsia="宋体"/>
                      <w:sz w:val="18"/>
                      <w:szCs w:val="18"/>
                      <w:lang w:val="en-US" w:eastAsia="zh-CN"/>
                    </w:rPr>
                  </w:pPr>
                  <w:r>
                    <w:rPr>
                      <w:rFonts w:hint="eastAsia"/>
                      <w:sz w:val="18"/>
                      <w:szCs w:val="18"/>
                      <w:lang w:val="en-US" w:eastAsia="zh-CN"/>
                    </w:rPr>
                    <w:t>拼接</w:t>
                  </w:r>
                </w:p>
              </w:tc>
              <w:tc>
                <w:tcPr>
                  <w:tcW w:w="530" w:type="pct"/>
                  <w:vAlign w:val="center"/>
                </w:tcPr>
                <w:p w14:paraId="3EA3AF10">
                  <w:pPr>
                    <w:spacing w:line="200" w:lineRule="exact"/>
                    <w:jc w:val="center"/>
                    <w:rPr>
                      <w:sz w:val="18"/>
                      <w:szCs w:val="18"/>
                    </w:rPr>
                  </w:pPr>
                  <w:r>
                    <w:rPr>
                      <w:sz w:val="18"/>
                      <w:szCs w:val="18"/>
                    </w:rPr>
                    <w:t>胶</w:t>
                  </w:r>
                  <w:r>
                    <w:rPr>
                      <w:rFonts w:hint="eastAsia"/>
                      <w:sz w:val="18"/>
                      <w:szCs w:val="18"/>
                    </w:rPr>
                    <w:t>粘</w:t>
                  </w:r>
                </w:p>
              </w:tc>
              <w:tc>
                <w:tcPr>
                  <w:tcW w:w="587" w:type="pct"/>
                  <w:vAlign w:val="center"/>
                </w:tcPr>
                <w:p w14:paraId="5A2A2387">
                  <w:pPr>
                    <w:spacing w:line="200" w:lineRule="exact"/>
                    <w:jc w:val="center"/>
                    <w:rPr>
                      <w:sz w:val="18"/>
                      <w:szCs w:val="18"/>
                    </w:rPr>
                  </w:pPr>
                  <w:r>
                    <w:rPr>
                      <w:sz w:val="18"/>
                      <w:szCs w:val="18"/>
                    </w:rPr>
                    <w:t>挥发性有机物</w:t>
                  </w:r>
                </w:p>
              </w:tc>
              <w:tc>
                <w:tcPr>
                  <w:tcW w:w="702" w:type="pct"/>
                  <w:vAlign w:val="center"/>
                </w:tcPr>
                <w:p w14:paraId="3304B4E0">
                  <w:pPr>
                    <w:spacing w:line="200" w:lineRule="exact"/>
                    <w:jc w:val="center"/>
                    <w:rPr>
                      <w:sz w:val="18"/>
                      <w:szCs w:val="18"/>
                    </w:rPr>
                  </w:pP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0" w:type="pct"/>
                  <w:vAlign w:val="center"/>
                </w:tcPr>
                <w:p w14:paraId="79CF1622">
                  <w:pPr>
                    <w:spacing w:line="200" w:lineRule="exact"/>
                    <w:jc w:val="center"/>
                    <w:rPr>
                      <w:sz w:val="18"/>
                      <w:szCs w:val="18"/>
                    </w:rPr>
                  </w:pPr>
                  <w:r>
                    <w:rPr>
                      <w:rFonts w:hint="eastAsia"/>
                      <w:sz w:val="18"/>
                      <w:szCs w:val="18"/>
                    </w:rPr>
                    <w:t>0.24</w:t>
                  </w:r>
                </w:p>
              </w:tc>
              <w:tc>
                <w:tcPr>
                  <w:tcW w:w="415" w:type="pct"/>
                  <w:vAlign w:val="center"/>
                </w:tcPr>
                <w:p w14:paraId="5A0881BB">
                  <w:pPr>
                    <w:spacing w:line="200" w:lineRule="exact"/>
                    <w:jc w:val="center"/>
                    <w:rPr>
                      <w:sz w:val="18"/>
                      <w:szCs w:val="18"/>
                    </w:rPr>
                  </w:pPr>
                  <w:r>
                    <w:rPr>
                      <w:rFonts w:hint="eastAsia"/>
                      <w:sz w:val="18"/>
                      <w:szCs w:val="18"/>
                    </w:rPr>
                    <w:t>65000</w:t>
                  </w:r>
                </w:p>
              </w:tc>
              <w:tc>
                <w:tcPr>
                  <w:tcW w:w="555" w:type="pct"/>
                  <w:vAlign w:val="center"/>
                </w:tcPr>
                <w:p w14:paraId="050A013E">
                  <w:pPr>
                    <w:spacing w:line="200" w:lineRule="exact"/>
                    <w:jc w:val="center"/>
                    <w:rPr>
                      <w:sz w:val="18"/>
                      <w:szCs w:val="18"/>
                    </w:rPr>
                  </w:pPr>
                  <w:r>
                    <w:rPr>
                      <w:rFonts w:hint="eastAsia"/>
                      <w:sz w:val="18"/>
                      <w:szCs w:val="18"/>
                    </w:rPr>
                    <w:t>0.0156</w:t>
                  </w:r>
                </w:p>
              </w:tc>
            </w:tr>
            <w:tr w14:paraId="476758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358" w:type="pct"/>
                  <w:vMerge w:val="continue"/>
                  <w:vAlign w:val="center"/>
                </w:tcPr>
                <w:p w14:paraId="5447EB44">
                  <w:pPr>
                    <w:spacing w:line="200" w:lineRule="exact"/>
                    <w:jc w:val="center"/>
                    <w:rPr>
                      <w:sz w:val="18"/>
                      <w:szCs w:val="18"/>
                    </w:rPr>
                  </w:pPr>
                </w:p>
              </w:tc>
              <w:tc>
                <w:tcPr>
                  <w:tcW w:w="532" w:type="pct"/>
                  <w:vMerge w:val="restart"/>
                  <w:vAlign w:val="center"/>
                </w:tcPr>
                <w:p w14:paraId="467121C5">
                  <w:pPr>
                    <w:spacing w:line="200" w:lineRule="exact"/>
                    <w:jc w:val="center"/>
                    <w:rPr>
                      <w:sz w:val="18"/>
                      <w:szCs w:val="18"/>
                    </w:rPr>
                  </w:pPr>
                  <w:r>
                    <w:rPr>
                      <w:sz w:val="18"/>
                      <w:szCs w:val="18"/>
                    </w:rPr>
                    <w:t>涂料</w:t>
                  </w:r>
                </w:p>
                <w:p w14:paraId="49A087C4">
                  <w:pPr>
                    <w:spacing w:line="200" w:lineRule="exact"/>
                    <w:jc w:val="center"/>
                    <w:rPr>
                      <w:sz w:val="18"/>
                      <w:szCs w:val="18"/>
                    </w:rPr>
                  </w:pPr>
                  <w:r>
                    <w:rPr>
                      <w:rFonts w:hint="eastAsia"/>
                      <w:sz w:val="18"/>
                      <w:szCs w:val="18"/>
                    </w:rPr>
                    <w:t>（水性）</w:t>
                  </w:r>
                </w:p>
              </w:tc>
              <w:tc>
                <w:tcPr>
                  <w:tcW w:w="514" w:type="pct"/>
                  <w:vMerge w:val="restart"/>
                  <w:vAlign w:val="center"/>
                </w:tcPr>
                <w:p w14:paraId="1FF0FAFE">
                  <w:pPr>
                    <w:spacing w:line="200" w:lineRule="exact"/>
                    <w:jc w:val="center"/>
                    <w:rPr>
                      <w:sz w:val="18"/>
                      <w:szCs w:val="18"/>
                    </w:rPr>
                  </w:pPr>
                  <w:r>
                    <w:rPr>
                      <w:sz w:val="18"/>
                      <w:szCs w:val="18"/>
                    </w:rPr>
                    <w:t>涂饰</w:t>
                  </w:r>
                </w:p>
              </w:tc>
              <w:tc>
                <w:tcPr>
                  <w:tcW w:w="530" w:type="pct"/>
                  <w:vMerge w:val="restart"/>
                  <w:vAlign w:val="center"/>
                </w:tcPr>
                <w:p w14:paraId="6C3AE8DC">
                  <w:pPr>
                    <w:spacing w:line="200" w:lineRule="exact"/>
                    <w:jc w:val="center"/>
                    <w:rPr>
                      <w:sz w:val="18"/>
                      <w:szCs w:val="18"/>
                    </w:rPr>
                  </w:pPr>
                  <w:r>
                    <w:rPr>
                      <w:sz w:val="18"/>
                      <w:szCs w:val="18"/>
                    </w:rPr>
                    <w:t>喷漆</w:t>
                  </w:r>
                </w:p>
              </w:tc>
              <w:tc>
                <w:tcPr>
                  <w:tcW w:w="587" w:type="pct"/>
                  <w:vAlign w:val="center"/>
                </w:tcPr>
                <w:p w14:paraId="17B28BF0">
                  <w:pPr>
                    <w:spacing w:line="200" w:lineRule="exact"/>
                    <w:jc w:val="center"/>
                    <w:rPr>
                      <w:sz w:val="18"/>
                      <w:szCs w:val="18"/>
                    </w:rPr>
                  </w:pPr>
                  <w:r>
                    <w:rPr>
                      <w:sz w:val="18"/>
                      <w:szCs w:val="18"/>
                    </w:rPr>
                    <w:t>颗粒物</w:t>
                  </w:r>
                </w:p>
              </w:tc>
              <w:tc>
                <w:tcPr>
                  <w:tcW w:w="702" w:type="pct"/>
                  <w:vAlign w:val="center"/>
                </w:tcPr>
                <w:p w14:paraId="13B03F6B">
                  <w:pPr>
                    <w:spacing w:line="200" w:lineRule="exact"/>
                    <w:jc w:val="center"/>
                    <w:rPr>
                      <w:sz w:val="18"/>
                      <w:szCs w:val="18"/>
                    </w:rPr>
                  </w:pPr>
                  <w:r>
                    <w:rPr>
                      <w:rFonts w:hint="eastAsia"/>
                      <w:sz w:val="18"/>
                      <w:szCs w:val="18"/>
                    </w:rPr>
                    <w:t>k</w:t>
                  </w: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0" w:type="pct"/>
                  <w:vAlign w:val="center"/>
                </w:tcPr>
                <w:p w14:paraId="354B6BC8">
                  <w:pPr>
                    <w:spacing w:line="200" w:lineRule="exact"/>
                    <w:jc w:val="center"/>
                    <w:rPr>
                      <w:sz w:val="18"/>
                      <w:szCs w:val="18"/>
                    </w:rPr>
                  </w:pPr>
                  <w:r>
                    <w:rPr>
                      <w:rFonts w:hint="eastAsia"/>
                      <w:sz w:val="18"/>
                      <w:szCs w:val="18"/>
                    </w:rPr>
                    <w:t>0.041</w:t>
                  </w:r>
                </w:p>
              </w:tc>
              <w:tc>
                <w:tcPr>
                  <w:tcW w:w="415" w:type="pct"/>
                  <w:vMerge w:val="restart"/>
                  <w:vAlign w:val="center"/>
                </w:tcPr>
                <w:p w14:paraId="5B728970">
                  <w:pPr>
                    <w:spacing w:line="200" w:lineRule="exact"/>
                    <w:jc w:val="center"/>
                    <w:rPr>
                      <w:sz w:val="18"/>
                      <w:szCs w:val="18"/>
                    </w:rPr>
                  </w:pPr>
                  <w:r>
                    <w:rPr>
                      <w:rFonts w:hint="eastAsia"/>
                      <w:sz w:val="18"/>
                      <w:szCs w:val="18"/>
                      <w:lang w:val="en-US" w:eastAsia="zh-CN"/>
                    </w:rPr>
                    <w:t>3</w:t>
                  </w:r>
                  <w:r>
                    <w:rPr>
                      <w:rFonts w:hint="eastAsia"/>
                      <w:sz w:val="18"/>
                      <w:szCs w:val="18"/>
                    </w:rPr>
                    <w:t>5000</w:t>
                  </w:r>
                </w:p>
              </w:tc>
              <w:tc>
                <w:tcPr>
                  <w:tcW w:w="555" w:type="pct"/>
                  <w:vAlign w:val="center"/>
                </w:tcPr>
                <w:p w14:paraId="46157678">
                  <w:pPr>
                    <w:spacing w:line="200" w:lineRule="exact"/>
                    <w:jc w:val="center"/>
                    <w:rPr>
                      <w:rFonts w:hint="default" w:eastAsia="宋体"/>
                      <w:sz w:val="18"/>
                      <w:szCs w:val="18"/>
                      <w:lang w:val="en-US" w:eastAsia="zh-CN"/>
                    </w:rPr>
                  </w:pPr>
                  <w:r>
                    <w:rPr>
                      <w:rFonts w:hint="eastAsia"/>
                      <w:sz w:val="18"/>
                      <w:szCs w:val="18"/>
                      <w:lang w:val="en-US" w:eastAsia="zh-CN"/>
                    </w:rPr>
                    <w:t>1.435</w:t>
                  </w:r>
                </w:p>
              </w:tc>
            </w:tr>
            <w:tr w14:paraId="6FDB7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358" w:type="pct"/>
                  <w:vMerge w:val="continue"/>
                  <w:vAlign w:val="center"/>
                </w:tcPr>
                <w:p w14:paraId="01F674E7">
                  <w:pPr>
                    <w:spacing w:line="200" w:lineRule="exact"/>
                    <w:jc w:val="center"/>
                    <w:rPr>
                      <w:sz w:val="18"/>
                      <w:szCs w:val="18"/>
                    </w:rPr>
                  </w:pPr>
                </w:p>
              </w:tc>
              <w:tc>
                <w:tcPr>
                  <w:tcW w:w="532" w:type="pct"/>
                  <w:vMerge w:val="continue"/>
                  <w:vAlign w:val="center"/>
                </w:tcPr>
                <w:p w14:paraId="2BCD308B">
                  <w:pPr>
                    <w:spacing w:line="200" w:lineRule="exact"/>
                    <w:jc w:val="center"/>
                    <w:rPr>
                      <w:sz w:val="18"/>
                      <w:szCs w:val="18"/>
                    </w:rPr>
                  </w:pPr>
                </w:p>
              </w:tc>
              <w:tc>
                <w:tcPr>
                  <w:tcW w:w="514" w:type="pct"/>
                  <w:vMerge w:val="continue"/>
                  <w:vAlign w:val="center"/>
                </w:tcPr>
                <w:p w14:paraId="31CDDF81">
                  <w:pPr>
                    <w:spacing w:line="200" w:lineRule="exact"/>
                    <w:jc w:val="center"/>
                    <w:rPr>
                      <w:sz w:val="18"/>
                      <w:szCs w:val="18"/>
                    </w:rPr>
                  </w:pPr>
                </w:p>
              </w:tc>
              <w:tc>
                <w:tcPr>
                  <w:tcW w:w="530" w:type="pct"/>
                  <w:vMerge w:val="continue"/>
                  <w:vAlign w:val="center"/>
                </w:tcPr>
                <w:p w14:paraId="0A9793C1">
                  <w:pPr>
                    <w:spacing w:line="200" w:lineRule="exact"/>
                    <w:jc w:val="center"/>
                    <w:rPr>
                      <w:sz w:val="18"/>
                      <w:szCs w:val="18"/>
                    </w:rPr>
                  </w:pPr>
                </w:p>
              </w:tc>
              <w:tc>
                <w:tcPr>
                  <w:tcW w:w="587" w:type="pct"/>
                  <w:vAlign w:val="center"/>
                </w:tcPr>
                <w:p w14:paraId="00A46F2F">
                  <w:pPr>
                    <w:spacing w:line="200" w:lineRule="exact"/>
                    <w:jc w:val="center"/>
                    <w:rPr>
                      <w:sz w:val="18"/>
                      <w:szCs w:val="18"/>
                    </w:rPr>
                  </w:pPr>
                  <w:r>
                    <w:rPr>
                      <w:sz w:val="18"/>
                      <w:szCs w:val="18"/>
                    </w:rPr>
                    <w:t>挥发性有机物</w:t>
                  </w:r>
                </w:p>
              </w:tc>
              <w:tc>
                <w:tcPr>
                  <w:tcW w:w="702" w:type="pct"/>
                  <w:vAlign w:val="center"/>
                </w:tcPr>
                <w:p w14:paraId="47F5393B">
                  <w:pPr>
                    <w:spacing w:line="200" w:lineRule="exact"/>
                    <w:jc w:val="center"/>
                    <w:rPr>
                      <w:sz w:val="18"/>
                      <w:szCs w:val="18"/>
                    </w:rPr>
                  </w:pPr>
                  <w:r>
                    <w:rPr>
                      <w:sz w:val="18"/>
                      <w:szCs w:val="18"/>
                    </w:rPr>
                    <w:t>g</w:t>
                  </w:r>
                  <w:r>
                    <w:rPr>
                      <w:rFonts w:hint="eastAsia"/>
                      <w:sz w:val="18"/>
                      <w:szCs w:val="18"/>
                    </w:rPr>
                    <w:t>/m</w:t>
                  </w:r>
                  <w:r>
                    <w:rPr>
                      <w:rFonts w:hint="eastAsia"/>
                      <w:sz w:val="18"/>
                      <w:szCs w:val="18"/>
                      <w:vertAlign w:val="superscript"/>
                    </w:rPr>
                    <w:t>3</w:t>
                  </w:r>
                  <w:r>
                    <w:rPr>
                      <w:rFonts w:hint="eastAsia"/>
                      <w:sz w:val="18"/>
                      <w:szCs w:val="18"/>
                    </w:rPr>
                    <w:t>-产品</w:t>
                  </w:r>
                </w:p>
              </w:tc>
              <w:tc>
                <w:tcPr>
                  <w:tcW w:w="800" w:type="pct"/>
                  <w:vAlign w:val="center"/>
                </w:tcPr>
                <w:p w14:paraId="7D485E4B">
                  <w:pPr>
                    <w:spacing w:line="200" w:lineRule="exact"/>
                    <w:jc w:val="center"/>
                    <w:rPr>
                      <w:sz w:val="18"/>
                      <w:szCs w:val="18"/>
                    </w:rPr>
                  </w:pPr>
                  <w:r>
                    <w:rPr>
                      <w:rFonts w:hint="eastAsia"/>
                      <w:sz w:val="18"/>
                      <w:szCs w:val="18"/>
                    </w:rPr>
                    <w:t>85.1</w:t>
                  </w:r>
                </w:p>
              </w:tc>
              <w:tc>
                <w:tcPr>
                  <w:tcW w:w="415" w:type="pct"/>
                  <w:vMerge w:val="continue"/>
                  <w:vAlign w:val="center"/>
                </w:tcPr>
                <w:p w14:paraId="298E323D">
                  <w:pPr>
                    <w:spacing w:line="200" w:lineRule="exact"/>
                    <w:jc w:val="center"/>
                    <w:rPr>
                      <w:sz w:val="18"/>
                      <w:szCs w:val="18"/>
                    </w:rPr>
                  </w:pPr>
                </w:p>
              </w:tc>
              <w:tc>
                <w:tcPr>
                  <w:tcW w:w="555" w:type="pct"/>
                  <w:vAlign w:val="center"/>
                </w:tcPr>
                <w:p w14:paraId="32ED8AA7">
                  <w:pPr>
                    <w:spacing w:line="200" w:lineRule="exact"/>
                    <w:jc w:val="center"/>
                    <w:rPr>
                      <w:rFonts w:hint="default" w:eastAsia="宋体"/>
                      <w:sz w:val="18"/>
                      <w:szCs w:val="18"/>
                      <w:lang w:val="en-US" w:eastAsia="zh-CN"/>
                    </w:rPr>
                  </w:pPr>
                  <w:r>
                    <w:rPr>
                      <w:rFonts w:hint="eastAsia"/>
                      <w:sz w:val="18"/>
                      <w:szCs w:val="18"/>
                      <w:lang w:val="en-US" w:eastAsia="zh-CN"/>
                    </w:rPr>
                    <w:t>2.9785</w:t>
                  </w:r>
                </w:p>
              </w:tc>
            </w:tr>
          </w:tbl>
          <w:p w14:paraId="6ECF909F">
            <w:pPr>
              <w:autoSpaceDE w:val="0"/>
              <w:autoSpaceDN w:val="0"/>
              <w:spacing w:line="360" w:lineRule="auto"/>
              <w:ind w:firstLine="420" w:firstLineChars="200"/>
              <w:rPr>
                <w:szCs w:val="21"/>
              </w:rPr>
            </w:pPr>
            <w:r>
              <w:rPr>
                <w:rFonts w:hint="default" w:ascii="Times New Roman" w:hAnsi="Times New Roman" w:eastAsia="宋体" w:cs="Times New Roman"/>
                <w:szCs w:val="21"/>
                <w:lang w:val="en-US" w:eastAsia="zh-CN"/>
              </w:rPr>
              <w:t>①</w:t>
            </w:r>
            <w:r>
              <w:rPr>
                <w:rFonts w:hint="eastAsia"/>
                <w:szCs w:val="21"/>
              </w:rPr>
              <w:t>本项目木材料需要进行干燥处理，使用</w:t>
            </w:r>
            <w:r>
              <w:rPr>
                <w:rFonts w:hint="eastAsia"/>
                <w:szCs w:val="21"/>
                <w:lang w:val="en-US" w:eastAsia="zh-CN"/>
              </w:rPr>
              <w:t>一套干燥窑进行周期式干燥，设置在五车间内，用于去除水分</w:t>
            </w:r>
            <w:r>
              <w:rPr>
                <w:rFonts w:hint="eastAsia"/>
                <w:szCs w:val="21"/>
              </w:rPr>
              <w:t>，干燥过程中会产生一定的挥发性有机废气，主要污染物为非甲烷总烃</w:t>
            </w:r>
            <w:r>
              <w:rPr>
                <w:rFonts w:hint="eastAsia"/>
                <w:szCs w:val="21"/>
                <w:lang w:eastAsia="zh-CN"/>
              </w:rPr>
              <w:t>，</w:t>
            </w:r>
            <w:r>
              <w:rPr>
                <w:rFonts w:hint="eastAsia" w:ascii="Times New Roman" w:hAnsi="Times New Roman" w:eastAsia="宋体" w:cs="Times New Roman"/>
                <w:szCs w:val="21"/>
                <w:lang w:val="en-US" w:eastAsia="zh-CN"/>
              </w:rPr>
              <w:t>产生量约为0.01</w:t>
            </w:r>
            <w:r>
              <w:rPr>
                <w:rFonts w:hint="eastAsia" w:cs="Times New Roman"/>
                <w:szCs w:val="21"/>
                <w:lang w:val="en-US" w:eastAsia="zh-CN"/>
              </w:rPr>
              <w:t>77</w:t>
            </w:r>
            <w:r>
              <w:rPr>
                <w:rFonts w:hint="eastAsia" w:ascii="Times New Roman" w:hAnsi="Times New Roman" w:eastAsia="宋体" w:cs="Times New Roman"/>
                <w:szCs w:val="21"/>
                <w:lang w:val="en-US" w:eastAsia="zh-CN"/>
              </w:rPr>
              <w:t>t/a；</w:t>
            </w:r>
          </w:p>
          <w:p w14:paraId="4EEE37AA">
            <w:pPr>
              <w:autoSpaceDE w:val="0"/>
              <w:autoSpaceDN w:val="0"/>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②</w:t>
            </w:r>
            <w:r>
              <w:rPr>
                <w:rFonts w:hint="default" w:ascii="Times New Roman" w:hAnsi="Times New Roman" w:eastAsia="宋体" w:cs="Times New Roman"/>
                <w:szCs w:val="21"/>
                <w:lang w:val="en-US" w:eastAsia="zh-CN"/>
              </w:rPr>
              <w:t>木质产品胶粘工序设置在四车间内</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其中胶粘工艺使用水性胶水</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使用对接机或拼板机等进行胶贴</w:t>
            </w:r>
            <w:r>
              <w:rPr>
                <w:rFonts w:hint="eastAsia" w:ascii="Times New Roman" w:hAnsi="Times New Roman" w:eastAsia="宋体" w:cs="Times New Roman"/>
                <w:szCs w:val="21"/>
                <w:lang w:val="en-US" w:eastAsia="zh-CN"/>
              </w:rPr>
              <w:t>，此过程中会产生一定的挥发性有机废气，主要污染物为非甲烷总烃，产生量约为0.0156t/a；</w:t>
            </w:r>
          </w:p>
          <w:p w14:paraId="2D05255C">
            <w:pPr>
              <w:autoSpaceDE w:val="0"/>
              <w:autoSpaceDN w:val="0"/>
              <w:spacing w:line="360" w:lineRule="auto"/>
              <w:ind w:firstLine="420" w:firstLineChars="200"/>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③</w:t>
            </w:r>
            <w:r>
              <w:rPr>
                <w:rFonts w:hint="eastAsia" w:ascii="Times New Roman" w:hAnsi="Times New Roman" w:eastAsia="宋体" w:cs="Times New Roman"/>
                <w:szCs w:val="21"/>
                <w:lang w:val="en-US" w:eastAsia="zh-CN"/>
              </w:rPr>
              <w:t>制作木门窗、木屋产品装饰工序主要为喷漆作业，本项目在</w:t>
            </w:r>
            <w:r>
              <w:rPr>
                <w:rFonts w:hint="eastAsia" w:cs="Times New Roman"/>
                <w:szCs w:val="21"/>
                <w:lang w:val="en-US" w:eastAsia="zh-CN"/>
              </w:rPr>
              <w:t>三</w:t>
            </w:r>
            <w:r>
              <w:rPr>
                <w:rFonts w:hint="eastAsia" w:ascii="Times New Roman" w:hAnsi="Times New Roman" w:eastAsia="宋体" w:cs="Times New Roman"/>
                <w:szCs w:val="21"/>
                <w:lang w:val="en-US" w:eastAsia="zh-CN"/>
              </w:rPr>
              <w:t>车间内设置1座</w:t>
            </w:r>
            <w:r>
              <w:rPr>
                <w:rFonts w:hint="eastAsia" w:cs="Times New Roman"/>
                <w:szCs w:val="21"/>
                <w:lang w:val="en-US" w:eastAsia="zh-CN"/>
              </w:rPr>
              <w:t>喷漆柜</w:t>
            </w:r>
            <w:r>
              <w:rPr>
                <w:rFonts w:hint="eastAsia" w:ascii="Times New Roman" w:hAnsi="Times New Roman" w:eastAsia="宋体" w:cs="Times New Roman"/>
                <w:szCs w:val="21"/>
                <w:lang w:val="en-US" w:eastAsia="zh-CN"/>
              </w:rPr>
              <w:t>，占地面积约</w:t>
            </w:r>
            <w:r>
              <w:rPr>
                <w:rFonts w:hint="eastAsia" w:cs="Times New Roman"/>
                <w:szCs w:val="21"/>
                <w:lang w:val="en-US" w:eastAsia="zh-CN"/>
              </w:rPr>
              <w:t>3.75</w:t>
            </w:r>
            <w:r>
              <w:rPr>
                <w:rFonts w:hint="eastAsia" w:ascii="Times New Roman" w:hAnsi="Times New Roman" w:eastAsia="宋体" w:cs="Times New Roman"/>
                <w:szCs w:val="21"/>
                <w:lang w:val="en-US" w:eastAsia="zh-CN"/>
              </w:rPr>
              <w:t>m</w:t>
            </w:r>
            <w:r>
              <w:rPr>
                <w:rFonts w:hint="eastAsia" w:ascii="Times New Roman" w:hAnsi="Times New Roman" w:eastAsia="宋体" w:cs="Times New Roman"/>
                <w:szCs w:val="21"/>
                <w:vertAlign w:val="superscript"/>
                <w:lang w:val="en-US" w:eastAsia="zh-CN"/>
              </w:rPr>
              <w:t>2</w:t>
            </w:r>
            <w:r>
              <w:rPr>
                <w:rFonts w:hint="eastAsia" w:ascii="Times New Roman" w:hAnsi="Times New Roman" w:eastAsia="宋体" w:cs="Times New Roman"/>
                <w:szCs w:val="21"/>
                <w:lang w:val="en-US" w:eastAsia="zh-CN"/>
              </w:rPr>
              <w:t>，喷漆工序主要为对产品喷涂底漆和面漆，均使用水性漆，过程中会产生一定的废气，主要污染物为</w:t>
            </w:r>
            <w:r>
              <w:rPr>
                <w:rFonts w:hint="eastAsia" w:cs="Times New Roman"/>
                <w:szCs w:val="21"/>
                <w:lang w:val="en-US" w:eastAsia="zh-CN"/>
              </w:rPr>
              <w:t>颗粒物（</w:t>
            </w:r>
            <w:r>
              <w:rPr>
                <w:rFonts w:hint="eastAsia" w:ascii="Times New Roman" w:hAnsi="Times New Roman" w:eastAsia="宋体" w:cs="Times New Roman"/>
                <w:szCs w:val="21"/>
                <w:lang w:val="en-US" w:eastAsia="zh-CN"/>
              </w:rPr>
              <w:t>漆雾</w:t>
            </w:r>
            <w:r>
              <w:rPr>
                <w:rFonts w:hint="eastAsia" w:cs="Times New Roman"/>
                <w:szCs w:val="21"/>
                <w:lang w:val="en-US" w:eastAsia="zh-CN"/>
              </w:rPr>
              <w:t>）</w:t>
            </w:r>
            <w:r>
              <w:rPr>
                <w:rFonts w:hint="eastAsia" w:ascii="Times New Roman" w:hAnsi="Times New Roman" w:eastAsia="宋体" w:cs="Times New Roman"/>
                <w:szCs w:val="21"/>
                <w:lang w:val="en-US" w:eastAsia="zh-CN"/>
              </w:rPr>
              <w:t>和非甲烷总烃，产生量分别为</w:t>
            </w:r>
            <w:r>
              <w:rPr>
                <w:rFonts w:hint="eastAsia" w:cs="Times New Roman"/>
                <w:szCs w:val="21"/>
                <w:lang w:val="en-US" w:eastAsia="zh-CN"/>
              </w:rPr>
              <w:t>1.435</w:t>
            </w:r>
            <w:r>
              <w:rPr>
                <w:rFonts w:hint="eastAsia" w:ascii="Times New Roman" w:hAnsi="Times New Roman" w:eastAsia="宋体" w:cs="Times New Roman"/>
                <w:szCs w:val="21"/>
                <w:lang w:val="en-US" w:eastAsia="zh-CN"/>
              </w:rPr>
              <w:t>t/a和</w:t>
            </w:r>
            <w:r>
              <w:rPr>
                <w:rFonts w:hint="eastAsia" w:cs="Times New Roman"/>
                <w:szCs w:val="21"/>
                <w:lang w:val="en-US" w:eastAsia="zh-CN"/>
              </w:rPr>
              <w:t>2.9785</w:t>
            </w:r>
            <w:r>
              <w:rPr>
                <w:rFonts w:hint="eastAsia" w:ascii="Times New Roman" w:hAnsi="Times New Roman" w:eastAsia="宋体" w:cs="Times New Roman"/>
                <w:szCs w:val="21"/>
                <w:lang w:val="en-US" w:eastAsia="zh-CN"/>
              </w:rPr>
              <w:t>t/a。</w:t>
            </w:r>
          </w:p>
          <w:p w14:paraId="7967F7A6">
            <w:pPr>
              <w:autoSpaceDE w:val="0"/>
              <w:autoSpaceDN w:val="0"/>
              <w:spacing w:line="36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针对此部分废气，环评要求对</w:t>
            </w:r>
            <w:r>
              <w:rPr>
                <w:rFonts w:hint="eastAsia" w:cs="Times New Roman"/>
                <w:szCs w:val="21"/>
                <w:lang w:val="en-US" w:eastAsia="zh-CN"/>
              </w:rPr>
              <w:t>干燥窑废气收集并通入风管；</w:t>
            </w:r>
            <w:r>
              <w:rPr>
                <w:rFonts w:hint="eastAsia" w:ascii="Times New Roman" w:hAnsi="Times New Roman" w:eastAsia="宋体" w:cs="Times New Roman"/>
                <w:szCs w:val="21"/>
                <w:lang w:val="en-US" w:eastAsia="zh-CN"/>
              </w:rPr>
              <w:t>涉及胶粘工序中的</w:t>
            </w:r>
            <w:r>
              <w:rPr>
                <w:rFonts w:hint="eastAsia" w:cs="Times New Roman"/>
                <w:szCs w:val="21"/>
                <w:lang w:val="en-US" w:eastAsia="zh-CN"/>
              </w:rPr>
              <w:t>1</w:t>
            </w:r>
            <w:r>
              <w:rPr>
                <w:rFonts w:hint="eastAsia" w:ascii="Times New Roman" w:hAnsi="Times New Roman" w:eastAsia="宋体" w:cs="Times New Roman"/>
                <w:szCs w:val="21"/>
                <w:lang w:val="en-US" w:eastAsia="zh-CN"/>
              </w:rPr>
              <w:t>台</w:t>
            </w:r>
            <w:r>
              <w:rPr>
                <w:rFonts w:hint="eastAsia" w:cs="Times New Roman"/>
                <w:szCs w:val="21"/>
                <w:lang w:val="en-US" w:eastAsia="zh-CN"/>
              </w:rPr>
              <w:t>拼版</w:t>
            </w:r>
            <w:r>
              <w:rPr>
                <w:rFonts w:hint="eastAsia" w:ascii="Times New Roman" w:hAnsi="Times New Roman" w:eastAsia="宋体" w:cs="Times New Roman"/>
                <w:szCs w:val="21"/>
                <w:lang w:val="en-US" w:eastAsia="zh-CN"/>
              </w:rPr>
              <w:t>机进行封闭，并将废气收集至风管内；喷漆</w:t>
            </w:r>
            <w:r>
              <w:rPr>
                <w:rFonts w:hint="eastAsia" w:cs="Times New Roman"/>
                <w:szCs w:val="21"/>
                <w:lang w:val="en-US" w:eastAsia="zh-CN"/>
              </w:rPr>
              <w:t>柜</w:t>
            </w:r>
            <w:r>
              <w:rPr>
                <w:rFonts w:hint="eastAsia" w:ascii="Times New Roman" w:hAnsi="Times New Roman" w:eastAsia="宋体" w:cs="Times New Roman"/>
                <w:szCs w:val="21"/>
                <w:lang w:val="en-US" w:eastAsia="zh-CN"/>
              </w:rPr>
              <w:t>设置负压收集废气装置，将漆雾和有机废气一并收集并通过风管将废气随</w:t>
            </w:r>
            <w:r>
              <w:rPr>
                <w:rFonts w:hint="eastAsia" w:cs="Times New Roman"/>
                <w:szCs w:val="21"/>
                <w:lang w:val="en-US" w:eastAsia="zh-CN"/>
              </w:rPr>
              <w:t>干燥、</w:t>
            </w:r>
            <w:r>
              <w:rPr>
                <w:rFonts w:hint="eastAsia" w:ascii="Times New Roman" w:hAnsi="Times New Roman" w:eastAsia="宋体" w:cs="Times New Roman"/>
                <w:szCs w:val="21"/>
                <w:lang w:val="en-US" w:eastAsia="zh-CN"/>
              </w:rPr>
              <w:t>胶粘工序废气一并通入1套“干式纸盒漆雾过滤器+活性炭吸附/脱附+</w:t>
            </w:r>
            <w:r>
              <w:rPr>
                <w:rFonts w:hint="eastAsia" w:cs="Times New Roman"/>
                <w:szCs w:val="21"/>
                <w:lang w:val="en-US" w:eastAsia="zh-CN"/>
              </w:rPr>
              <w:t>CO</w:t>
            </w:r>
            <w:r>
              <w:rPr>
                <w:rFonts w:hint="eastAsia" w:ascii="Times New Roman" w:hAnsi="Times New Roman" w:eastAsia="宋体" w:cs="Times New Roman"/>
                <w:szCs w:val="21"/>
                <w:lang w:val="en-US" w:eastAsia="zh-CN"/>
              </w:rPr>
              <w:t>催化燃烧装”装置，</w:t>
            </w:r>
            <w:r>
              <w:rPr>
                <w:rFonts w:hint="eastAsia" w:cs="Times New Roman"/>
                <w:szCs w:val="21"/>
                <w:lang w:val="en-US" w:eastAsia="zh-CN"/>
              </w:rPr>
              <w:t>设备额定</w:t>
            </w:r>
            <w:r>
              <w:rPr>
                <w:rFonts w:hint="eastAsia" w:ascii="Times New Roman" w:hAnsi="Times New Roman" w:eastAsia="宋体" w:cs="Times New Roman"/>
                <w:szCs w:val="21"/>
                <w:lang w:val="en-US" w:eastAsia="zh-CN"/>
              </w:rPr>
              <w:t>风机风量为</w:t>
            </w:r>
            <w:r>
              <w:rPr>
                <w:rFonts w:hint="eastAsia" w:cs="Times New Roman"/>
                <w:szCs w:val="21"/>
                <w:lang w:val="en-US" w:eastAsia="zh-CN"/>
              </w:rPr>
              <w:t>150</w:t>
            </w:r>
            <w:r>
              <w:rPr>
                <w:rFonts w:hint="eastAsia" w:ascii="Times New Roman" w:hAnsi="Times New Roman" w:eastAsia="宋体" w:cs="Times New Roman"/>
                <w:szCs w:val="21"/>
                <w:lang w:val="en-US" w:eastAsia="zh-CN"/>
              </w:rPr>
              <w:t>00m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/h，工作时间为5h/d（1500h/a），集气效率90%，漆雾处理效率90%，有机废气处理效率90%，处理达标后的废气经DA003（H15m，φ0.</w:t>
            </w:r>
            <w:r>
              <w:rPr>
                <w:rFonts w:hint="eastAsia" w:cs="Times New Roman"/>
                <w:szCs w:val="21"/>
                <w:lang w:val="en-US" w:eastAsia="zh-CN"/>
              </w:rPr>
              <w:t>6</w:t>
            </w:r>
            <w:r>
              <w:rPr>
                <w:rFonts w:hint="eastAsia" w:ascii="Times New Roman" w:hAnsi="Times New Roman" w:eastAsia="宋体" w:cs="Times New Roman"/>
                <w:szCs w:val="21"/>
                <w:lang w:val="en-US" w:eastAsia="zh-CN"/>
              </w:rPr>
              <w:t>m）排入大气。</w:t>
            </w:r>
          </w:p>
          <w:p w14:paraId="14FCAC87">
            <w:pPr>
              <w:spacing w:line="360" w:lineRule="auto"/>
              <w:ind w:firstLine="420" w:firstLineChars="200"/>
              <w:rPr>
                <w:rFonts w:hint="eastAsia"/>
                <w:szCs w:val="21"/>
                <w:lang w:val="en-US" w:eastAsia="zh-CN"/>
              </w:rPr>
            </w:pPr>
            <w:r>
              <w:rPr>
                <w:rFonts w:hint="eastAsia"/>
                <w:szCs w:val="21"/>
                <w:lang w:val="en-US" w:eastAsia="zh-CN"/>
              </w:rPr>
              <w:t>DA003排气筒污染物排放量：</w:t>
            </w:r>
          </w:p>
          <w:p w14:paraId="63F23A21">
            <w:pPr>
              <w:spacing w:line="360" w:lineRule="auto"/>
              <w:ind w:firstLine="420" w:firstLineChars="200"/>
              <w:rPr>
                <w:rFonts w:hint="eastAsia" w:ascii="Times New Roman" w:hAnsi="Times New Roman" w:eastAsia="宋体" w:cs="Times New Roman"/>
                <w:szCs w:val="21"/>
                <w:lang w:val="en-US" w:eastAsia="zh-CN"/>
              </w:rPr>
            </w:pPr>
            <w:r>
              <w:rPr>
                <w:rFonts w:hint="eastAsia"/>
                <w:szCs w:val="21"/>
                <w:lang w:val="en-US" w:eastAsia="zh-CN"/>
              </w:rPr>
              <w:t>颗粒物：1.435t/a×90%×（1-90%）=0.1292t/a，</w:t>
            </w:r>
            <w:r>
              <w:rPr>
                <w:rFonts w:hint="eastAsia" w:ascii="Times New Roman" w:hAnsi="Times New Roman" w:eastAsia="宋体" w:cs="Times New Roman"/>
                <w:szCs w:val="21"/>
                <w:lang w:val="en-US" w:eastAsia="zh-CN"/>
              </w:rPr>
              <w:t>排放速率0.</w:t>
            </w:r>
            <w:r>
              <w:rPr>
                <w:rFonts w:hint="eastAsia" w:cs="Times New Roman"/>
                <w:szCs w:val="21"/>
                <w:lang w:val="en-US" w:eastAsia="zh-CN"/>
              </w:rPr>
              <w:t>086</w:t>
            </w:r>
            <w:r>
              <w:rPr>
                <w:rFonts w:hint="eastAsia" w:ascii="Times New Roman" w:hAnsi="Times New Roman" w:eastAsia="宋体" w:cs="Times New Roman"/>
                <w:szCs w:val="21"/>
                <w:lang w:val="en-US" w:eastAsia="zh-CN"/>
              </w:rPr>
              <w:t>kg/h，排放浓度</w:t>
            </w:r>
            <w:r>
              <w:rPr>
                <w:rFonts w:hint="eastAsia" w:cs="Times New Roman"/>
                <w:szCs w:val="21"/>
                <w:lang w:val="en-US" w:eastAsia="zh-CN"/>
              </w:rPr>
              <w:t>5.74</w:t>
            </w:r>
            <w:r>
              <w:rPr>
                <w:rFonts w:hint="eastAsia" w:ascii="Times New Roman" w:hAnsi="Times New Roman" w:eastAsia="宋体" w:cs="Times New Roman"/>
                <w:szCs w:val="21"/>
                <w:lang w:val="en-US" w:eastAsia="zh-CN"/>
              </w:rPr>
              <w:t>mg/m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w:t>
            </w:r>
          </w:p>
          <w:p w14:paraId="58D71C12">
            <w:pPr>
              <w:autoSpaceDE w:val="0"/>
              <w:autoSpaceDN w:val="0"/>
              <w:spacing w:line="360" w:lineRule="auto"/>
              <w:ind w:firstLine="420" w:firstLineChars="200"/>
              <w:rPr>
                <w:rFonts w:hint="default"/>
                <w:szCs w:val="21"/>
                <w:lang w:val="en-US" w:eastAsia="zh-CN"/>
              </w:rPr>
            </w:pPr>
            <w:r>
              <w:rPr>
                <w:rFonts w:hint="eastAsia"/>
                <w:szCs w:val="21"/>
                <w:lang w:val="en-US" w:eastAsia="zh-CN"/>
              </w:rPr>
              <w:t>非甲烷总烃：3.0118t/a×90%×（1-90%）=0.2711t/a，排放速率0.181kg/h，排放浓度12.08mg/m</w:t>
            </w:r>
            <w:r>
              <w:rPr>
                <w:rFonts w:hint="eastAsia"/>
                <w:szCs w:val="21"/>
                <w:vertAlign w:val="superscript"/>
                <w:lang w:val="en-US" w:eastAsia="zh-CN"/>
              </w:rPr>
              <w:t>3</w:t>
            </w:r>
            <w:r>
              <w:rPr>
                <w:rFonts w:hint="eastAsia"/>
                <w:szCs w:val="21"/>
                <w:lang w:val="en-US" w:eastAsia="zh-CN"/>
              </w:rPr>
              <w:t>；</w:t>
            </w:r>
          </w:p>
          <w:p w14:paraId="4F94D144">
            <w:pPr>
              <w:autoSpaceDE w:val="0"/>
              <w:autoSpaceDN w:val="0"/>
              <w:spacing w:line="360" w:lineRule="auto"/>
              <w:ind w:firstLine="420" w:firstLineChars="200"/>
              <w:rPr>
                <w:szCs w:val="21"/>
              </w:rPr>
            </w:pPr>
            <w:r>
              <w:rPr>
                <w:rFonts w:hint="eastAsia"/>
                <w:szCs w:val="21"/>
              </w:rPr>
              <w:t>DA003排气筒污染物排放可满足《大气污染物综合排放标准》（</w:t>
            </w:r>
            <w:r>
              <w:rPr>
                <w:szCs w:val="21"/>
              </w:rPr>
              <w:t>GB16297-1996</w:t>
            </w:r>
            <w:r>
              <w:rPr>
                <w:rFonts w:hint="eastAsia"/>
                <w:szCs w:val="21"/>
              </w:rPr>
              <w:t>）、《山西省重点行业挥发性有机物（</w:t>
            </w:r>
            <w:r>
              <w:rPr>
                <w:szCs w:val="21"/>
              </w:rPr>
              <w:t>VOCs</w:t>
            </w:r>
            <w:r>
              <w:rPr>
                <w:rFonts w:hint="eastAsia"/>
                <w:szCs w:val="21"/>
              </w:rPr>
              <w:t>）</w:t>
            </w:r>
            <w:r>
              <w:rPr>
                <w:szCs w:val="21"/>
              </w:rPr>
              <w:t>2017</w:t>
            </w:r>
            <w:r>
              <w:rPr>
                <w:rFonts w:hint="eastAsia"/>
                <w:szCs w:val="21"/>
              </w:rPr>
              <w:t>年专项治理方案》（晋气防办【</w:t>
            </w:r>
            <w:r>
              <w:rPr>
                <w:szCs w:val="21"/>
              </w:rPr>
              <w:t>2017</w:t>
            </w:r>
            <w:r>
              <w:rPr>
                <w:rFonts w:hint="eastAsia"/>
                <w:szCs w:val="21"/>
              </w:rPr>
              <w:t>】</w:t>
            </w:r>
            <w:r>
              <w:rPr>
                <w:szCs w:val="21"/>
              </w:rPr>
              <w:t>32</w:t>
            </w:r>
            <w:r>
              <w:rPr>
                <w:rFonts w:hint="eastAsia"/>
                <w:szCs w:val="21"/>
              </w:rPr>
              <w:t>号）中排放标准限值要求。</w:t>
            </w:r>
          </w:p>
          <w:p w14:paraId="7FED8398">
            <w:pPr>
              <w:autoSpaceDE w:val="0"/>
              <w:autoSpaceDN w:val="0"/>
              <w:spacing w:line="360" w:lineRule="auto"/>
              <w:ind w:firstLine="420" w:firstLineChars="200"/>
              <w:rPr>
                <w:szCs w:val="21"/>
              </w:rPr>
            </w:pPr>
            <w:r>
              <w:rPr>
                <w:rFonts w:hint="eastAsia"/>
                <w:szCs w:val="21"/>
              </w:rPr>
              <w:t>另外，集气设施未捕集的颗粒物产生量约为0.</w:t>
            </w:r>
            <w:r>
              <w:rPr>
                <w:rFonts w:hint="eastAsia"/>
                <w:szCs w:val="21"/>
                <w:lang w:val="en-US" w:eastAsia="zh-CN"/>
              </w:rPr>
              <w:t>14</w:t>
            </w:r>
            <w:r>
              <w:rPr>
                <w:rFonts w:hint="eastAsia"/>
                <w:szCs w:val="21"/>
              </w:rPr>
              <w:t>t/a，经封闭式车间防治，并加强车间通风、清扫等措施防治后，抑尘效率达9</w:t>
            </w:r>
            <w:r>
              <w:rPr>
                <w:rFonts w:hint="eastAsia"/>
                <w:szCs w:val="21"/>
                <w:lang w:val="en-US" w:eastAsia="zh-CN"/>
              </w:rPr>
              <w:t>8</w:t>
            </w:r>
            <w:r>
              <w:rPr>
                <w:rFonts w:hint="eastAsia"/>
                <w:szCs w:val="21"/>
              </w:rPr>
              <w:t>%以上，无组织颗粒物排放量</w:t>
            </w:r>
            <w:r>
              <w:rPr>
                <w:rFonts w:hint="eastAsia"/>
                <w:szCs w:val="21"/>
                <w:lang w:val="en-US" w:eastAsia="zh-CN"/>
              </w:rPr>
              <w:t>0.0028t/a</w:t>
            </w:r>
            <w:r>
              <w:rPr>
                <w:rFonts w:hint="eastAsia"/>
                <w:szCs w:val="21"/>
              </w:rPr>
              <w:t>；集气设施未捕集的非甲烷总烃产生量约为0.</w:t>
            </w:r>
            <w:r>
              <w:rPr>
                <w:rFonts w:hint="eastAsia"/>
                <w:szCs w:val="21"/>
                <w:lang w:val="en-US" w:eastAsia="zh-CN"/>
              </w:rPr>
              <w:t>3012</w:t>
            </w:r>
            <w:r>
              <w:rPr>
                <w:rFonts w:hint="eastAsia"/>
                <w:szCs w:val="21"/>
              </w:rPr>
              <w:t>t/a，无组织非甲烷总烃排放量为0.</w:t>
            </w:r>
            <w:r>
              <w:rPr>
                <w:rFonts w:hint="eastAsia"/>
                <w:szCs w:val="21"/>
                <w:lang w:val="en-US" w:eastAsia="zh-CN"/>
              </w:rPr>
              <w:t>3012</w:t>
            </w:r>
            <w:r>
              <w:rPr>
                <w:rFonts w:hint="eastAsia"/>
                <w:szCs w:val="21"/>
              </w:rPr>
              <w:t>t/a.</w:t>
            </w:r>
          </w:p>
          <w:p w14:paraId="378E5928">
            <w:pPr>
              <w:autoSpaceDE w:val="0"/>
              <w:autoSpaceDN w:val="0"/>
              <w:spacing w:line="360" w:lineRule="auto"/>
              <w:ind w:firstLine="422" w:firstLineChars="200"/>
              <w:rPr>
                <w:rFonts w:hint="eastAsia" w:cs="Times New Roman"/>
                <w:b/>
                <w:bCs/>
                <w:szCs w:val="21"/>
                <w:lang w:val="en-US" w:eastAsia="zh-CN"/>
              </w:rPr>
            </w:pPr>
            <w:r>
              <w:rPr>
                <w:rFonts w:hint="eastAsia" w:cs="Times New Roman"/>
                <w:b/>
                <w:bCs/>
                <w:szCs w:val="21"/>
                <w:lang w:val="en-US" w:eastAsia="zh-CN"/>
              </w:rPr>
              <w:t>（3）锅炉烟气</w:t>
            </w:r>
          </w:p>
          <w:p w14:paraId="523D06E7">
            <w:pPr>
              <w:autoSpaceDE w:val="0"/>
              <w:autoSpaceDN w:val="0"/>
              <w:spacing w:line="360" w:lineRule="auto"/>
              <w:ind w:firstLine="420" w:firstLineChars="200"/>
              <w:rPr>
                <w:rFonts w:hint="eastAsia" w:cs="Times New Roman"/>
                <w:szCs w:val="21"/>
                <w:lang w:val="en-US" w:eastAsia="zh-CN"/>
              </w:rPr>
            </w:pPr>
            <w:r>
              <w:rPr>
                <w:rFonts w:hint="eastAsia" w:cs="Times New Roman"/>
                <w:szCs w:val="21"/>
                <w:lang w:val="en-US" w:eastAsia="zh-CN"/>
              </w:rPr>
              <w:t>本项目设置有一台天然气蒸汽锅炉，燃用天然气，为五车间干燥窑提供蒸汽热源。</w:t>
            </w:r>
          </w:p>
          <w:p w14:paraId="4FFE1952">
            <w:pPr>
              <w:autoSpaceDE w:val="0"/>
              <w:autoSpaceDN w:val="0"/>
              <w:spacing w:line="360" w:lineRule="auto"/>
              <w:ind w:firstLine="420" w:firstLineChars="200"/>
              <w:rPr>
                <w:rFonts w:hint="eastAsia"/>
                <w:bCs/>
                <w:color w:val="auto"/>
                <w:szCs w:val="21"/>
                <w:lang w:val="en-US" w:eastAsia="zh-CN"/>
              </w:rPr>
            </w:pPr>
            <w:r>
              <w:rPr>
                <w:rFonts w:hint="eastAsia" w:cs="Times New Roman"/>
                <w:szCs w:val="21"/>
                <w:lang w:val="en-US" w:eastAsia="zh-CN"/>
              </w:rPr>
              <w:t>根据工程分析可知，五车间干燥窑为周期式干燥系统，主要将木材原料进行干燥去除水分，原料水分约为25%，经干燥后降低至8%~12%，本环评按10%计算。木材原材料消耗量为8万t/a，则干燥过程</w:t>
            </w:r>
            <w:r>
              <w:rPr>
                <w:rFonts w:hint="eastAsia"/>
                <w:bCs/>
                <w:color w:val="auto"/>
                <w:spacing w:val="4"/>
                <w:szCs w:val="21"/>
                <w:lang w:val="en-US" w:eastAsia="zh-CN"/>
              </w:rPr>
              <w:t>需要烘干水分量约为13333.33t/a。</w:t>
            </w:r>
            <w:r>
              <w:rPr>
                <w:rFonts w:hint="eastAsia"/>
                <w:bCs/>
                <w:color w:val="auto"/>
                <w:szCs w:val="21"/>
                <w:lang w:val="en-US" w:eastAsia="zh-CN"/>
              </w:rPr>
              <w:t>水的蒸发热为40.8kJ/mol，蒸发1kg水需要热量约为2257kJ/kg（水的气化潜热），即542大卡的热量。本项目锅炉燃用天然气热值约为34MJ/m</w:t>
            </w:r>
            <w:r>
              <w:rPr>
                <w:rFonts w:hint="eastAsia"/>
                <w:bCs/>
                <w:color w:val="auto"/>
                <w:szCs w:val="21"/>
                <w:vertAlign w:val="superscript"/>
                <w:lang w:val="en-US" w:eastAsia="zh-CN"/>
              </w:rPr>
              <w:t>3</w:t>
            </w:r>
            <w:r>
              <w:rPr>
                <w:rFonts w:hint="eastAsia"/>
                <w:bCs/>
                <w:color w:val="auto"/>
                <w:szCs w:val="21"/>
                <w:lang w:val="en-US" w:eastAsia="zh-CN"/>
              </w:rPr>
              <w:t>，1kcal约为4186.8J，则蒸发1kg水需要燃烧约0.090m</w:t>
            </w:r>
            <w:r>
              <w:rPr>
                <w:rFonts w:hint="eastAsia"/>
                <w:bCs/>
                <w:color w:val="auto"/>
                <w:szCs w:val="21"/>
                <w:vertAlign w:val="superscript"/>
                <w:lang w:val="en-US" w:eastAsia="zh-CN"/>
              </w:rPr>
              <w:t>3</w:t>
            </w:r>
            <w:r>
              <w:rPr>
                <w:rFonts w:hint="eastAsia"/>
                <w:bCs/>
                <w:color w:val="auto"/>
                <w:szCs w:val="21"/>
                <w:lang w:val="en-US" w:eastAsia="zh-CN"/>
              </w:rPr>
              <w:t>的天然气，由此计算得出，锅炉为干燥窑提供热源需要燃烧的天然气量约为1200000m</w:t>
            </w:r>
            <w:r>
              <w:rPr>
                <w:rFonts w:hint="eastAsia"/>
                <w:bCs/>
                <w:color w:val="auto"/>
                <w:szCs w:val="21"/>
                <w:vertAlign w:val="superscript"/>
                <w:lang w:val="en-US" w:eastAsia="zh-CN"/>
              </w:rPr>
              <w:t>3</w:t>
            </w:r>
            <w:r>
              <w:rPr>
                <w:rFonts w:hint="eastAsia"/>
                <w:bCs/>
                <w:color w:val="auto"/>
                <w:szCs w:val="21"/>
                <w:lang w:val="en-US" w:eastAsia="zh-CN"/>
              </w:rPr>
              <w:t>/a。</w:t>
            </w:r>
          </w:p>
          <w:p w14:paraId="3FD7BCDA">
            <w:pPr>
              <w:spacing w:line="360" w:lineRule="auto"/>
              <w:ind w:firstLine="420" w:firstLineChars="200"/>
              <w:rPr>
                <w:color w:val="auto"/>
                <w:szCs w:val="21"/>
              </w:rPr>
            </w:pPr>
            <w:r>
              <w:rPr>
                <w:rFonts w:hint="eastAsia"/>
                <w:bCs/>
                <w:color w:val="auto"/>
                <w:szCs w:val="21"/>
                <w:lang w:val="en-US" w:eastAsia="zh-CN"/>
              </w:rPr>
              <w:t>项目采用一台燃天然气蒸汽锅炉为五车间干燥窑提供热源，燃料使用园区管道提供的天然气，</w:t>
            </w:r>
            <w:r>
              <w:rPr>
                <w:rFonts w:hint="eastAsia"/>
                <w:bCs/>
                <w:color w:val="auto"/>
                <w:szCs w:val="21"/>
              </w:rPr>
              <w:t>含硫</w:t>
            </w:r>
            <w:r>
              <w:rPr>
                <w:rFonts w:hint="eastAsia"/>
                <w:bCs/>
                <w:color w:val="auto"/>
                <w:szCs w:val="21"/>
                <w:lang w:val="en-US" w:eastAsia="zh-CN"/>
              </w:rPr>
              <w:t>20</w:t>
            </w:r>
            <w:r>
              <w:rPr>
                <w:rFonts w:hint="eastAsia"/>
                <w:bCs/>
                <w:color w:val="auto"/>
                <w:szCs w:val="21"/>
              </w:rPr>
              <w:t>mg/</w:t>
            </w:r>
            <w:r>
              <w:rPr>
                <w:rFonts w:hint="eastAsia"/>
                <w:bCs/>
                <w:color w:val="auto"/>
                <w:szCs w:val="21"/>
                <w:lang w:val="en-US" w:eastAsia="zh-CN"/>
              </w:rPr>
              <w:t>m</w:t>
            </w:r>
            <w:r>
              <w:rPr>
                <w:rFonts w:hint="eastAsia"/>
                <w:bCs/>
                <w:color w:val="auto"/>
                <w:szCs w:val="21"/>
                <w:vertAlign w:val="superscript"/>
                <w:lang w:val="en-US" w:eastAsia="zh-CN"/>
              </w:rPr>
              <w:t>3</w:t>
            </w:r>
            <w:r>
              <w:rPr>
                <w:rFonts w:hint="eastAsia"/>
                <w:bCs/>
                <w:color w:val="auto"/>
                <w:szCs w:val="21"/>
              </w:rPr>
              <w:t>，</w:t>
            </w:r>
            <w:r>
              <w:rPr>
                <w:rFonts w:hint="eastAsia"/>
                <w:bCs/>
                <w:color w:val="auto"/>
                <w:szCs w:val="21"/>
                <w:lang w:val="en-US" w:eastAsia="zh-CN"/>
              </w:rPr>
              <w:t>锅炉</w:t>
            </w:r>
            <w:r>
              <w:rPr>
                <w:rFonts w:hint="eastAsia"/>
                <w:bCs/>
                <w:color w:val="auto"/>
                <w:szCs w:val="21"/>
              </w:rPr>
              <w:t>燃烧</w:t>
            </w:r>
            <w:r>
              <w:rPr>
                <w:rFonts w:hint="eastAsia"/>
                <w:bCs/>
                <w:color w:val="auto"/>
                <w:szCs w:val="21"/>
                <w:lang w:val="en-US" w:eastAsia="zh-CN"/>
              </w:rPr>
              <w:t>生物天然气</w:t>
            </w:r>
            <w:r>
              <w:rPr>
                <w:rFonts w:hint="eastAsia"/>
                <w:bCs/>
                <w:color w:val="auto"/>
                <w:szCs w:val="21"/>
              </w:rPr>
              <w:t>产生的</w:t>
            </w:r>
            <w:r>
              <w:rPr>
                <w:rFonts w:hint="eastAsia"/>
                <w:bCs/>
                <w:color w:val="auto"/>
                <w:szCs w:val="21"/>
                <w:lang w:val="en-US" w:eastAsia="zh-CN"/>
              </w:rPr>
              <w:t>要中</w:t>
            </w:r>
            <w:r>
              <w:rPr>
                <w:rFonts w:hint="eastAsia"/>
                <w:bCs/>
                <w:color w:val="auto"/>
                <w:szCs w:val="21"/>
              </w:rPr>
              <w:t>污染物主要</w:t>
            </w:r>
            <w:r>
              <w:rPr>
                <w:rFonts w:hint="eastAsia"/>
                <w:bCs/>
                <w:color w:val="auto"/>
                <w:szCs w:val="21"/>
                <w:lang w:val="en-US" w:eastAsia="zh-CN"/>
              </w:rPr>
              <w:t>包括</w:t>
            </w:r>
            <w:r>
              <w:rPr>
                <w:rFonts w:hint="eastAsia"/>
                <w:color w:val="auto"/>
                <w:szCs w:val="21"/>
                <w:lang w:val="en-US" w:eastAsia="zh-CN"/>
              </w:rPr>
              <w:t>颗粒物</w:t>
            </w:r>
            <w:r>
              <w:rPr>
                <w:color w:val="auto"/>
                <w:szCs w:val="21"/>
              </w:rPr>
              <w:t>、SO</w:t>
            </w:r>
            <w:r>
              <w:rPr>
                <w:color w:val="auto"/>
                <w:szCs w:val="21"/>
                <w:vertAlign w:val="subscript"/>
              </w:rPr>
              <w:t>2</w:t>
            </w:r>
            <w:r>
              <w:rPr>
                <w:color w:val="auto"/>
                <w:szCs w:val="21"/>
              </w:rPr>
              <w:t>和NO</w:t>
            </w:r>
            <w:r>
              <w:rPr>
                <w:rFonts w:hint="eastAsia"/>
                <w:color w:val="auto"/>
                <w:szCs w:val="21"/>
              </w:rPr>
              <w:t>x</w:t>
            </w:r>
            <w:r>
              <w:rPr>
                <w:color w:val="auto"/>
                <w:szCs w:val="21"/>
              </w:rPr>
              <w:t>。</w:t>
            </w:r>
            <w:r>
              <w:rPr>
                <w:rFonts w:hint="eastAsia"/>
                <w:color w:val="auto"/>
                <w:szCs w:val="21"/>
              </w:rPr>
              <w:t>烟气量</w:t>
            </w:r>
            <w:r>
              <w:rPr>
                <w:rFonts w:hint="eastAsia"/>
                <w:color w:val="auto"/>
                <w:szCs w:val="21"/>
                <w:lang w:eastAsia="zh-CN"/>
              </w:rPr>
              <w:t>及污染物源强</w:t>
            </w:r>
            <w:r>
              <w:rPr>
                <w:color w:val="auto"/>
                <w:szCs w:val="21"/>
              </w:rPr>
              <w:t>根据</w:t>
            </w:r>
            <w:r>
              <w:rPr>
                <w:rFonts w:hint="eastAsia"/>
                <w:color w:val="auto"/>
                <w:szCs w:val="21"/>
              </w:rPr>
              <w:t>《污染源源强核算技术指南 锅炉》（HJ 991-2018）要求，并结合（HJ 953-2018）进行核算</w:t>
            </w:r>
            <w:r>
              <w:rPr>
                <w:color w:val="auto"/>
                <w:szCs w:val="21"/>
              </w:rPr>
              <w:t>。</w:t>
            </w:r>
          </w:p>
          <w:p w14:paraId="2869D4D9">
            <w:pPr>
              <w:spacing w:line="360" w:lineRule="auto"/>
              <w:ind w:firstLine="420" w:firstLineChars="200"/>
              <w:rPr>
                <w:rFonts w:hint="eastAsia"/>
                <w:color w:val="auto"/>
                <w:szCs w:val="21"/>
                <w:lang w:val="en-US" w:eastAsia="zh-CN"/>
              </w:rPr>
            </w:pPr>
            <w:r>
              <w:rPr>
                <w:rFonts w:hint="eastAsia"/>
                <w:color w:val="auto"/>
                <w:szCs w:val="21"/>
                <w:lang w:val="en-US" w:eastAsia="zh-CN"/>
              </w:rPr>
              <w:t>本项目安装1台2t/h燃天然气蒸汽锅炉，根据设备厂家提供的资料可知：锅炉热效率85%，燃料发热量</w:t>
            </w:r>
            <w:r>
              <w:rPr>
                <w:rFonts w:hint="eastAsia"/>
                <w:bCs/>
                <w:color w:val="auto"/>
                <w:szCs w:val="21"/>
                <w:lang w:val="en-US" w:eastAsia="zh-CN"/>
              </w:rPr>
              <w:t>34MJ/kg</w:t>
            </w:r>
            <w:r>
              <w:rPr>
                <w:rFonts w:hint="eastAsia"/>
                <w:color w:val="auto"/>
                <w:szCs w:val="21"/>
                <w:lang w:val="en-US" w:eastAsia="zh-CN"/>
              </w:rPr>
              <w:t>。</w:t>
            </w:r>
          </w:p>
          <w:p w14:paraId="1C6C8B11">
            <w:pPr>
              <w:spacing w:line="360" w:lineRule="auto"/>
              <w:ind w:firstLine="420" w:firstLineChars="200"/>
              <w:rPr>
                <w:color w:val="auto"/>
                <w:szCs w:val="21"/>
              </w:rPr>
            </w:pPr>
            <w:r>
              <w:rPr>
                <w:color w:val="auto"/>
                <w:szCs w:val="21"/>
              </w:rPr>
              <w:t>A</w:t>
            </w:r>
            <w:r>
              <w:rPr>
                <w:rFonts w:hAnsi="宋体"/>
                <w:color w:val="auto"/>
                <w:szCs w:val="21"/>
              </w:rPr>
              <w:t>、燃料消</w:t>
            </w:r>
            <w:r>
              <w:rPr>
                <w:color w:val="auto"/>
                <w:szCs w:val="21"/>
              </w:rPr>
              <w:t>耗量计算</w:t>
            </w:r>
          </w:p>
          <w:p w14:paraId="3111ACD1">
            <w:pPr>
              <w:spacing w:line="360" w:lineRule="auto"/>
              <w:ind w:firstLine="420" w:firstLineChars="200"/>
              <w:rPr>
                <w:color w:val="auto"/>
                <w:szCs w:val="21"/>
              </w:rPr>
            </w:pPr>
            <w:r>
              <w:rPr>
                <w:rFonts w:hint="eastAsia"/>
                <w:color w:val="auto"/>
                <w:szCs w:val="21"/>
              </w:rPr>
              <w:t>消耗</w:t>
            </w:r>
            <w:r>
              <w:rPr>
                <w:color w:val="auto"/>
                <w:szCs w:val="21"/>
              </w:rPr>
              <w:t>量=［（锅炉功率/锅炉效率）×时间］/燃料低位发热量</w:t>
            </w:r>
          </w:p>
          <w:p w14:paraId="7771AB95">
            <w:pPr>
              <w:spacing w:line="360" w:lineRule="auto"/>
              <w:ind w:firstLine="420" w:firstLineChars="200"/>
              <w:rPr>
                <w:color w:val="auto"/>
                <w:szCs w:val="21"/>
              </w:rPr>
            </w:pPr>
            <w:r>
              <w:rPr>
                <w:color w:val="auto"/>
                <w:szCs w:val="21"/>
              </w:rPr>
              <w:t>式中：耗</w:t>
            </w:r>
            <w:r>
              <w:rPr>
                <w:rFonts w:hint="eastAsia"/>
                <w:color w:val="auto"/>
                <w:szCs w:val="21"/>
                <w:lang w:eastAsia="zh-CN"/>
              </w:rPr>
              <w:t>燃料</w:t>
            </w:r>
            <w:r>
              <w:rPr>
                <w:color w:val="auto"/>
                <w:szCs w:val="21"/>
              </w:rPr>
              <w:t>量单位，kg/h；锅炉功率按0.7MW=1t/h；锅炉</w:t>
            </w:r>
            <w:r>
              <w:rPr>
                <w:rFonts w:hint="eastAsia"/>
                <w:color w:val="auto"/>
                <w:szCs w:val="21"/>
                <w:lang w:eastAsia="zh-CN"/>
              </w:rPr>
              <w:t>热</w:t>
            </w:r>
            <w:r>
              <w:rPr>
                <w:color w:val="auto"/>
                <w:szCs w:val="21"/>
              </w:rPr>
              <w:t>效率</w:t>
            </w:r>
            <w:r>
              <w:rPr>
                <w:rFonts w:hint="eastAsia"/>
                <w:color w:val="auto"/>
                <w:szCs w:val="21"/>
                <w:lang w:val="en-US" w:eastAsia="zh-CN"/>
              </w:rPr>
              <w:t>85</w:t>
            </w:r>
            <w:r>
              <w:rPr>
                <w:color w:val="auto"/>
                <w:szCs w:val="21"/>
              </w:rPr>
              <w:t>%；时间取1h，即3600s；燃料低位发热量为</w:t>
            </w:r>
            <w:r>
              <w:rPr>
                <w:rFonts w:hint="eastAsia"/>
                <w:bCs/>
                <w:color w:val="auto"/>
                <w:szCs w:val="21"/>
                <w:lang w:val="en-US" w:eastAsia="zh-CN"/>
              </w:rPr>
              <w:t>34MJ/kg</w:t>
            </w:r>
            <w:r>
              <w:rPr>
                <w:rFonts w:hint="eastAsia"/>
                <w:color w:val="auto"/>
                <w:szCs w:val="21"/>
              </w:rPr>
              <w:t>；</w:t>
            </w:r>
          </w:p>
          <w:p w14:paraId="4EB689F5">
            <w:pPr>
              <w:spacing w:line="360" w:lineRule="auto"/>
              <w:ind w:firstLine="420" w:firstLineChars="200"/>
              <w:rPr>
                <w:color w:val="auto"/>
                <w:szCs w:val="21"/>
              </w:rPr>
            </w:pPr>
            <w:r>
              <w:rPr>
                <w:color w:val="auto"/>
                <w:szCs w:val="21"/>
              </w:rPr>
              <w:t>由公式可以计算得出</w:t>
            </w:r>
            <w:r>
              <w:rPr>
                <w:rFonts w:hint="eastAsia"/>
                <w:color w:val="auto"/>
                <w:szCs w:val="21"/>
                <w:lang w:eastAsia="zh-CN"/>
              </w:rPr>
              <w:t>本项目</w:t>
            </w:r>
            <w:r>
              <w:rPr>
                <w:rFonts w:hint="eastAsia"/>
                <w:color w:val="auto"/>
                <w:szCs w:val="21"/>
              </w:rPr>
              <w:t>1台</w:t>
            </w:r>
            <w:r>
              <w:rPr>
                <w:rFonts w:hint="eastAsia"/>
                <w:color w:val="auto"/>
                <w:szCs w:val="21"/>
                <w:lang w:val="en-US" w:eastAsia="zh-CN"/>
              </w:rPr>
              <w:t>2</w:t>
            </w:r>
            <w:r>
              <w:rPr>
                <w:color w:val="auto"/>
                <w:szCs w:val="21"/>
              </w:rPr>
              <w:t>t/h锅炉的</w:t>
            </w:r>
            <w:r>
              <w:rPr>
                <w:rFonts w:hint="eastAsia"/>
                <w:color w:val="auto"/>
                <w:szCs w:val="21"/>
              </w:rPr>
              <w:t>燃料（</w:t>
            </w:r>
            <w:r>
              <w:rPr>
                <w:rFonts w:hint="eastAsia"/>
                <w:color w:val="auto"/>
                <w:szCs w:val="21"/>
                <w:lang w:eastAsia="zh-CN"/>
              </w:rPr>
              <w:t>燃</w:t>
            </w:r>
            <w:r>
              <w:rPr>
                <w:rFonts w:hint="eastAsia"/>
                <w:color w:val="auto"/>
                <w:szCs w:val="21"/>
                <w:lang w:val="en-US" w:eastAsia="zh-CN"/>
              </w:rPr>
              <w:t>天然气</w:t>
            </w:r>
            <w:r>
              <w:rPr>
                <w:rFonts w:hint="eastAsia"/>
                <w:color w:val="auto"/>
                <w:szCs w:val="21"/>
              </w:rPr>
              <w:t>）</w:t>
            </w:r>
            <w:r>
              <w:rPr>
                <w:color w:val="auto"/>
                <w:szCs w:val="21"/>
              </w:rPr>
              <w:t>消耗量为</w:t>
            </w:r>
            <w:r>
              <w:rPr>
                <w:rFonts w:hint="eastAsia"/>
                <w:color w:val="auto"/>
                <w:szCs w:val="21"/>
                <w:lang w:val="en-US" w:eastAsia="zh-CN"/>
              </w:rPr>
              <w:t>174.39m</w:t>
            </w:r>
            <w:r>
              <w:rPr>
                <w:rFonts w:hint="eastAsia"/>
                <w:color w:val="auto"/>
                <w:szCs w:val="21"/>
                <w:vertAlign w:val="superscript"/>
                <w:lang w:val="en-US" w:eastAsia="zh-CN"/>
              </w:rPr>
              <w:t>3</w:t>
            </w:r>
            <w:r>
              <w:rPr>
                <w:color w:val="auto"/>
                <w:szCs w:val="21"/>
              </w:rPr>
              <w:t>/h，则本工程</w:t>
            </w:r>
            <w:r>
              <w:rPr>
                <w:rFonts w:hint="eastAsia"/>
                <w:color w:val="auto"/>
                <w:szCs w:val="21"/>
                <w:lang w:val="en-US" w:eastAsia="zh-CN"/>
              </w:rPr>
              <w:t>锅</w:t>
            </w:r>
            <w:r>
              <w:rPr>
                <w:rFonts w:hint="eastAsia"/>
                <w:color w:val="auto"/>
                <w:szCs w:val="21"/>
                <w:lang w:eastAsia="zh-CN"/>
              </w:rPr>
              <w:t>炉</w:t>
            </w:r>
            <w:r>
              <w:rPr>
                <w:rFonts w:hint="eastAsia"/>
                <w:color w:val="auto"/>
                <w:szCs w:val="21"/>
                <w:lang w:val="en-US" w:eastAsia="zh-CN"/>
              </w:rPr>
              <w:t>运行时间为：</w:t>
            </w:r>
            <w:r>
              <w:rPr>
                <w:rFonts w:hint="eastAsia"/>
                <w:bCs/>
                <w:color w:val="auto"/>
                <w:szCs w:val="21"/>
                <w:lang w:val="en-US" w:eastAsia="zh-CN"/>
              </w:rPr>
              <w:t>1200000m</w:t>
            </w:r>
            <w:r>
              <w:rPr>
                <w:rFonts w:hint="eastAsia"/>
                <w:bCs/>
                <w:color w:val="auto"/>
                <w:szCs w:val="21"/>
                <w:vertAlign w:val="superscript"/>
                <w:lang w:val="en-US" w:eastAsia="zh-CN"/>
              </w:rPr>
              <w:t>3</w:t>
            </w:r>
            <w:r>
              <w:rPr>
                <w:rFonts w:hint="eastAsia"/>
                <w:bCs/>
                <w:color w:val="auto"/>
                <w:szCs w:val="21"/>
                <w:lang w:val="en-US" w:eastAsia="zh-CN"/>
              </w:rPr>
              <w:t>/a/174.39</w:t>
            </w:r>
            <w:r>
              <w:rPr>
                <w:rFonts w:hint="eastAsia"/>
                <w:color w:val="auto"/>
                <w:szCs w:val="21"/>
                <w:lang w:val="en-US" w:eastAsia="zh-CN"/>
              </w:rPr>
              <w:t>m</w:t>
            </w:r>
            <w:r>
              <w:rPr>
                <w:rFonts w:hint="eastAsia"/>
                <w:color w:val="auto"/>
                <w:szCs w:val="21"/>
                <w:vertAlign w:val="superscript"/>
                <w:lang w:val="en-US" w:eastAsia="zh-CN"/>
              </w:rPr>
              <w:t>3</w:t>
            </w:r>
            <w:r>
              <w:rPr>
                <w:color w:val="auto"/>
                <w:szCs w:val="21"/>
              </w:rPr>
              <w:t>/h</w:t>
            </w:r>
            <w:r>
              <w:rPr>
                <w:rFonts w:hint="eastAsia"/>
                <w:color w:val="auto"/>
                <w:szCs w:val="21"/>
                <w:lang w:val="en-US" w:eastAsia="zh-CN"/>
              </w:rPr>
              <w:t>=6881.13h/a（约23h/d）</w:t>
            </w:r>
            <w:r>
              <w:rPr>
                <w:color w:val="auto"/>
                <w:szCs w:val="21"/>
              </w:rPr>
              <w:t>。</w:t>
            </w:r>
          </w:p>
          <w:p w14:paraId="5E038040">
            <w:pPr>
              <w:spacing w:line="360" w:lineRule="auto"/>
              <w:ind w:firstLine="420" w:firstLineChars="200"/>
              <w:rPr>
                <w:color w:val="auto"/>
                <w:szCs w:val="21"/>
              </w:rPr>
            </w:pPr>
            <w:r>
              <w:rPr>
                <w:rFonts w:hint="eastAsia"/>
                <w:color w:val="auto"/>
                <w:szCs w:val="21"/>
              </w:rPr>
              <w:t>B、烟</w:t>
            </w:r>
            <w:r>
              <w:rPr>
                <w:color w:val="auto"/>
                <w:szCs w:val="21"/>
              </w:rPr>
              <w:t>气排放量的计算</w:t>
            </w:r>
          </w:p>
          <w:p w14:paraId="083DD316">
            <w:pPr>
              <w:spacing w:line="360" w:lineRule="auto"/>
              <w:ind w:firstLine="420" w:firstLineChars="200"/>
              <w:rPr>
                <w:rFonts w:hint="eastAsia"/>
                <w:i/>
                <w:color w:val="auto"/>
                <w:szCs w:val="21"/>
              </w:rPr>
            </w:pPr>
            <w:r>
              <w:rPr>
                <w:rFonts w:hint="eastAsia"/>
                <w:color w:val="auto"/>
                <w:szCs w:val="21"/>
              </w:rPr>
              <w:t>本项目使用</w:t>
            </w:r>
            <w:r>
              <w:rPr>
                <w:rFonts w:hint="eastAsia"/>
                <w:color w:val="auto"/>
                <w:szCs w:val="21"/>
                <w:lang w:val="en-US" w:eastAsia="zh-CN"/>
              </w:rPr>
              <w:t>天然气</w:t>
            </w:r>
            <w:r>
              <w:rPr>
                <w:rFonts w:hint="eastAsia"/>
                <w:color w:val="auto"/>
                <w:szCs w:val="21"/>
              </w:rPr>
              <w:t>燃料，</w:t>
            </w:r>
            <w:r>
              <w:rPr>
                <w:color w:val="auto"/>
                <w:szCs w:val="21"/>
              </w:rPr>
              <w:t>根据</w:t>
            </w:r>
            <w:r>
              <w:rPr>
                <w:rFonts w:hint="eastAsia"/>
                <w:color w:val="auto"/>
                <w:szCs w:val="21"/>
              </w:rPr>
              <w:t>《污染源源强核算技术指南 锅炉》（HJ 991-2018）附录C.5“没有元素分析时，干烟气排放量经验公式参照HJ953（HJ953-2018表5中燃</w:t>
            </w:r>
            <w:r>
              <w:rPr>
                <w:rFonts w:hint="eastAsia"/>
                <w:color w:val="auto"/>
                <w:szCs w:val="21"/>
                <w:lang w:val="en-US" w:eastAsia="zh-CN"/>
              </w:rPr>
              <w:t>气</w:t>
            </w:r>
            <w:r>
              <w:rPr>
                <w:rFonts w:hint="eastAsia"/>
                <w:color w:val="auto"/>
                <w:szCs w:val="21"/>
              </w:rPr>
              <w:t>锅炉取值），</w:t>
            </w:r>
            <w:r>
              <w:rPr>
                <w:color w:val="auto"/>
                <w:szCs w:val="21"/>
              </w:rPr>
              <w:t>故选择以下公式</w:t>
            </w:r>
            <w:r>
              <w:rPr>
                <w:rFonts w:hint="eastAsia"/>
                <w:color w:val="auto"/>
                <w:szCs w:val="21"/>
              </w:rPr>
              <w:t>：</w:t>
            </w:r>
          </w:p>
          <w:p w14:paraId="5348482D">
            <w:pPr>
              <w:spacing w:line="360" w:lineRule="auto"/>
              <w:ind w:firstLine="420" w:firstLineChars="200"/>
              <w:jc w:val="center"/>
              <w:rPr>
                <w:rFonts w:hint="default" w:eastAsia="宋体"/>
                <w:color w:val="auto"/>
                <w:szCs w:val="21"/>
                <w:lang w:val="en-US" w:eastAsia="zh-CN"/>
              </w:rPr>
            </w:pPr>
            <w:r>
              <w:rPr>
                <w:rFonts w:hint="eastAsia"/>
                <w:i/>
                <w:color w:val="auto"/>
                <w:szCs w:val="21"/>
              </w:rPr>
              <w:t>V</w:t>
            </w:r>
            <w:r>
              <w:rPr>
                <w:rFonts w:hint="eastAsia"/>
                <w:color w:val="auto"/>
                <w:szCs w:val="21"/>
                <w:vertAlign w:val="subscript"/>
              </w:rPr>
              <w:t>gy</w:t>
            </w:r>
            <w:r>
              <w:rPr>
                <w:rFonts w:hint="eastAsia"/>
                <w:color w:val="auto"/>
                <w:szCs w:val="21"/>
              </w:rPr>
              <w:t>=0.2</w:t>
            </w:r>
            <w:r>
              <w:rPr>
                <w:rFonts w:hint="eastAsia"/>
                <w:color w:val="auto"/>
                <w:szCs w:val="21"/>
                <w:lang w:val="en-US" w:eastAsia="zh-CN"/>
              </w:rPr>
              <w:t>85</w:t>
            </w:r>
            <w:r>
              <w:rPr>
                <w:rFonts w:hint="eastAsia"/>
                <w:i/>
                <w:color w:val="auto"/>
                <w:szCs w:val="21"/>
              </w:rPr>
              <w:t>Q</w:t>
            </w:r>
            <w:r>
              <w:rPr>
                <w:rFonts w:hint="eastAsia"/>
                <w:color w:val="auto"/>
                <w:szCs w:val="21"/>
                <w:vertAlign w:val="subscript"/>
              </w:rPr>
              <w:t>net</w:t>
            </w:r>
            <w:r>
              <w:rPr>
                <w:rFonts w:hint="eastAsia"/>
                <w:color w:val="auto"/>
                <w:szCs w:val="21"/>
                <w:vertAlign w:val="subscript"/>
                <w:lang w:eastAsia="zh-CN"/>
              </w:rPr>
              <w:t>，</w:t>
            </w:r>
            <w:r>
              <w:rPr>
                <w:rFonts w:hint="eastAsia"/>
                <w:color w:val="auto"/>
                <w:szCs w:val="21"/>
                <w:vertAlign w:val="subscript"/>
                <w:lang w:val="en-US" w:eastAsia="zh-CN"/>
              </w:rPr>
              <w:t>ar</w:t>
            </w:r>
            <w:r>
              <w:rPr>
                <w:rFonts w:hint="eastAsia"/>
                <w:color w:val="auto"/>
                <w:szCs w:val="21"/>
              </w:rPr>
              <w:t>+0.</w:t>
            </w:r>
            <w:r>
              <w:rPr>
                <w:rFonts w:hint="eastAsia"/>
                <w:color w:val="auto"/>
                <w:szCs w:val="21"/>
                <w:lang w:val="en-US" w:eastAsia="zh-CN"/>
              </w:rPr>
              <w:t>343</w:t>
            </w:r>
          </w:p>
          <w:p w14:paraId="493589AD">
            <w:pPr>
              <w:spacing w:line="360" w:lineRule="auto"/>
              <w:ind w:firstLine="420" w:firstLineChars="200"/>
              <w:rPr>
                <w:rFonts w:hint="eastAsia"/>
                <w:szCs w:val="21"/>
              </w:rPr>
            </w:pPr>
            <w:r>
              <w:rPr>
                <w:rFonts w:hint="eastAsia"/>
                <w:szCs w:val="21"/>
              </w:rPr>
              <w:t>式中：</w:t>
            </w:r>
            <w:r>
              <w:rPr>
                <w:rFonts w:hint="eastAsia"/>
                <w:i/>
                <w:szCs w:val="21"/>
              </w:rPr>
              <w:t>V</w:t>
            </w:r>
            <w:r>
              <w:rPr>
                <w:rFonts w:hint="eastAsia"/>
                <w:szCs w:val="21"/>
                <w:vertAlign w:val="subscript"/>
              </w:rPr>
              <w:t>gy</w:t>
            </w:r>
            <w:r>
              <w:rPr>
                <w:rFonts w:hint="eastAsia"/>
                <w:szCs w:val="21"/>
              </w:rPr>
              <w:t>—干烟气排放量，m</w:t>
            </w:r>
            <w:r>
              <w:rPr>
                <w:rFonts w:hint="eastAsia"/>
                <w:szCs w:val="21"/>
                <w:vertAlign w:val="superscript"/>
              </w:rPr>
              <w:t>3</w:t>
            </w:r>
            <w:r>
              <w:rPr>
                <w:rFonts w:hint="eastAsia"/>
                <w:szCs w:val="21"/>
              </w:rPr>
              <w:t>/kg或m</w:t>
            </w:r>
            <w:r>
              <w:rPr>
                <w:rFonts w:hint="eastAsia"/>
                <w:szCs w:val="21"/>
                <w:vertAlign w:val="superscript"/>
              </w:rPr>
              <w:t>3</w:t>
            </w:r>
            <w:r>
              <w:rPr>
                <w:rFonts w:hint="eastAsia"/>
                <w:szCs w:val="21"/>
              </w:rPr>
              <w:t>/m</w:t>
            </w:r>
            <w:r>
              <w:rPr>
                <w:rFonts w:hint="eastAsia"/>
                <w:szCs w:val="21"/>
                <w:vertAlign w:val="superscript"/>
              </w:rPr>
              <w:t>3</w:t>
            </w:r>
            <w:r>
              <w:rPr>
                <w:rFonts w:hint="eastAsia"/>
                <w:szCs w:val="21"/>
              </w:rPr>
              <w:t>；</w:t>
            </w:r>
          </w:p>
          <w:p w14:paraId="19D854EF">
            <w:pPr>
              <w:spacing w:line="360" w:lineRule="auto"/>
              <w:ind w:firstLine="840" w:firstLineChars="400"/>
              <w:rPr>
                <w:rFonts w:hint="eastAsia"/>
                <w:szCs w:val="21"/>
              </w:rPr>
            </w:pPr>
            <w:r>
              <w:rPr>
                <w:rFonts w:hint="eastAsia"/>
                <w:szCs w:val="21"/>
              </w:rPr>
              <w:t>计算得出：</w:t>
            </w:r>
            <w:r>
              <w:rPr>
                <w:rFonts w:hint="eastAsia"/>
                <w:i/>
                <w:szCs w:val="21"/>
              </w:rPr>
              <w:t>V</w:t>
            </w:r>
            <w:r>
              <w:rPr>
                <w:rFonts w:hint="eastAsia"/>
                <w:szCs w:val="21"/>
                <w:vertAlign w:val="subscript"/>
              </w:rPr>
              <w:t>gy</w:t>
            </w:r>
            <w:r>
              <w:rPr>
                <w:rFonts w:hint="eastAsia"/>
                <w:szCs w:val="21"/>
              </w:rPr>
              <w:t>=</w:t>
            </w:r>
            <w:r>
              <w:rPr>
                <w:rFonts w:hint="eastAsia"/>
                <w:szCs w:val="21"/>
                <w:lang w:val="en-US" w:eastAsia="zh-CN"/>
              </w:rPr>
              <w:t>9.292</w:t>
            </w:r>
            <w:r>
              <w:rPr>
                <w:rFonts w:hint="eastAsia"/>
                <w:szCs w:val="21"/>
              </w:rPr>
              <w:t>m</w:t>
            </w:r>
            <w:r>
              <w:rPr>
                <w:rFonts w:hint="eastAsia"/>
                <w:szCs w:val="21"/>
                <w:vertAlign w:val="superscript"/>
              </w:rPr>
              <w:t>3</w:t>
            </w:r>
            <w:r>
              <w:rPr>
                <w:rFonts w:hint="eastAsia"/>
                <w:szCs w:val="21"/>
              </w:rPr>
              <w:t>/m</w:t>
            </w:r>
            <w:r>
              <w:rPr>
                <w:rFonts w:hint="eastAsia"/>
                <w:szCs w:val="21"/>
                <w:vertAlign w:val="superscript"/>
              </w:rPr>
              <w:t>3</w:t>
            </w:r>
            <w:r>
              <w:rPr>
                <w:rFonts w:hint="eastAsia"/>
                <w:szCs w:val="21"/>
                <w:lang w:eastAsia="zh-CN"/>
              </w:rPr>
              <w:t>（</w:t>
            </w:r>
            <w:r>
              <w:rPr>
                <w:rFonts w:hint="eastAsia"/>
                <w:color w:val="auto"/>
                <w:szCs w:val="21"/>
                <w:lang w:val="en-US" w:eastAsia="zh-CN"/>
              </w:rPr>
              <w:t>2624549.48</w:t>
            </w:r>
            <w:r>
              <w:rPr>
                <w:rFonts w:hint="eastAsia"/>
                <w:szCs w:val="21"/>
              </w:rPr>
              <w:t>m</w:t>
            </w:r>
            <w:r>
              <w:rPr>
                <w:rFonts w:hint="eastAsia"/>
                <w:szCs w:val="21"/>
                <w:vertAlign w:val="superscript"/>
              </w:rPr>
              <w:t>3</w:t>
            </w:r>
            <w:r>
              <w:rPr>
                <w:rFonts w:hint="eastAsia"/>
                <w:szCs w:val="21"/>
              </w:rPr>
              <w:t>/a</w:t>
            </w:r>
            <w:r>
              <w:rPr>
                <w:rFonts w:hint="eastAsia"/>
                <w:szCs w:val="21"/>
                <w:lang w:eastAsia="zh-CN"/>
              </w:rPr>
              <w:t>）</w:t>
            </w:r>
            <w:r>
              <w:rPr>
                <w:rFonts w:hint="eastAsia"/>
                <w:szCs w:val="21"/>
              </w:rPr>
              <w:t>。</w:t>
            </w:r>
          </w:p>
          <w:p w14:paraId="03DFDABD">
            <w:pPr>
              <w:autoSpaceDE w:val="0"/>
              <w:autoSpaceDN w:val="0"/>
              <w:spacing w:line="360" w:lineRule="auto"/>
              <w:ind w:firstLine="420" w:firstLineChars="200"/>
              <w:rPr>
                <w:rFonts w:hint="eastAsia"/>
                <w:szCs w:val="21"/>
              </w:rPr>
            </w:pPr>
            <w:r>
              <w:rPr>
                <w:szCs w:val="21"/>
              </w:rPr>
              <w:t>C</w:t>
            </w:r>
            <w:r>
              <w:rPr>
                <w:rFonts w:hAnsi="宋体"/>
                <w:szCs w:val="21"/>
              </w:rPr>
              <w:t>、</w:t>
            </w:r>
            <w:r>
              <w:rPr>
                <w:szCs w:val="21"/>
              </w:rPr>
              <w:t>污染物产排量的计算</w:t>
            </w:r>
          </w:p>
          <w:p w14:paraId="6D18A8FC">
            <w:pPr>
              <w:spacing w:line="360" w:lineRule="auto"/>
              <w:ind w:firstLine="420" w:firstLineChars="200"/>
              <w:rPr>
                <w:rFonts w:hint="eastAsia"/>
                <w:szCs w:val="21"/>
              </w:rPr>
            </w:pPr>
            <w:r>
              <w:rPr>
                <w:rFonts w:hint="eastAsia"/>
                <w:i/>
                <w:szCs w:val="21"/>
              </w:rPr>
              <w:pict>
                <v:group id="_x0000_s2050" o:spid="_x0000_s2050" o:spt="203" style="position:absolute;left:0pt;margin-left:131.6pt;margin-top:8.75pt;height:36.55pt;width:34.2pt;z-index:251666432;mso-width-relative:page;mso-height-relative:page;" coordorigin="4469,1896" coordsize="684,731">
                  <o:lock v:ext="edit"/>
                  <v:shape id="_x0000_s2051" o:spid="_x0000_s2051" o:spt="32" type="#_x0000_t32" style="position:absolute;left:4621;top:2260;height:0;width:426;" o:connectortype="straight" filled="f" stroked="t" coordsize="21600,21600">
                    <v:path arrowok="t"/>
                    <v:fill on="f" focussize="0,0"/>
                    <v:stroke imagealignshape="1"/>
                    <v:imagedata o:title=""/>
                    <o:lock v:ext="edit"/>
                    <o:callout minusx="t" minusy="t"/>
                  </v:shape>
                  <v:shape id="_x0000_s2052" o:spid="_x0000_s2052" o:spt="202" type="#_x0000_t202" style="position:absolute;left:4469;top:1896;height:731;width:684;" filled="f" stroked="f" insetpen="f" coordsize="21600,21600">
                    <v:path/>
                    <v:fill on="f" focussize="0,0"/>
                    <v:stroke on="f" imagealignshape="1"/>
                    <v:imagedata o:title=""/>
                    <o:lock v:ext="edit"/>
                    <o:callout minusx="t" minusy="t"/>
                    <v:textbox>
                      <w:txbxContent>
                        <w:p w14:paraId="2EAA89DF">
                          <w:pPr>
                            <w:spacing w:line="360" w:lineRule="auto"/>
                            <w:jc w:val="center"/>
                            <w:rPr>
                              <w:rFonts w:hint="eastAsia"/>
                              <w:szCs w:val="21"/>
                            </w:rPr>
                          </w:pPr>
                          <w:r>
                            <w:rPr>
                              <w:i/>
                              <w:szCs w:val="21"/>
                            </w:rPr>
                            <w:t>ƞ</w:t>
                          </w:r>
                        </w:p>
                        <w:p w14:paraId="48AD5A37">
                          <w:pPr>
                            <w:spacing w:line="360" w:lineRule="auto"/>
                            <w:jc w:val="center"/>
                            <w:rPr>
                              <w:szCs w:val="21"/>
                            </w:rPr>
                          </w:pPr>
                          <w:r>
                            <w:rPr>
                              <w:rFonts w:hint="eastAsia"/>
                              <w:szCs w:val="21"/>
                            </w:rPr>
                            <w:t>100</w:t>
                          </w:r>
                        </w:p>
                      </w:txbxContent>
                    </v:textbox>
                  </v:shape>
                </v:group>
              </w:pict>
            </w:r>
            <w:r>
              <w:rPr>
                <w:rFonts w:hint="eastAsia"/>
                <w:szCs w:val="21"/>
              </w:rPr>
              <w:t>烟尘：</w:t>
            </w:r>
          </w:p>
          <w:p w14:paraId="2B2DDEBA">
            <w:pPr>
              <w:spacing w:line="360" w:lineRule="auto"/>
              <w:ind w:firstLine="1050" w:firstLineChars="500"/>
              <w:rPr>
                <w:rFonts w:hint="eastAsia"/>
                <w:szCs w:val="21"/>
              </w:rPr>
            </w:pPr>
            <w:r>
              <w:rPr>
                <w:rFonts w:hint="eastAsia"/>
                <w:i/>
                <w:szCs w:val="21"/>
              </w:rPr>
              <w:t>E</w:t>
            </w:r>
            <w:r>
              <w:rPr>
                <w:rFonts w:hint="eastAsia"/>
                <w:i/>
                <w:szCs w:val="21"/>
                <w:vertAlign w:val="subscript"/>
              </w:rPr>
              <w:t>A</w:t>
            </w:r>
            <w:r>
              <w:rPr>
                <w:rFonts w:hint="eastAsia"/>
                <w:szCs w:val="21"/>
              </w:rPr>
              <w:t>=R×</w:t>
            </w:r>
            <w:r>
              <w:rPr>
                <w:rFonts w:hint="eastAsia"/>
                <w:i/>
                <w:szCs w:val="21"/>
              </w:rPr>
              <w:t>β</w:t>
            </w:r>
            <w:r>
              <w:rPr>
                <w:rFonts w:hint="eastAsia"/>
                <w:i/>
                <w:szCs w:val="21"/>
                <w:vertAlign w:val="subscript"/>
              </w:rPr>
              <w:t>A</w:t>
            </w:r>
            <w:r>
              <w:rPr>
                <w:rFonts w:hint="eastAsia"/>
                <w:szCs w:val="21"/>
              </w:rPr>
              <w:t>×（1-      ）×10</w:t>
            </w:r>
            <w:r>
              <w:rPr>
                <w:rFonts w:hint="eastAsia"/>
                <w:szCs w:val="21"/>
                <w:vertAlign w:val="superscript"/>
              </w:rPr>
              <w:t>-3</w:t>
            </w:r>
          </w:p>
          <w:p w14:paraId="61E3C2B8">
            <w:pPr>
              <w:spacing w:line="360" w:lineRule="auto"/>
              <w:ind w:firstLine="420" w:firstLineChars="200"/>
              <w:rPr>
                <w:rFonts w:hint="eastAsia"/>
                <w:szCs w:val="21"/>
              </w:rPr>
            </w:pPr>
            <w:r>
              <w:rPr>
                <w:szCs w:val="21"/>
              </w:rPr>
              <w:t>式中</w:t>
            </w:r>
            <w:r>
              <w:rPr>
                <w:rFonts w:hint="eastAsia"/>
                <w:szCs w:val="21"/>
              </w:rPr>
              <w:t>：</w:t>
            </w:r>
            <w:r>
              <w:rPr>
                <w:rFonts w:hint="eastAsia"/>
                <w:i/>
                <w:szCs w:val="21"/>
              </w:rPr>
              <w:t>E</w:t>
            </w:r>
            <w:r>
              <w:rPr>
                <w:rFonts w:hint="eastAsia"/>
                <w:i/>
                <w:szCs w:val="21"/>
                <w:vertAlign w:val="subscript"/>
              </w:rPr>
              <w:t>A</w:t>
            </w:r>
            <w:r>
              <w:rPr>
                <w:rFonts w:hint="eastAsia"/>
                <w:szCs w:val="21"/>
              </w:rPr>
              <w:t>—核算时段内颗粒物（烟尘）排放量，t；</w:t>
            </w:r>
          </w:p>
          <w:p w14:paraId="1B703880">
            <w:pPr>
              <w:spacing w:line="360" w:lineRule="auto"/>
              <w:ind w:firstLine="1050" w:firstLineChars="500"/>
              <w:rPr>
                <w:rFonts w:hint="eastAsia"/>
                <w:szCs w:val="21"/>
              </w:rPr>
            </w:pPr>
            <w:r>
              <w:rPr>
                <w:rFonts w:hint="eastAsia"/>
                <w:i/>
                <w:szCs w:val="21"/>
              </w:rPr>
              <w:t>R</w:t>
            </w:r>
            <w:r>
              <w:rPr>
                <w:rFonts w:hint="eastAsia"/>
                <w:szCs w:val="21"/>
              </w:rPr>
              <w:t>—核算时段内锅炉燃料耗量，万m</w:t>
            </w:r>
            <w:r>
              <w:rPr>
                <w:rFonts w:hint="eastAsia"/>
                <w:szCs w:val="21"/>
                <w:vertAlign w:val="superscript"/>
              </w:rPr>
              <w:t>3</w:t>
            </w:r>
            <w:r>
              <w:rPr>
                <w:rFonts w:hint="eastAsia"/>
                <w:szCs w:val="21"/>
              </w:rPr>
              <w:t>；</w:t>
            </w:r>
          </w:p>
          <w:p w14:paraId="748A59FB">
            <w:pPr>
              <w:spacing w:line="360" w:lineRule="auto"/>
              <w:ind w:firstLine="1050" w:firstLineChars="500"/>
              <w:rPr>
                <w:rFonts w:hint="eastAsia"/>
                <w:szCs w:val="21"/>
              </w:rPr>
            </w:pPr>
            <w:r>
              <w:rPr>
                <w:i/>
                <w:szCs w:val="21"/>
              </w:rPr>
              <w:t>ƞ</w:t>
            </w:r>
            <w:r>
              <w:rPr>
                <w:rFonts w:hint="eastAsia"/>
                <w:i/>
                <w:szCs w:val="21"/>
              </w:rPr>
              <w:t>—</w:t>
            </w:r>
            <w:r>
              <w:rPr>
                <w:rFonts w:hint="eastAsia"/>
                <w:szCs w:val="21"/>
              </w:rPr>
              <w:t>污染物脱除效率，%。</w:t>
            </w:r>
          </w:p>
          <w:p w14:paraId="2CA93A16">
            <w:pPr>
              <w:spacing w:line="360" w:lineRule="auto"/>
              <w:ind w:firstLine="1050" w:firstLineChars="500"/>
              <w:rPr>
                <w:szCs w:val="21"/>
              </w:rPr>
            </w:pPr>
            <w:r>
              <w:rPr>
                <w:rFonts w:hint="eastAsia"/>
                <w:i/>
                <w:szCs w:val="21"/>
              </w:rPr>
              <w:t>β</w:t>
            </w:r>
            <w:r>
              <w:rPr>
                <w:rFonts w:hint="eastAsia"/>
                <w:i/>
                <w:szCs w:val="21"/>
                <w:vertAlign w:val="subscript"/>
              </w:rPr>
              <w:t>A</w:t>
            </w:r>
            <w:r>
              <w:rPr>
                <w:rFonts w:hint="eastAsia"/>
                <w:szCs w:val="21"/>
              </w:rPr>
              <w:t>—产污系数，kg/万m</w:t>
            </w:r>
            <w:r>
              <w:rPr>
                <w:rFonts w:hint="eastAsia"/>
                <w:szCs w:val="21"/>
                <w:vertAlign w:val="superscript"/>
              </w:rPr>
              <w:t>3</w:t>
            </w:r>
            <w:r>
              <w:rPr>
                <w:rFonts w:hint="eastAsia"/>
                <w:szCs w:val="21"/>
              </w:rPr>
              <w:t>，参照HJ953-2018表F.3燃气锅炉中系数2.86；</w:t>
            </w:r>
            <w:r>
              <w:rPr>
                <w:i/>
                <w:szCs w:val="21"/>
              </w:rPr>
              <w:t>ƞ为</w:t>
            </w:r>
            <w:r>
              <w:rPr>
                <w:rFonts w:hint="eastAsia"/>
                <w:i/>
                <w:szCs w:val="21"/>
              </w:rPr>
              <w:t>0</w:t>
            </w:r>
            <w:r>
              <w:rPr>
                <w:rFonts w:hint="eastAsia"/>
                <w:szCs w:val="21"/>
              </w:rPr>
              <w:t>。</w:t>
            </w:r>
          </w:p>
          <w:p w14:paraId="2E7DDA26">
            <w:pPr>
              <w:spacing w:line="360" w:lineRule="auto"/>
              <w:ind w:firstLine="420" w:firstLineChars="200"/>
              <w:rPr>
                <w:color w:val="0070C0"/>
                <w:szCs w:val="21"/>
              </w:rPr>
            </w:pPr>
            <w:r>
              <w:rPr>
                <w:rFonts w:hint="eastAsia"/>
                <w:szCs w:val="21"/>
              </w:rPr>
              <w:t>计算得出：</w:t>
            </w:r>
            <w:r>
              <w:rPr>
                <w:rFonts w:hint="eastAsia"/>
                <w:i/>
                <w:color w:val="auto"/>
                <w:szCs w:val="21"/>
              </w:rPr>
              <w:t>E</w:t>
            </w:r>
            <w:r>
              <w:rPr>
                <w:rFonts w:hint="eastAsia"/>
                <w:i/>
                <w:color w:val="auto"/>
                <w:szCs w:val="21"/>
                <w:vertAlign w:val="subscript"/>
              </w:rPr>
              <w:t>A</w:t>
            </w:r>
            <w:r>
              <w:rPr>
                <w:rFonts w:hint="eastAsia"/>
                <w:color w:val="auto"/>
                <w:szCs w:val="21"/>
              </w:rPr>
              <w:t>=0.</w:t>
            </w:r>
            <w:r>
              <w:rPr>
                <w:rFonts w:hint="eastAsia"/>
                <w:color w:val="auto"/>
                <w:szCs w:val="21"/>
                <w:lang w:val="en-US" w:eastAsia="zh-CN"/>
              </w:rPr>
              <w:t>3432</w:t>
            </w:r>
            <w:r>
              <w:rPr>
                <w:rFonts w:hint="eastAsia"/>
                <w:color w:val="auto"/>
                <w:szCs w:val="21"/>
              </w:rPr>
              <w:t>t/a</w:t>
            </w:r>
          </w:p>
          <w:p w14:paraId="2E038BCB">
            <w:pPr>
              <w:spacing w:line="360" w:lineRule="auto"/>
              <w:ind w:firstLine="420" w:firstLineChars="200"/>
              <w:rPr>
                <w:szCs w:val="21"/>
              </w:rPr>
            </w:pPr>
            <w:r>
              <w:rPr>
                <w:rFonts w:hint="eastAsia"/>
                <w:szCs w:val="21"/>
              </w:rPr>
              <w:t>二氧化硫：</w:t>
            </w:r>
          </w:p>
          <w:p w14:paraId="6E1EEAA1">
            <w:pPr>
              <w:jc w:val="center"/>
              <w:rPr>
                <w:rFonts w:hint="eastAsia"/>
                <w:szCs w:val="21"/>
              </w:rPr>
            </w:pPr>
            <w:r>
              <w:rPr>
                <w:rFonts w:hint="eastAsia"/>
                <w:i/>
                <w:szCs w:val="21"/>
              </w:rPr>
              <w:t>E</w:t>
            </w:r>
            <w:r>
              <w:rPr>
                <w:rFonts w:hint="eastAsia"/>
                <w:i/>
                <w:szCs w:val="21"/>
                <w:vertAlign w:val="subscript"/>
              </w:rPr>
              <w:t>SO2</w:t>
            </w:r>
            <w:r>
              <w:rPr>
                <w:rFonts w:hint="eastAsia"/>
                <w:szCs w:val="21"/>
              </w:rPr>
              <w:t>=</w:t>
            </w:r>
            <w:r>
              <w:rPr>
                <w:rFonts w:hint="eastAsia"/>
                <w:i/>
                <w:szCs w:val="21"/>
              </w:rPr>
              <w:t>2R</w:t>
            </w:r>
            <w:r>
              <w:rPr>
                <w:rFonts w:hint="eastAsia"/>
                <w:szCs w:val="21"/>
              </w:rPr>
              <w:t>×</w:t>
            </w:r>
            <w:r>
              <w:rPr>
                <w:rFonts w:hint="eastAsia"/>
                <w:i/>
                <w:szCs w:val="21"/>
              </w:rPr>
              <w:t>S</w:t>
            </w:r>
            <w:r>
              <w:rPr>
                <w:rFonts w:hint="eastAsia"/>
                <w:i/>
                <w:szCs w:val="21"/>
                <w:vertAlign w:val="subscript"/>
              </w:rPr>
              <w:t>t</w:t>
            </w:r>
            <w:r>
              <w:rPr>
                <w:rFonts w:hint="eastAsia"/>
                <w:szCs w:val="21"/>
              </w:rPr>
              <w:t>×（1-</w:t>
            </w:r>
            <w:r>
              <w:rPr>
                <w:i/>
                <w:szCs w:val="21"/>
              </w:rPr>
              <w:t>ƞ</w:t>
            </w:r>
            <w:r>
              <w:rPr>
                <w:i/>
                <w:szCs w:val="21"/>
                <w:vertAlign w:val="subscript"/>
              </w:rPr>
              <w:t>s</w:t>
            </w:r>
            <w:r>
              <w:rPr>
                <w:rFonts w:hint="eastAsia"/>
                <w:szCs w:val="21"/>
              </w:rPr>
              <w:t>/100）×</w:t>
            </w:r>
            <w:r>
              <w:rPr>
                <w:rFonts w:hint="eastAsia"/>
                <w:i/>
                <w:szCs w:val="21"/>
              </w:rPr>
              <w:t>K×</w:t>
            </w:r>
            <w:r>
              <w:rPr>
                <w:rFonts w:hint="eastAsia"/>
                <w:szCs w:val="21"/>
              </w:rPr>
              <w:t>10</w:t>
            </w:r>
            <w:r>
              <w:rPr>
                <w:rFonts w:hint="eastAsia"/>
                <w:szCs w:val="21"/>
                <w:vertAlign w:val="superscript"/>
              </w:rPr>
              <w:t>-5</w:t>
            </w:r>
          </w:p>
          <w:p w14:paraId="083900C5">
            <w:pPr>
              <w:spacing w:line="360" w:lineRule="auto"/>
              <w:ind w:firstLine="420" w:firstLineChars="200"/>
              <w:rPr>
                <w:rFonts w:hint="eastAsia"/>
                <w:szCs w:val="21"/>
              </w:rPr>
            </w:pPr>
            <w:r>
              <w:rPr>
                <w:szCs w:val="21"/>
              </w:rPr>
              <w:t>式中</w:t>
            </w:r>
            <w:r>
              <w:rPr>
                <w:rFonts w:hint="eastAsia"/>
                <w:szCs w:val="21"/>
              </w:rPr>
              <w:t>：</w:t>
            </w:r>
            <w:r>
              <w:rPr>
                <w:rFonts w:hint="eastAsia"/>
                <w:i/>
                <w:szCs w:val="21"/>
              </w:rPr>
              <w:t>E</w:t>
            </w:r>
            <w:r>
              <w:rPr>
                <w:rFonts w:hint="eastAsia"/>
                <w:i/>
                <w:szCs w:val="21"/>
                <w:vertAlign w:val="subscript"/>
              </w:rPr>
              <w:t>SO2</w:t>
            </w:r>
            <w:r>
              <w:rPr>
                <w:rFonts w:hint="eastAsia"/>
                <w:szCs w:val="21"/>
              </w:rPr>
              <w:t>—核算时段内二氧化硫排放量，t；</w:t>
            </w:r>
          </w:p>
          <w:p w14:paraId="11A1A1CC">
            <w:pPr>
              <w:spacing w:line="360" w:lineRule="auto"/>
              <w:ind w:firstLine="1050" w:firstLineChars="500"/>
              <w:rPr>
                <w:rFonts w:hint="eastAsia"/>
                <w:szCs w:val="21"/>
              </w:rPr>
            </w:pPr>
            <w:r>
              <w:rPr>
                <w:rFonts w:hint="eastAsia"/>
                <w:i/>
                <w:szCs w:val="21"/>
              </w:rPr>
              <w:t>R</w:t>
            </w:r>
            <w:r>
              <w:rPr>
                <w:rFonts w:hint="eastAsia"/>
                <w:szCs w:val="21"/>
              </w:rPr>
              <w:t>—核算时段内锅炉燃料耗量，万m</w:t>
            </w:r>
            <w:r>
              <w:rPr>
                <w:rFonts w:hint="eastAsia"/>
                <w:szCs w:val="21"/>
                <w:vertAlign w:val="superscript"/>
              </w:rPr>
              <w:t>3</w:t>
            </w:r>
            <w:r>
              <w:rPr>
                <w:rFonts w:hint="eastAsia"/>
                <w:szCs w:val="21"/>
              </w:rPr>
              <w:t>；</w:t>
            </w:r>
          </w:p>
          <w:p w14:paraId="6EB85A59">
            <w:pPr>
              <w:spacing w:line="360" w:lineRule="auto"/>
              <w:ind w:firstLine="1050" w:firstLineChars="500"/>
              <w:rPr>
                <w:rFonts w:hint="eastAsia"/>
                <w:szCs w:val="21"/>
              </w:rPr>
            </w:pPr>
            <w:r>
              <w:rPr>
                <w:rFonts w:hint="eastAsia"/>
                <w:i/>
                <w:szCs w:val="21"/>
              </w:rPr>
              <w:t>S</w:t>
            </w:r>
            <w:r>
              <w:rPr>
                <w:rFonts w:hint="eastAsia"/>
                <w:szCs w:val="21"/>
                <w:vertAlign w:val="subscript"/>
              </w:rPr>
              <w:t>t</w:t>
            </w:r>
            <w:r>
              <w:rPr>
                <w:rFonts w:hint="eastAsia"/>
                <w:szCs w:val="21"/>
              </w:rPr>
              <w:t>—燃料总硫的质量浓度，mg/m</w:t>
            </w:r>
            <w:r>
              <w:rPr>
                <w:rFonts w:hint="eastAsia"/>
                <w:szCs w:val="21"/>
                <w:vertAlign w:val="superscript"/>
              </w:rPr>
              <w:t>3</w:t>
            </w:r>
            <w:r>
              <w:rPr>
                <w:rFonts w:hint="eastAsia"/>
                <w:szCs w:val="21"/>
              </w:rPr>
              <w:t>；</w:t>
            </w:r>
          </w:p>
          <w:p w14:paraId="00628B11">
            <w:pPr>
              <w:spacing w:line="360" w:lineRule="auto"/>
              <w:ind w:firstLine="1050" w:firstLineChars="500"/>
              <w:rPr>
                <w:rFonts w:hint="eastAsia"/>
                <w:szCs w:val="21"/>
              </w:rPr>
            </w:pPr>
            <w:r>
              <w:rPr>
                <w:i/>
                <w:szCs w:val="21"/>
              </w:rPr>
              <w:t>ƞ</w:t>
            </w:r>
            <w:r>
              <w:rPr>
                <w:rFonts w:hint="eastAsia"/>
                <w:szCs w:val="21"/>
                <w:vertAlign w:val="subscript"/>
              </w:rPr>
              <w:t>s</w:t>
            </w:r>
            <w:r>
              <w:rPr>
                <w:rFonts w:hint="eastAsia"/>
                <w:szCs w:val="21"/>
              </w:rPr>
              <w:t>—脱硫效率，%；</w:t>
            </w:r>
          </w:p>
          <w:p w14:paraId="299C4C12">
            <w:pPr>
              <w:spacing w:line="360" w:lineRule="auto"/>
              <w:ind w:firstLine="1050" w:firstLineChars="500"/>
              <w:rPr>
                <w:rFonts w:hint="eastAsia"/>
                <w:szCs w:val="21"/>
              </w:rPr>
            </w:pPr>
            <w:r>
              <w:rPr>
                <w:rFonts w:hint="eastAsia"/>
                <w:i/>
                <w:szCs w:val="21"/>
              </w:rPr>
              <w:t>K</w:t>
            </w:r>
            <w:r>
              <w:rPr>
                <w:rFonts w:hint="eastAsia"/>
                <w:szCs w:val="21"/>
              </w:rPr>
              <w:t>—燃料中的硫燃烧后氧化成二氧化硫的份额，量纲一的量。</w:t>
            </w:r>
          </w:p>
          <w:p w14:paraId="030BE8BA">
            <w:pPr>
              <w:spacing w:line="360" w:lineRule="auto"/>
              <w:ind w:firstLine="420" w:firstLineChars="200"/>
              <w:rPr>
                <w:rFonts w:hint="eastAsia"/>
                <w:szCs w:val="21"/>
              </w:rPr>
            </w:pPr>
            <w:r>
              <w:rPr>
                <w:rFonts w:hint="eastAsia"/>
                <w:szCs w:val="21"/>
              </w:rPr>
              <w:t>上式中R=</w:t>
            </w:r>
            <w:r>
              <w:rPr>
                <w:rFonts w:hint="eastAsia"/>
                <w:szCs w:val="21"/>
                <w:lang w:val="en-US" w:eastAsia="zh-CN"/>
              </w:rPr>
              <w:t>87.24</w:t>
            </w:r>
            <w:r>
              <w:rPr>
                <w:rFonts w:hint="eastAsia"/>
                <w:szCs w:val="21"/>
              </w:rPr>
              <w:t>万</w:t>
            </w:r>
            <w:r>
              <w:rPr>
                <w:szCs w:val="21"/>
              </w:rPr>
              <w:t>m</w:t>
            </w:r>
            <w:r>
              <w:rPr>
                <w:rFonts w:hint="eastAsia"/>
                <w:szCs w:val="21"/>
                <w:vertAlign w:val="superscript"/>
              </w:rPr>
              <w:t>3</w:t>
            </w:r>
            <w:r>
              <w:rPr>
                <w:szCs w:val="21"/>
              </w:rPr>
              <w:t>/a</w:t>
            </w:r>
            <w:r>
              <w:rPr>
                <w:rFonts w:hint="eastAsia"/>
                <w:szCs w:val="21"/>
              </w:rPr>
              <w:t>；</w:t>
            </w:r>
            <w:r>
              <w:rPr>
                <w:rFonts w:hint="eastAsia"/>
                <w:i/>
                <w:szCs w:val="21"/>
              </w:rPr>
              <w:t>S</w:t>
            </w:r>
            <w:r>
              <w:rPr>
                <w:rFonts w:hint="eastAsia"/>
                <w:i/>
                <w:szCs w:val="21"/>
                <w:vertAlign w:val="subscript"/>
              </w:rPr>
              <w:t>t</w:t>
            </w:r>
            <w:r>
              <w:rPr>
                <w:rFonts w:hint="eastAsia"/>
                <w:szCs w:val="21"/>
              </w:rPr>
              <w:t>为</w:t>
            </w:r>
            <w:r>
              <w:rPr>
                <w:rFonts w:hint="eastAsia"/>
                <w:szCs w:val="21"/>
                <w:lang w:val="en-US" w:eastAsia="zh-CN"/>
              </w:rPr>
              <w:t>20</w:t>
            </w:r>
            <w:r>
              <w:rPr>
                <w:rFonts w:hint="eastAsia"/>
                <w:szCs w:val="21"/>
              </w:rPr>
              <w:t>mg/m</w:t>
            </w:r>
            <w:r>
              <w:rPr>
                <w:rFonts w:hint="eastAsia"/>
                <w:szCs w:val="21"/>
                <w:vertAlign w:val="superscript"/>
              </w:rPr>
              <w:t>3</w:t>
            </w:r>
            <w:r>
              <w:rPr>
                <w:rFonts w:hint="eastAsia"/>
                <w:szCs w:val="21"/>
              </w:rPr>
              <w:t>；</w:t>
            </w:r>
            <w:r>
              <w:rPr>
                <w:i/>
                <w:szCs w:val="21"/>
              </w:rPr>
              <w:t>ƞ</w:t>
            </w:r>
            <w:r>
              <w:rPr>
                <w:rFonts w:hint="eastAsia"/>
                <w:szCs w:val="21"/>
                <w:vertAlign w:val="subscript"/>
              </w:rPr>
              <w:t>s</w:t>
            </w:r>
            <w:r>
              <w:rPr>
                <w:rFonts w:hint="eastAsia"/>
                <w:szCs w:val="21"/>
              </w:rPr>
              <w:t>为0；</w:t>
            </w:r>
            <w:r>
              <w:rPr>
                <w:rFonts w:hint="eastAsia"/>
                <w:i/>
                <w:szCs w:val="21"/>
              </w:rPr>
              <w:t>K</w:t>
            </w:r>
            <w:r>
              <w:rPr>
                <w:rFonts w:hint="eastAsia"/>
                <w:szCs w:val="21"/>
              </w:rPr>
              <w:t>根据（HJ 991-2018）附录B中表B.3，取1.00。</w:t>
            </w:r>
          </w:p>
          <w:p w14:paraId="4F15E575">
            <w:pPr>
              <w:spacing w:line="360" w:lineRule="auto"/>
              <w:ind w:firstLine="420" w:firstLineChars="200"/>
              <w:rPr>
                <w:rFonts w:hint="eastAsia"/>
                <w:color w:val="auto"/>
                <w:szCs w:val="21"/>
              </w:rPr>
            </w:pPr>
            <w:r>
              <w:rPr>
                <w:rFonts w:hint="eastAsia"/>
                <w:szCs w:val="21"/>
              </w:rPr>
              <w:t>计算得出：</w:t>
            </w:r>
            <w:r>
              <w:rPr>
                <w:rFonts w:hint="eastAsia"/>
                <w:i/>
                <w:szCs w:val="21"/>
              </w:rPr>
              <w:t>E</w:t>
            </w:r>
            <w:r>
              <w:rPr>
                <w:rFonts w:hint="eastAsia"/>
                <w:i/>
                <w:szCs w:val="21"/>
                <w:vertAlign w:val="subscript"/>
              </w:rPr>
              <w:t>SO2</w:t>
            </w:r>
            <w:r>
              <w:rPr>
                <w:rFonts w:hint="eastAsia"/>
                <w:szCs w:val="21"/>
              </w:rPr>
              <w:t>=2×</w:t>
            </w:r>
            <w:r>
              <w:rPr>
                <w:rFonts w:hint="eastAsia"/>
                <w:color w:val="auto"/>
                <w:szCs w:val="21"/>
                <w:lang w:val="en-US" w:eastAsia="zh-CN"/>
              </w:rPr>
              <w:t>1200000</w:t>
            </w:r>
            <w:r>
              <w:rPr>
                <w:rFonts w:hint="eastAsia"/>
                <w:color w:val="auto"/>
                <w:szCs w:val="21"/>
              </w:rPr>
              <w:t>×</w:t>
            </w:r>
            <w:r>
              <w:rPr>
                <w:rFonts w:hint="eastAsia"/>
                <w:color w:val="auto"/>
                <w:szCs w:val="21"/>
                <w:lang w:val="en-US" w:eastAsia="zh-CN"/>
              </w:rPr>
              <w:t>20</w:t>
            </w:r>
            <w:r>
              <w:rPr>
                <w:rFonts w:hint="eastAsia"/>
                <w:color w:val="auto"/>
                <w:szCs w:val="21"/>
              </w:rPr>
              <w:t>×（1-0/100）×1.00×10</w:t>
            </w:r>
            <w:r>
              <w:rPr>
                <w:rFonts w:hint="eastAsia"/>
                <w:color w:val="auto"/>
                <w:szCs w:val="21"/>
                <w:vertAlign w:val="superscript"/>
              </w:rPr>
              <w:t>-5</w:t>
            </w:r>
          </w:p>
          <w:p w14:paraId="02769966">
            <w:pPr>
              <w:spacing w:line="360" w:lineRule="auto"/>
              <w:ind w:firstLine="630" w:firstLineChars="300"/>
              <w:rPr>
                <w:rFonts w:hint="eastAsia"/>
                <w:color w:val="auto"/>
                <w:szCs w:val="21"/>
              </w:rPr>
            </w:pPr>
            <w:r>
              <w:rPr>
                <w:rFonts w:hint="eastAsia"/>
                <w:color w:val="auto"/>
                <w:szCs w:val="21"/>
              </w:rPr>
              <w:t xml:space="preserve">           </w:t>
            </w:r>
            <w:r>
              <w:rPr>
                <w:rFonts w:hint="eastAsia"/>
                <w:color w:val="auto"/>
                <w:szCs w:val="21"/>
                <w:vertAlign w:val="subscript"/>
              </w:rPr>
              <w:t xml:space="preserve"> </w:t>
            </w:r>
            <w:r>
              <w:rPr>
                <w:rFonts w:hint="eastAsia"/>
                <w:color w:val="auto"/>
                <w:szCs w:val="21"/>
              </w:rPr>
              <w:t>=0.</w:t>
            </w:r>
            <w:r>
              <w:rPr>
                <w:rFonts w:hint="eastAsia"/>
                <w:color w:val="auto"/>
                <w:szCs w:val="21"/>
                <w:lang w:val="en-US" w:eastAsia="zh-CN"/>
              </w:rPr>
              <w:t>048</w:t>
            </w:r>
            <w:r>
              <w:rPr>
                <w:rFonts w:hint="eastAsia"/>
                <w:color w:val="auto"/>
                <w:szCs w:val="21"/>
              </w:rPr>
              <w:t>t/a</w:t>
            </w:r>
          </w:p>
          <w:p w14:paraId="03836E48">
            <w:pPr>
              <w:spacing w:line="360" w:lineRule="auto"/>
              <w:ind w:firstLine="420" w:firstLineChars="200"/>
              <w:rPr>
                <w:szCs w:val="21"/>
              </w:rPr>
            </w:pPr>
            <w:r>
              <w:rPr>
                <w:rFonts w:hint="eastAsia"/>
                <w:szCs w:val="21"/>
              </w:rPr>
              <w:t>氮氧化物：</w:t>
            </w:r>
          </w:p>
          <w:p w14:paraId="6E4F5B9A">
            <w:pPr>
              <w:spacing w:line="360" w:lineRule="auto"/>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项目蒸汽锅炉采用低氮燃烧</w:t>
            </w:r>
            <w:r>
              <w:rPr>
                <w:rFonts w:hint="eastAsia" w:cs="Times New Roman"/>
                <w:szCs w:val="21"/>
                <w:lang w:val="en-US" w:eastAsia="zh-CN"/>
              </w:rPr>
              <w:t>器+烟气循环</w:t>
            </w:r>
            <w:r>
              <w:rPr>
                <w:rFonts w:hint="eastAsia" w:ascii="Times New Roman" w:hAnsi="Times New Roman" w:eastAsia="宋体" w:cs="Times New Roman"/>
                <w:szCs w:val="21"/>
                <w:lang w:val="en-US" w:eastAsia="zh-CN"/>
              </w:rPr>
              <w:t>技术，按照出口浓度50mg/m</w:t>
            </w:r>
            <w:r>
              <w:rPr>
                <w:rFonts w:hint="eastAsia" w:ascii="Times New Roman" w:hAnsi="Times New Roman" w:eastAsia="宋体" w:cs="Times New Roman"/>
                <w:szCs w:val="21"/>
                <w:vertAlign w:val="superscript"/>
                <w:lang w:val="en-US" w:eastAsia="zh-CN"/>
              </w:rPr>
              <w:t>3</w:t>
            </w:r>
            <w:r>
              <w:rPr>
                <w:rFonts w:hint="eastAsia" w:ascii="Times New Roman" w:hAnsi="Times New Roman" w:eastAsia="宋体" w:cs="Times New Roman"/>
                <w:szCs w:val="21"/>
                <w:lang w:val="en-US" w:eastAsia="zh-CN"/>
              </w:rPr>
              <w:t>进行计算，</w:t>
            </w:r>
            <w:r>
              <w:rPr>
                <w:rFonts w:hint="eastAsia"/>
                <w:i/>
                <w:szCs w:val="21"/>
              </w:rPr>
              <w:t>E</w:t>
            </w:r>
            <w:r>
              <w:rPr>
                <w:rFonts w:hint="eastAsia"/>
                <w:i/>
                <w:szCs w:val="21"/>
                <w:vertAlign w:val="subscript"/>
              </w:rPr>
              <w:t>NOx</w:t>
            </w:r>
            <w:r>
              <w:rPr>
                <w:rFonts w:hint="eastAsia"/>
                <w:i w:val="0"/>
                <w:iCs/>
                <w:szCs w:val="21"/>
                <w:vertAlign w:val="baseline"/>
                <w:lang w:val="en-US" w:eastAsia="zh-CN"/>
              </w:rPr>
              <w:t>排放量约为</w:t>
            </w:r>
            <w:r>
              <w:rPr>
                <w:rFonts w:hint="eastAsia"/>
                <w:i w:val="0"/>
                <w:iCs/>
                <w:color w:val="auto"/>
                <w:szCs w:val="21"/>
                <w:vertAlign w:val="baseline"/>
                <w:lang w:val="en-US" w:eastAsia="zh-CN"/>
              </w:rPr>
              <w:t>0.6020t/a</w:t>
            </w:r>
            <w:r>
              <w:rPr>
                <w:rFonts w:hint="eastAsia" w:ascii="Times New Roman" w:hAnsi="Times New Roman" w:eastAsia="宋体" w:cs="Times New Roman"/>
                <w:color w:val="auto"/>
                <w:szCs w:val="21"/>
              </w:rPr>
              <w:t>。</w:t>
            </w:r>
          </w:p>
          <w:p w14:paraId="09677721">
            <w:pPr>
              <w:spacing w:line="240" w:lineRule="exact"/>
              <w:ind w:firstLine="361" w:firstLineChars="200"/>
              <w:jc w:val="center"/>
              <w:rPr>
                <w:b/>
                <w:sz w:val="18"/>
                <w:szCs w:val="18"/>
              </w:rPr>
            </w:pPr>
            <w:r>
              <w:rPr>
                <w:b/>
                <w:sz w:val="18"/>
                <w:szCs w:val="18"/>
              </w:rPr>
              <w:t>表</w:t>
            </w:r>
            <w:r>
              <w:rPr>
                <w:rFonts w:hint="eastAsia"/>
                <w:b/>
                <w:sz w:val="18"/>
                <w:szCs w:val="18"/>
              </w:rPr>
              <w:t>4</w:t>
            </w:r>
            <w:r>
              <w:rPr>
                <w:rFonts w:hint="eastAsia"/>
                <w:b/>
                <w:sz w:val="18"/>
                <w:szCs w:val="18"/>
                <w:lang w:val="en-US" w:eastAsia="zh-CN"/>
              </w:rPr>
              <w:t>.1</w:t>
            </w:r>
            <w:r>
              <w:rPr>
                <w:b/>
                <w:sz w:val="18"/>
                <w:szCs w:val="18"/>
              </w:rPr>
              <w:t>-</w:t>
            </w:r>
            <w:r>
              <w:rPr>
                <w:rFonts w:hint="eastAsia"/>
                <w:b/>
                <w:sz w:val="18"/>
                <w:szCs w:val="18"/>
                <w:lang w:val="en-US" w:eastAsia="zh-CN"/>
              </w:rPr>
              <w:t>6</w:t>
            </w:r>
            <w:r>
              <w:rPr>
                <w:b/>
                <w:sz w:val="18"/>
                <w:szCs w:val="18"/>
              </w:rPr>
              <w:t xml:space="preserve">    锅炉燃烧产排污量明细表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0"/>
              <w:gridCol w:w="762"/>
              <w:gridCol w:w="876"/>
              <w:gridCol w:w="1404"/>
              <w:gridCol w:w="951"/>
              <w:gridCol w:w="954"/>
              <w:gridCol w:w="1320"/>
              <w:gridCol w:w="1169"/>
            </w:tblGrid>
            <w:tr w14:paraId="537A73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9" w:hRule="atLeast"/>
                <w:tblHeader/>
                <w:jc w:val="center"/>
              </w:trPr>
              <w:tc>
                <w:tcPr>
                  <w:tcW w:w="303" w:type="pct"/>
                  <w:noWrap w:val="0"/>
                  <w:vAlign w:val="center"/>
                </w:tcPr>
                <w:p w14:paraId="6E61BA74">
                  <w:pPr>
                    <w:spacing w:line="200" w:lineRule="exact"/>
                    <w:jc w:val="center"/>
                    <w:rPr>
                      <w:sz w:val="18"/>
                      <w:szCs w:val="18"/>
                    </w:rPr>
                  </w:pPr>
                  <w:r>
                    <w:rPr>
                      <w:sz w:val="18"/>
                      <w:szCs w:val="18"/>
                    </w:rPr>
                    <w:t>名称</w:t>
                  </w:r>
                </w:p>
              </w:tc>
              <w:tc>
                <w:tcPr>
                  <w:tcW w:w="481" w:type="pct"/>
                  <w:noWrap w:val="0"/>
                  <w:vAlign w:val="center"/>
                </w:tcPr>
                <w:p w14:paraId="63E64504">
                  <w:pPr>
                    <w:spacing w:line="200" w:lineRule="exact"/>
                    <w:jc w:val="center"/>
                    <w:rPr>
                      <w:sz w:val="18"/>
                      <w:szCs w:val="18"/>
                    </w:rPr>
                  </w:pPr>
                  <w:r>
                    <w:rPr>
                      <w:sz w:val="18"/>
                      <w:szCs w:val="18"/>
                    </w:rPr>
                    <w:t>污染物</w:t>
                  </w:r>
                </w:p>
              </w:tc>
              <w:tc>
                <w:tcPr>
                  <w:tcW w:w="553" w:type="pct"/>
                  <w:noWrap w:val="0"/>
                  <w:vAlign w:val="center"/>
                </w:tcPr>
                <w:p w14:paraId="143AC836">
                  <w:pPr>
                    <w:spacing w:line="200" w:lineRule="exact"/>
                    <w:jc w:val="center"/>
                    <w:rPr>
                      <w:sz w:val="18"/>
                      <w:szCs w:val="18"/>
                    </w:rPr>
                  </w:pPr>
                  <w:r>
                    <w:rPr>
                      <w:rFonts w:hint="eastAsia"/>
                      <w:sz w:val="18"/>
                      <w:szCs w:val="18"/>
                    </w:rPr>
                    <w:t>产生量（t/a）</w:t>
                  </w:r>
                </w:p>
              </w:tc>
              <w:tc>
                <w:tcPr>
                  <w:tcW w:w="886" w:type="pct"/>
                  <w:noWrap w:val="0"/>
                  <w:vAlign w:val="center"/>
                </w:tcPr>
                <w:p w14:paraId="6FCA720E">
                  <w:pPr>
                    <w:spacing w:line="200" w:lineRule="exact"/>
                    <w:jc w:val="center"/>
                    <w:rPr>
                      <w:sz w:val="18"/>
                      <w:szCs w:val="18"/>
                    </w:rPr>
                  </w:pPr>
                  <w:r>
                    <w:rPr>
                      <w:sz w:val="18"/>
                      <w:szCs w:val="18"/>
                    </w:rPr>
                    <w:t>产生浓度</w:t>
                  </w:r>
                  <w:r>
                    <w:rPr>
                      <w:rFonts w:hint="eastAsia"/>
                      <w:sz w:val="18"/>
                      <w:szCs w:val="18"/>
                    </w:rPr>
                    <w:t>（mg/m</w:t>
                  </w:r>
                  <w:r>
                    <w:rPr>
                      <w:rFonts w:hint="eastAsia"/>
                      <w:sz w:val="18"/>
                      <w:szCs w:val="18"/>
                      <w:vertAlign w:val="superscript"/>
                    </w:rPr>
                    <w:t>3</w:t>
                  </w:r>
                  <w:r>
                    <w:rPr>
                      <w:rFonts w:hint="eastAsia"/>
                      <w:sz w:val="18"/>
                      <w:szCs w:val="18"/>
                    </w:rPr>
                    <w:t>）</w:t>
                  </w:r>
                </w:p>
              </w:tc>
              <w:tc>
                <w:tcPr>
                  <w:tcW w:w="600" w:type="pct"/>
                  <w:noWrap w:val="0"/>
                  <w:vAlign w:val="center"/>
                </w:tcPr>
                <w:p w14:paraId="4B552492">
                  <w:pPr>
                    <w:spacing w:line="200" w:lineRule="exact"/>
                    <w:jc w:val="center"/>
                    <w:rPr>
                      <w:sz w:val="18"/>
                      <w:szCs w:val="18"/>
                    </w:rPr>
                  </w:pPr>
                  <w:r>
                    <w:rPr>
                      <w:sz w:val="18"/>
                      <w:szCs w:val="18"/>
                    </w:rPr>
                    <w:t>末端治理技术名称</w:t>
                  </w:r>
                </w:p>
              </w:tc>
              <w:tc>
                <w:tcPr>
                  <w:tcW w:w="602" w:type="pct"/>
                  <w:noWrap w:val="0"/>
                  <w:vAlign w:val="center"/>
                </w:tcPr>
                <w:p w14:paraId="75E1F098">
                  <w:pPr>
                    <w:spacing w:line="200" w:lineRule="exact"/>
                    <w:jc w:val="center"/>
                    <w:rPr>
                      <w:sz w:val="18"/>
                      <w:szCs w:val="18"/>
                    </w:rPr>
                  </w:pPr>
                  <w:r>
                    <w:rPr>
                      <w:rFonts w:hint="eastAsia"/>
                      <w:sz w:val="18"/>
                      <w:szCs w:val="18"/>
                    </w:rPr>
                    <w:t>排放量（t/a）</w:t>
                  </w:r>
                </w:p>
              </w:tc>
              <w:tc>
                <w:tcPr>
                  <w:tcW w:w="833" w:type="pct"/>
                  <w:noWrap w:val="0"/>
                  <w:vAlign w:val="center"/>
                </w:tcPr>
                <w:p w14:paraId="0EE6AB4E">
                  <w:pPr>
                    <w:spacing w:line="200" w:lineRule="exact"/>
                    <w:jc w:val="center"/>
                    <w:rPr>
                      <w:sz w:val="18"/>
                      <w:szCs w:val="18"/>
                    </w:rPr>
                  </w:pPr>
                  <w:r>
                    <w:rPr>
                      <w:sz w:val="18"/>
                      <w:szCs w:val="18"/>
                    </w:rPr>
                    <w:t>排</w:t>
                  </w:r>
                  <w:r>
                    <w:rPr>
                      <w:rFonts w:hint="eastAsia"/>
                      <w:sz w:val="18"/>
                      <w:szCs w:val="18"/>
                    </w:rPr>
                    <w:t>放</w:t>
                  </w:r>
                  <w:r>
                    <w:rPr>
                      <w:sz w:val="18"/>
                      <w:szCs w:val="18"/>
                    </w:rPr>
                    <w:t>浓度</w:t>
                  </w:r>
                  <w:r>
                    <w:rPr>
                      <w:rFonts w:hint="eastAsia"/>
                      <w:sz w:val="18"/>
                      <w:szCs w:val="18"/>
                    </w:rPr>
                    <w:t>（mg/m</w:t>
                  </w:r>
                  <w:r>
                    <w:rPr>
                      <w:rFonts w:hint="eastAsia"/>
                      <w:sz w:val="18"/>
                      <w:szCs w:val="18"/>
                      <w:vertAlign w:val="superscript"/>
                    </w:rPr>
                    <w:t>3</w:t>
                  </w:r>
                  <w:r>
                    <w:rPr>
                      <w:rFonts w:hint="eastAsia"/>
                      <w:sz w:val="18"/>
                      <w:szCs w:val="18"/>
                    </w:rPr>
                    <w:t>）</w:t>
                  </w:r>
                </w:p>
              </w:tc>
              <w:tc>
                <w:tcPr>
                  <w:tcW w:w="738" w:type="pct"/>
                  <w:noWrap w:val="0"/>
                  <w:vAlign w:val="center"/>
                </w:tcPr>
                <w:p w14:paraId="2A8B88BA">
                  <w:pPr>
                    <w:spacing w:line="200" w:lineRule="exact"/>
                    <w:jc w:val="center"/>
                    <w:rPr>
                      <w:sz w:val="18"/>
                      <w:szCs w:val="18"/>
                    </w:rPr>
                  </w:pPr>
                  <w:r>
                    <w:rPr>
                      <w:sz w:val="18"/>
                      <w:szCs w:val="18"/>
                    </w:rPr>
                    <w:t>排放速率</w:t>
                  </w:r>
                  <w:r>
                    <w:rPr>
                      <w:rFonts w:hint="eastAsia"/>
                      <w:sz w:val="18"/>
                      <w:szCs w:val="18"/>
                    </w:rPr>
                    <w:t>（kg/h）</w:t>
                  </w:r>
                </w:p>
              </w:tc>
            </w:tr>
            <w:tr w14:paraId="6E3E8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303" w:type="pct"/>
                  <w:vMerge w:val="restart"/>
                  <w:noWrap w:val="0"/>
                  <w:vAlign w:val="center"/>
                </w:tcPr>
                <w:p w14:paraId="53225BDB">
                  <w:pPr>
                    <w:spacing w:line="200" w:lineRule="exact"/>
                    <w:jc w:val="center"/>
                    <w:rPr>
                      <w:rFonts w:hint="eastAsia" w:eastAsia="宋体"/>
                      <w:sz w:val="18"/>
                      <w:szCs w:val="18"/>
                      <w:lang w:val="en-US" w:eastAsia="zh-CN"/>
                    </w:rPr>
                  </w:pPr>
                  <w:r>
                    <w:rPr>
                      <w:rFonts w:hint="eastAsia"/>
                      <w:sz w:val="18"/>
                      <w:szCs w:val="18"/>
                    </w:rPr>
                    <w:t>锅炉</w:t>
                  </w:r>
                </w:p>
              </w:tc>
              <w:tc>
                <w:tcPr>
                  <w:tcW w:w="481" w:type="pct"/>
                  <w:noWrap w:val="0"/>
                  <w:vAlign w:val="center"/>
                </w:tcPr>
                <w:p w14:paraId="192052ED">
                  <w:pPr>
                    <w:spacing w:line="200" w:lineRule="exact"/>
                    <w:jc w:val="center"/>
                    <w:rPr>
                      <w:sz w:val="18"/>
                      <w:szCs w:val="18"/>
                    </w:rPr>
                  </w:pPr>
                  <w:r>
                    <w:rPr>
                      <w:rFonts w:hint="eastAsia"/>
                      <w:sz w:val="18"/>
                      <w:szCs w:val="18"/>
                    </w:rPr>
                    <w:t>PM</w:t>
                  </w:r>
                  <w:r>
                    <w:rPr>
                      <w:rFonts w:hint="eastAsia"/>
                      <w:sz w:val="18"/>
                      <w:szCs w:val="18"/>
                      <w:vertAlign w:val="subscript"/>
                    </w:rPr>
                    <w:t>10</w:t>
                  </w:r>
                </w:p>
              </w:tc>
              <w:tc>
                <w:tcPr>
                  <w:tcW w:w="553" w:type="pct"/>
                  <w:noWrap w:val="0"/>
                  <w:vAlign w:val="center"/>
                </w:tcPr>
                <w:p w14:paraId="6130E48D">
                  <w:pPr>
                    <w:spacing w:line="200" w:lineRule="exact"/>
                    <w:jc w:val="center"/>
                    <w:rPr>
                      <w:rFonts w:hint="default" w:eastAsia="宋体"/>
                      <w:color w:val="auto"/>
                      <w:sz w:val="18"/>
                      <w:szCs w:val="18"/>
                      <w:lang w:val="en-US" w:eastAsia="zh-CN"/>
                    </w:rPr>
                  </w:pPr>
                  <w:r>
                    <w:rPr>
                      <w:rFonts w:hint="eastAsia"/>
                      <w:color w:val="auto"/>
                      <w:sz w:val="18"/>
                      <w:szCs w:val="18"/>
                      <w:lang w:val="en-US" w:eastAsia="zh-CN"/>
                    </w:rPr>
                    <w:t>0.3432</w:t>
                  </w:r>
                </w:p>
              </w:tc>
              <w:tc>
                <w:tcPr>
                  <w:tcW w:w="886" w:type="pct"/>
                  <w:noWrap w:val="0"/>
                  <w:vAlign w:val="center"/>
                </w:tcPr>
                <w:p w14:paraId="07645255">
                  <w:pPr>
                    <w:spacing w:line="200" w:lineRule="exact"/>
                    <w:jc w:val="center"/>
                    <w:rPr>
                      <w:rFonts w:hint="default" w:eastAsia="宋体"/>
                      <w:color w:val="auto"/>
                      <w:sz w:val="18"/>
                      <w:szCs w:val="18"/>
                      <w:lang w:val="en-US" w:eastAsia="zh-CN"/>
                    </w:rPr>
                  </w:pPr>
                  <w:r>
                    <w:rPr>
                      <w:rFonts w:hint="eastAsia"/>
                      <w:color w:val="auto"/>
                      <w:sz w:val="18"/>
                      <w:szCs w:val="18"/>
                      <w:lang w:val="en-US" w:eastAsia="zh-CN"/>
                    </w:rPr>
                    <w:t>2.85</w:t>
                  </w:r>
                </w:p>
              </w:tc>
              <w:tc>
                <w:tcPr>
                  <w:tcW w:w="600" w:type="pct"/>
                  <w:noWrap w:val="0"/>
                  <w:vAlign w:val="center"/>
                </w:tcPr>
                <w:p w14:paraId="696488FE">
                  <w:pPr>
                    <w:spacing w:line="200" w:lineRule="exact"/>
                    <w:jc w:val="center"/>
                    <w:rPr>
                      <w:color w:val="auto"/>
                      <w:sz w:val="18"/>
                      <w:szCs w:val="18"/>
                    </w:rPr>
                  </w:pPr>
                  <w:r>
                    <w:rPr>
                      <w:rFonts w:hint="eastAsia"/>
                      <w:color w:val="auto"/>
                      <w:sz w:val="18"/>
                      <w:szCs w:val="18"/>
                    </w:rPr>
                    <w:t>-</w:t>
                  </w:r>
                </w:p>
              </w:tc>
              <w:tc>
                <w:tcPr>
                  <w:tcW w:w="602" w:type="pct"/>
                  <w:noWrap w:val="0"/>
                  <w:vAlign w:val="center"/>
                </w:tcPr>
                <w:p w14:paraId="4D09C9E6">
                  <w:pPr>
                    <w:spacing w:line="200" w:lineRule="exact"/>
                    <w:jc w:val="center"/>
                    <w:rPr>
                      <w:rFonts w:hint="default" w:eastAsia="宋体"/>
                      <w:color w:val="auto"/>
                      <w:sz w:val="18"/>
                      <w:szCs w:val="18"/>
                      <w:lang w:val="en-US" w:eastAsia="zh-CN"/>
                    </w:rPr>
                  </w:pPr>
                  <w:r>
                    <w:rPr>
                      <w:rFonts w:hint="eastAsia"/>
                      <w:color w:val="auto"/>
                      <w:sz w:val="18"/>
                      <w:szCs w:val="18"/>
                      <w:lang w:val="en-US" w:eastAsia="zh-CN"/>
                    </w:rPr>
                    <w:t>0.3432</w:t>
                  </w:r>
                </w:p>
              </w:tc>
              <w:tc>
                <w:tcPr>
                  <w:tcW w:w="833" w:type="pct"/>
                  <w:noWrap w:val="0"/>
                  <w:vAlign w:val="center"/>
                </w:tcPr>
                <w:p w14:paraId="62886445">
                  <w:pPr>
                    <w:spacing w:line="200" w:lineRule="exact"/>
                    <w:jc w:val="center"/>
                    <w:rPr>
                      <w:rFonts w:hint="default" w:eastAsia="宋体"/>
                      <w:color w:val="auto"/>
                      <w:sz w:val="18"/>
                      <w:szCs w:val="18"/>
                      <w:lang w:val="en-US" w:eastAsia="zh-CN"/>
                    </w:rPr>
                  </w:pPr>
                  <w:r>
                    <w:rPr>
                      <w:rFonts w:hint="eastAsia"/>
                      <w:color w:val="auto"/>
                      <w:sz w:val="18"/>
                      <w:szCs w:val="18"/>
                      <w:lang w:val="en-US" w:eastAsia="zh-CN"/>
                    </w:rPr>
                    <w:t>2.85</w:t>
                  </w:r>
                </w:p>
              </w:tc>
              <w:tc>
                <w:tcPr>
                  <w:tcW w:w="738" w:type="pct"/>
                  <w:noWrap w:val="0"/>
                  <w:vAlign w:val="center"/>
                </w:tcPr>
                <w:p w14:paraId="592D2873">
                  <w:pPr>
                    <w:spacing w:line="200" w:lineRule="exact"/>
                    <w:jc w:val="center"/>
                    <w:rPr>
                      <w:rFonts w:hint="default" w:eastAsia="宋体"/>
                      <w:color w:val="auto"/>
                      <w:sz w:val="18"/>
                      <w:szCs w:val="18"/>
                      <w:lang w:val="en-US" w:eastAsia="zh-CN"/>
                    </w:rPr>
                  </w:pPr>
                  <w:r>
                    <w:rPr>
                      <w:rFonts w:hint="eastAsia"/>
                      <w:color w:val="auto"/>
                      <w:sz w:val="18"/>
                      <w:szCs w:val="18"/>
                      <w:lang w:val="en-US" w:eastAsia="zh-CN"/>
                    </w:rPr>
                    <w:t>0.050</w:t>
                  </w:r>
                </w:p>
              </w:tc>
            </w:tr>
            <w:tr w14:paraId="76930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303" w:type="pct"/>
                  <w:vMerge w:val="continue"/>
                  <w:noWrap w:val="0"/>
                  <w:vAlign w:val="center"/>
                </w:tcPr>
                <w:p w14:paraId="58B22ED3">
                  <w:pPr>
                    <w:spacing w:line="200" w:lineRule="exact"/>
                    <w:jc w:val="center"/>
                    <w:rPr>
                      <w:sz w:val="18"/>
                      <w:szCs w:val="18"/>
                    </w:rPr>
                  </w:pPr>
                </w:p>
              </w:tc>
              <w:tc>
                <w:tcPr>
                  <w:tcW w:w="481" w:type="pct"/>
                  <w:shd w:val="clear" w:color="auto" w:fill="auto"/>
                  <w:noWrap w:val="0"/>
                  <w:vAlign w:val="center"/>
                </w:tcPr>
                <w:p w14:paraId="1573B3E1">
                  <w:pPr>
                    <w:spacing w:line="200" w:lineRule="exact"/>
                    <w:jc w:val="center"/>
                    <w:rPr>
                      <w:rFonts w:ascii="Times New Roman" w:hAnsi="Times New Roman" w:eastAsia="宋体" w:cs="Times New Roman"/>
                      <w:kern w:val="2"/>
                      <w:sz w:val="18"/>
                      <w:szCs w:val="18"/>
                      <w:lang w:val="en-US" w:eastAsia="zh-CN" w:bidi="ar-SA"/>
                    </w:rPr>
                  </w:pPr>
                  <w:r>
                    <w:rPr>
                      <w:rFonts w:hint="eastAsia"/>
                      <w:sz w:val="18"/>
                      <w:szCs w:val="18"/>
                    </w:rPr>
                    <w:t>SO</w:t>
                  </w:r>
                  <w:r>
                    <w:rPr>
                      <w:rFonts w:hint="eastAsia"/>
                      <w:sz w:val="18"/>
                      <w:szCs w:val="18"/>
                      <w:vertAlign w:val="subscript"/>
                    </w:rPr>
                    <w:t>2</w:t>
                  </w:r>
                </w:p>
              </w:tc>
              <w:tc>
                <w:tcPr>
                  <w:tcW w:w="553" w:type="pct"/>
                  <w:shd w:val="clear" w:color="auto" w:fill="auto"/>
                  <w:noWrap w:val="0"/>
                  <w:vAlign w:val="center"/>
                </w:tcPr>
                <w:p w14:paraId="0EE24F7E">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0.0480</w:t>
                  </w:r>
                </w:p>
              </w:tc>
              <w:tc>
                <w:tcPr>
                  <w:tcW w:w="886" w:type="pct"/>
                  <w:shd w:val="clear" w:color="auto" w:fill="auto"/>
                  <w:noWrap w:val="0"/>
                  <w:vAlign w:val="center"/>
                </w:tcPr>
                <w:p w14:paraId="45A3A320">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3.99</w:t>
                  </w:r>
                </w:p>
              </w:tc>
              <w:tc>
                <w:tcPr>
                  <w:tcW w:w="600" w:type="pct"/>
                  <w:shd w:val="clear" w:color="auto" w:fill="auto"/>
                  <w:noWrap w:val="0"/>
                  <w:vAlign w:val="center"/>
                </w:tcPr>
                <w:p w14:paraId="69889301">
                  <w:pPr>
                    <w:spacing w:line="200" w:lineRule="exact"/>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rPr>
                    <w:t>-</w:t>
                  </w:r>
                </w:p>
              </w:tc>
              <w:tc>
                <w:tcPr>
                  <w:tcW w:w="602" w:type="pct"/>
                  <w:shd w:val="clear" w:color="auto" w:fill="auto"/>
                  <w:noWrap w:val="0"/>
                  <w:vAlign w:val="center"/>
                </w:tcPr>
                <w:p w14:paraId="3D3F2033">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0.0480</w:t>
                  </w:r>
                </w:p>
              </w:tc>
              <w:tc>
                <w:tcPr>
                  <w:tcW w:w="833" w:type="pct"/>
                  <w:shd w:val="clear" w:color="auto" w:fill="auto"/>
                  <w:noWrap w:val="0"/>
                  <w:vAlign w:val="center"/>
                </w:tcPr>
                <w:p w14:paraId="48C0B75D">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3.99</w:t>
                  </w:r>
                </w:p>
              </w:tc>
              <w:tc>
                <w:tcPr>
                  <w:tcW w:w="738" w:type="pct"/>
                  <w:shd w:val="clear" w:color="auto" w:fill="auto"/>
                  <w:noWrap w:val="0"/>
                  <w:vAlign w:val="center"/>
                </w:tcPr>
                <w:p w14:paraId="6CB8A08F">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0.007</w:t>
                  </w:r>
                </w:p>
              </w:tc>
            </w:tr>
            <w:tr w14:paraId="2482DB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03" w:type="pct"/>
                  <w:vMerge w:val="continue"/>
                  <w:noWrap w:val="0"/>
                  <w:vAlign w:val="center"/>
                </w:tcPr>
                <w:p w14:paraId="370B85F7">
                  <w:pPr>
                    <w:spacing w:line="200" w:lineRule="exact"/>
                    <w:jc w:val="center"/>
                    <w:rPr>
                      <w:sz w:val="18"/>
                      <w:szCs w:val="18"/>
                    </w:rPr>
                  </w:pPr>
                </w:p>
              </w:tc>
              <w:tc>
                <w:tcPr>
                  <w:tcW w:w="481" w:type="pct"/>
                  <w:shd w:val="clear" w:color="auto" w:fill="auto"/>
                  <w:noWrap w:val="0"/>
                  <w:vAlign w:val="center"/>
                </w:tcPr>
                <w:p w14:paraId="50848C56">
                  <w:pPr>
                    <w:spacing w:line="200" w:lineRule="exact"/>
                    <w:jc w:val="center"/>
                    <w:rPr>
                      <w:rFonts w:ascii="Times New Roman" w:hAnsi="Times New Roman" w:eastAsia="宋体" w:cs="Times New Roman"/>
                      <w:kern w:val="2"/>
                      <w:sz w:val="18"/>
                      <w:szCs w:val="18"/>
                      <w:lang w:val="en-US" w:eastAsia="zh-CN" w:bidi="ar-SA"/>
                    </w:rPr>
                  </w:pPr>
                  <w:r>
                    <w:rPr>
                      <w:rFonts w:hint="eastAsia"/>
                      <w:sz w:val="18"/>
                      <w:szCs w:val="18"/>
                    </w:rPr>
                    <w:t>NO</w:t>
                  </w:r>
                  <w:r>
                    <w:rPr>
                      <w:rFonts w:hint="eastAsia"/>
                      <w:sz w:val="18"/>
                      <w:szCs w:val="18"/>
                      <w:vertAlign w:val="subscript"/>
                    </w:rPr>
                    <w:t>x</w:t>
                  </w:r>
                </w:p>
              </w:tc>
              <w:tc>
                <w:tcPr>
                  <w:tcW w:w="553" w:type="pct"/>
                  <w:shd w:val="clear" w:color="auto" w:fill="auto"/>
                  <w:noWrap w:val="0"/>
                  <w:vAlign w:val="center"/>
                </w:tcPr>
                <w:p w14:paraId="6D047CD6">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0.9030</w:t>
                  </w:r>
                </w:p>
              </w:tc>
              <w:tc>
                <w:tcPr>
                  <w:tcW w:w="886" w:type="pct"/>
                  <w:shd w:val="clear" w:color="auto" w:fill="auto"/>
                  <w:noWrap w:val="0"/>
                  <w:vAlign w:val="center"/>
                </w:tcPr>
                <w:p w14:paraId="0C06EDCB">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75.0</w:t>
                  </w:r>
                </w:p>
              </w:tc>
              <w:tc>
                <w:tcPr>
                  <w:tcW w:w="600" w:type="pct"/>
                  <w:shd w:val="clear" w:color="auto" w:fill="auto"/>
                  <w:noWrap w:val="0"/>
                  <w:vAlign w:val="center"/>
                </w:tcPr>
                <w:p w14:paraId="24F03E88">
                  <w:pPr>
                    <w:spacing w:line="2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w:t>
                  </w:r>
                </w:p>
              </w:tc>
              <w:tc>
                <w:tcPr>
                  <w:tcW w:w="602" w:type="pct"/>
                  <w:shd w:val="clear" w:color="auto" w:fill="auto"/>
                  <w:noWrap w:val="0"/>
                  <w:vAlign w:val="center"/>
                </w:tcPr>
                <w:p w14:paraId="5CE68A2F">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0.6020</w:t>
                  </w:r>
                </w:p>
              </w:tc>
              <w:tc>
                <w:tcPr>
                  <w:tcW w:w="833" w:type="pct"/>
                  <w:shd w:val="clear" w:color="auto" w:fill="auto"/>
                  <w:noWrap w:val="0"/>
                  <w:vAlign w:val="center"/>
                </w:tcPr>
                <w:p w14:paraId="61E8F8F6">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50.0</w:t>
                  </w:r>
                </w:p>
              </w:tc>
              <w:tc>
                <w:tcPr>
                  <w:tcW w:w="738" w:type="pct"/>
                  <w:shd w:val="clear" w:color="auto" w:fill="auto"/>
                  <w:noWrap w:val="0"/>
                  <w:vAlign w:val="center"/>
                </w:tcPr>
                <w:p w14:paraId="0E8373AF">
                  <w:pPr>
                    <w:spacing w:line="20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0.087</w:t>
                  </w:r>
                </w:p>
              </w:tc>
            </w:tr>
          </w:tbl>
          <w:p w14:paraId="69DC3969">
            <w:pPr>
              <w:autoSpaceDE w:val="0"/>
              <w:autoSpaceDN w:val="0"/>
              <w:spacing w:line="360" w:lineRule="auto"/>
              <w:ind w:firstLine="420" w:firstLineChars="200"/>
              <w:rPr>
                <w:rFonts w:hint="eastAsia" w:cs="Times New Roman"/>
                <w:szCs w:val="21"/>
                <w:lang w:val="en-US" w:eastAsia="zh-CN"/>
              </w:rPr>
            </w:pPr>
            <w:r>
              <w:rPr>
                <w:rFonts w:ascii="Times New Roman" w:hAnsi="Times New Roman"/>
                <w:szCs w:val="21"/>
              </w:rPr>
              <w:t>由此可见，本项目锅炉废气污染物颗粒物、SO</w:t>
            </w:r>
            <w:r>
              <w:rPr>
                <w:rFonts w:ascii="Times New Roman" w:hAnsi="Times New Roman"/>
                <w:szCs w:val="21"/>
                <w:vertAlign w:val="subscript"/>
              </w:rPr>
              <w:t>2</w:t>
            </w:r>
            <w:r>
              <w:rPr>
                <w:rFonts w:ascii="Times New Roman" w:hAnsi="Times New Roman"/>
                <w:szCs w:val="21"/>
              </w:rPr>
              <w:t>、NO</w:t>
            </w:r>
            <w:r>
              <w:rPr>
                <w:rFonts w:ascii="Times New Roman" w:hAnsi="Times New Roman"/>
                <w:szCs w:val="21"/>
                <w:vertAlign w:val="subscript"/>
              </w:rPr>
              <w:t>x</w:t>
            </w:r>
            <w:r>
              <w:rPr>
                <w:rFonts w:hint="eastAsia" w:ascii="Times New Roman" w:hAnsi="Times New Roman"/>
                <w:szCs w:val="21"/>
                <w:vertAlign w:val="baseline"/>
                <w:lang w:val="en-US" w:eastAsia="zh-CN"/>
              </w:rPr>
              <w:t>的</w:t>
            </w:r>
            <w:r>
              <w:rPr>
                <w:rFonts w:ascii="Times New Roman" w:hAnsi="Times New Roman"/>
                <w:szCs w:val="21"/>
              </w:rPr>
              <w:t>排放均满足参考执行《锅炉大气污染物排放标准》（DB14/1929</w:t>
            </w:r>
            <w:r>
              <w:rPr>
                <w:rFonts w:hint="eastAsia"/>
                <w:szCs w:val="21"/>
                <w:lang w:val="en-US" w:eastAsia="zh-CN"/>
              </w:rPr>
              <w:t>-</w:t>
            </w:r>
            <w:r>
              <w:rPr>
                <w:rFonts w:ascii="Times New Roman" w:hAnsi="Times New Roman"/>
                <w:szCs w:val="21"/>
              </w:rPr>
              <w:t>2019）中表</w:t>
            </w:r>
            <w:r>
              <w:rPr>
                <w:rFonts w:hint="eastAsia" w:ascii="Times New Roman" w:hAnsi="Times New Roman"/>
                <w:szCs w:val="21"/>
              </w:rPr>
              <w:t>3</w:t>
            </w:r>
            <w:r>
              <w:rPr>
                <w:rFonts w:ascii="Times New Roman" w:hAnsi="Times New Roman"/>
                <w:szCs w:val="21"/>
              </w:rPr>
              <w:t>中的燃气锅炉大气污染物排放浓度限值要求。处理后的废气经</w:t>
            </w:r>
            <w:r>
              <w:rPr>
                <w:rFonts w:hint="eastAsia" w:ascii="Times New Roman" w:hAnsi="Times New Roman"/>
                <w:szCs w:val="21"/>
              </w:rPr>
              <w:t>一根</w:t>
            </w:r>
            <w:r>
              <w:rPr>
                <w:rFonts w:ascii="Times New Roman" w:hAnsi="Times New Roman"/>
                <w:szCs w:val="21"/>
              </w:rPr>
              <w:t>排气筒排放至大气环境</w:t>
            </w:r>
            <w:r>
              <w:rPr>
                <w:rFonts w:hint="eastAsia" w:ascii="Times New Roman" w:hAnsi="Times New Roman"/>
                <w:szCs w:val="21"/>
              </w:rPr>
              <w:t>，DA00</w:t>
            </w:r>
            <w:r>
              <w:rPr>
                <w:rFonts w:hint="eastAsia"/>
                <w:szCs w:val="21"/>
                <w:lang w:val="en-US" w:eastAsia="zh-CN"/>
              </w:rPr>
              <w:t>4</w:t>
            </w:r>
            <w:r>
              <w:rPr>
                <w:rFonts w:hint="eastAsia"/>
                <w:szCs w:val="21"/>
                <w:lang w:eastAsia="zh-CN"/>
              </w:rPr>
              <w:t>（</w:t>
            </w:r>
            <w:r>
              <w:rPr>
                <w:rFonts w:hint="eastAsia" w:ascii="Times New Roman" w:hAnsi="Times New Roman"/>
                <w:szCs w:val="21"/>
                <w:lang w:val="en-US" w:eastAsia="zh-CN"/>
              </w:rPr>
              <w:t>H8m，</w:t>
            </w:r>
            <w:r>
              <w:rPr>
                <w:rFonts w:hint="eastAsia" w:ascii="Times New Roman" w:hAnsi="Times New Roman"/>
                <w:szCs w:val="21"/>
              </w:rPr>
              <w:t>φ0.3m</w:t>
            </w:r>
            <w:r>
              <w:rPr>
                <w:rFonts w:hint="eastAsia"/>
                <w:szCs w:val="21"/>
                <w:lang w:eastAsia="zh-CN"/>
              </w:rPr>
              <w:t>）</w:t>
            </w:r>
            <w:r>
              <w:rPr>
                <w:rFonts w:hint="eastAsia" w:ascii="Times New Roman" w:hAnsi="Times New Roman"/>
                <w:szCs w:val="21"/>
              </w:rPr>
              <w:t>。</w:t>
            </w:r>
          </w:p>
          <w:p w14:paraId="182E97C1">
            <w:pPr>
              <w:autoSpaceDE w:val="0"/>
              <w:autoSpaceDN w:val="0"/>
              <w:spacing w:line="360" w:lineRule="auto"/>
              <w:ind w:firstLine="422" w:firstLineChars="200"/>
              <w:rPr>
                <w:rFonts w:hint="default" w:cs="Times New Roman"/>
                <w:b/>
                <w:bCs/>
                <w:szCs w:val="21"/>
                <w:lang w:val="en-US" w:eastAsia="zh-CN"/>
              </w:rPr>
            </w:pPr>
            <w:r>
              <w:rPr>
                <w:rFonts w:hint="eastAsia" w:cs="Times New Roman"/>
                <w:b/>
                <w:bCs/>
                <w:szCs w:val="21"/>
                <w:lang w:val="en-US" w:eastAsia="zh-CN"/>
              </w:rPr>
              <w:t>（4）隧道窑烟气</w:t>
            </w:r>
          </w:p>
          <w:p w14:paraId="7324F61B">
            <w:pPr>
              <w:autoSpaceDE w:val="0"/>
              <w:autoSpaceDN w:val="0"/>
              <w:spacing w:line="360" w:lineRule="auto"/>
              <w:ind w:firstLine="420" w:firstLineChars="200"/>
              <w:rPr>
                <w:rFonts w:hint="eastAsia" w:ascii="Times New Roman" w:hAnsi="Times New Roman" w:cs="Times New Roman"/>
                <w:szCs w:val="21"/>
                <w:lang w:val="en-US" w:eastAsia="zh-CN"/>
              </w:rPr>
            </w:pPr>
            <w:r>
              <w:rPr>
                <w:rFonts w:hint="eastAsia" w:cs="Times New Roman"/>
                <w:szCs w:val="21"/>
                <w:lang w:val="en-US" w:eastAsia="zh-CN"/>
              </w:rPr>
              <w:t>根据工程分析可知，</w:t>
            </w:r>
            <w:r>
              <w:rPr>
                <w:rFonts w:hint="eastAsia" w:ascii="Times New Roman" w:hAnsi="Times New Roman" w:cs="Times New Roman"/>
                <w:szCs w:val="21"/>
                <w:lang w:val="en-US" w:eastAsia="zh-CN"/>
              </w:rPr>
              <w:t>本项目年产5000 m</w:t>
            </w:r>
            <w:r>
              <w:rPr>
                <w:rFonts w:hint="eastAsia" w:ascii="Times New Roman" w:hAnsi="Times New Roman" w:cs="Times New Roman"/>
                <w:szCs w:val="21"/>
                <w:vertAlign w:val="superscript"/>
                <w:lang w:val="en-US" w:eastAsia="zh-CN"/>
              </w:rPr>
              <w:t>3</w:t>
            </w:r>
            <w:r>
              <w:rPr>
                <w:rFonts w:hint="eastAsia" w:ascii="Times New Roman" w:hAnsi="Times New Roman" w:cs="Times New Roman"/>
                <w:szCs w:val="21"/>
                <w:lang w:val="en-US" w:eastAsia="zh-CN"/>
              </w:rPr>
              <w:t>仿古青砖砖雕产品，成型雕刻后的砖雕坯体经干燥（利用隧道窑冷却余热，不消耗天然气），干燥后坯体含水率＜6%，送入天然气隧道窑烧制。隧道窑分为预热带、烧成带、还原冷却带、冷却带；烧成带温度控制 950</w:t>
            </w:r>
            <w:r>
              <w:rPr>
                <w:rFonts w:hint="eastAsia" w:ascii="Times New Roman" w:hAnsi="Times New Roman" w:cs="Times New Roman"/>
                <w:szCs w:val="21"/>
                <w:lang w:val="en-US" w:eastAsia="zh-CN"/>
              </w:rPr>
              <w:noBreakHyphen/>
            </w:r>
            <w:r>
              <w:rPr>
                <w:rFonts w:hint="eastAsia" w:ascii="Times New Roman" w:hAnsi="Times New Roman" w:cs="Times New Roman"/>
                <w:szCs w:val="21"/>
                <w:lang w:val="en-US" w:eastAsia="zh-CN"/>
              </w:rPr>
              <w:t>1050℃，砖雕坯体在窑内总烧制周期约37~40h，其中烧成带高温保温时间5</w:t>
            </w:r>
            <w:r>
              <w:rPr>
                <w:rFonts w:hint="eastAsia" w:ascii="Times New Roman" w:hAnsi="Times New Roman" w:cs="Times New Roman"/>
                <w:szCs w:val="21"/>
                <w:lang w:val="en-US" w:eastAsia="zh-CN"/>
              </w:rPr>
              <w:noBreakHyphen/>
            </w:r>
            <w:r>
              <w:rPr>
                <w:rFonts w:hint="eastAsia" w:ascii="Times New Roman" w:hAnsi="Times New Roman" w:cs="Times New Roman"/>
                <w:szCs w:val="21"/>
                <w:lang w:val="en-US" w:eastAsia="zh-CN"/>
              </w:rPr>
              <w:t>7h；在 900</w:t>
            </w:r>
            <w:r>
              <w:rPr>
                <w:rFonts w:hint="eastAsia" w:ascii="Times New Roman" w:hAnsi="Times New Roman" w:cs="Times New Roman"/>
                <w:szCs w:val="21"/>
                <w:lang w:val="en-US" w:eastAsia="zh-CN"/>
              </w:rPr>
              <w:noBreakHyphen/>
            </w:r>
            <w:r>
              <w:rPr>
                <w:rFonts w:hint="eastAsia" w:ascii="Times New Roman" w:hAnsi="Times New Roman" w:cs="Times New Roman"/>
                <w:szCs w:val="21"/>
                <w:lang w:val="en-US" w:eastAsia="zh-CN"/>
              </w:rPr>
              <w:t>500℃区间喷水汽进行还原闷青处理得到青砖砖雕成品。隧道窑配置天然气低氮烧嘴，市政管道天然气直接在窑膛内燃烧供热，天然气低位热值 34.0MJ/Nm³，总硫20mg/Nm³。本项目砖雕成品密度取1.9t/m</w:t>
            </w:r>
            <w:r>
              <w:rPr>
                <w:rFonts w:hint="eastAsia" w:ascii="Times New Roman" w:hAnsi="Times New Roman" w:cs="Times New Roman"/>
                <w:szCs w:val="21"/>
                <w:vertAlign w:val="superscript"/>
                <w:lang w:val="en-US" w:eastAsia="zh-CN"/>
              </w:rPr>
              <w:t>3</w:t>
            </w:r>
            <w:r>
              <w:rPr>
                <w:rFonts w:hint="eastAsia" w:ascii="Times New Roman" w:hAnsi="Times New Roman" w:cs="Times New Roman"/>
                <w:szCs w:val="21"/>
                <w:lang w:val="en-US" w:eastAsia="zh-CN"/>
              </w:rPr>
              <w:t>，年产量约9500t；隧道窑焙烧还原工序天然气消耗取110Nm</w:t>
            </w:r>
            <w:r>
              <w:rPr>
                <w:rFonts w:hint="eastAsia" w:ascii="Times New Roman" w:hAnsi="Times New Roman" w:cs="Times New Roman"/>
                <w:szCs w:val="21"/>
                <w:vertAlign w:val="superscript"/>
                <w:lang w:val="en-US" w:eastAsia="zh-CN"/>
              </w:rPr>
              <w:t>3</w:t>
            </w:r>
            <w:r>
              <w:rPr>
                <w:rFonts w:hint="eastAsia" w:ascii="Times New Roman" w:hAnsi="Times New Roman" w:cs="Times New Roman"/>
                <w:szCs w:val="21"/>
                <w:lang w:val="en-US" w:eastAsia="zh-CN"/>
              </w:rPr>
              <w:t>/t 成品，年消耗天然气量约为104.5万Nm</w:t>
            </w:r>
            <w:r>
              <w:rPr>
                <w:rFonts w:hint="eastAsia" w:ascii="Times New Roman" w:hAnsi="Times New Roman" w:cs="Times New Roman"/>
                <w:szCs w:val="21"/>
                <w:vertAlign w:val="superscript"/>
                <w:lang w:val="en-US" w:eastAsia="zh-CN"/>
              </w:rPr>
              <w:t>3</w:t>
            </w:r>
            <w:r>
              <w:rPr>
                <w:rFonts w:hint="eastAsia" w:ascii="Times New Roman" w:hAnsi="Times New Roman" w:cs="Times New Roman"/>
                <w:szCs w:val="21"/>
                <w:lang w:val="en-US" w:eastAsia="zh-CN"/>
              </w:rPr>
              <w:t>，窑炉连续运行小时耗气量约145.1Nm</w:t>
            </w:r>
            <w:r>
              <w:rPr>
                <w:rFonts w:hint="eastAsia" w:ascii="Times New Roman" w:hAnsi="Times New Roman" w:cs="Times New Roman"/>
                <w:szCs w:val="21"/>
                <w:vertAlign w:val="superscript"/>
                <w:lang w:val="en-US" w:eastAsia="zh-CN"/>
              </w:rPr>
              <w:t>3</w:t>
            </w:r>
            <w:r>
              <w:rPr>
                <w:rFonts w:hint="eastAsia" w:ascii="Times New Roman" w:hAnsi="Times New Roman" w:cs="Times New Roman"/>
                <w:szCs w:val="21"/>
                <w:lang w:val="en-US" w:eastAsia="zh-CN"/>
              </w:rPr>
              <w:t>/h，运行时间7200h/a。</w:t>
            </w:r>
          </w:p>
          <w:p w14:paraId="04548D12">
            <w:pPr>
              <w:spacing w:line="360" w:lineRule="auto"/>
              <w:ind w:firstLine="444" w:firstLineChars="200"/>
              <w:rPr>
                <w:rFonts w:hint="eastAsia"/>
                <w:bCs/>
                <w:color w:val="auto"/>
                <w:szCs w:val="21"/>
              </w:rPr>
            </w:pPr>
            <w:r>
              <w:rPr>
                <w:color w:val="auto"/>
                <w:spacing w:val="6"/>
                <w:szCs w:val="21"/>
              </w:rPr>
              <w:t>参考</w:t>
            </w:r>
            <w:r>
              <w:rPr>
                <w:rFonts w:hint="eastAsia" w:cs="Times New Roman"/>
                <w:color w:val="auto"/>
                <w:sz w:val="21"/>
                <w:szCs w:val="21"/>
                <w:lang w:val="en-US" w:eastAsia="zh-CN"/>
              </w:rPr>
              <w:t>《排污许可证申请与合法技术规范 工业炉窑》（HJ1121-2020）表6中加热炉、热处理炉、干燥炉（窑）排放口参考绩效值表中的数据</w:t>
            </w:r>
            <w:r>
              <w:rPr>
                <w:color w:val="auto"/>
                <w:spacing w:val="6"/>
                <w:szCs w:val="21"/>
              </w:rPr>
              <w:t>，</w:t>
            </w:r>
            <w:r>
              <w:rPr>
                <w:rFonts w:hint="eastAsia"/>
                <w:bCs/>
                <w:color w:val="auto"/>
                <w:szCs w:val="21"/>
                <w:lang w:val="en-US" w:eastAsia="zh-CN"/>
              </w:rPr>
              <w:t>颗粒物</w:t>
            </w:r>
            <w:r>
              <w:rPr>
                <w:rFonts w:hint="eastAsia"/>
                <w:bCs/>
                <w:color w:val="auto"/>
                <w:szCs w:val="21"/>
              </w:rPr>
              <w:t>、SO</w:t>
            </w:r>
            <w:r>
              <w:rPr>
                <w:rFonts w:hint="eastAsia"/>
                <w:bCs/>
                <w:color w:val="auto"/>
                <w:szCs w:val="21"/>
                <w:vertAlign w:val="subscript"/>
              </w:rPr>
              <w:t>2</w:t>
            </w:r>
            <w:r>
              <w:rPr>
                <w:rFonts w:hint="eastAsia"/>
                <w:bCs/>
                <w:color w:val="auto"/>
                <w:szCs w:val="21"/>
              </w:rPr>
              <w:t>、NO</w:t>
            </w:r>
            <w:r>
              <w:rPr>
                <w:rFonts w:hint="eastAsia"/>
                <w:bCs/>
                <w:color w:val="auto"/>
                <w:szCs w:val="21"/>
                <w:vertAlign w:val="subscript"/>
              </w:rPr>
              <w:t>x</w:t>
            </w:r>
            <w:r>
              <w:rPr>
                <w:rFonts w:hint="eastAsia"/>
                <w:bCs/>
                <w:color w:val="auto"/>
                <w:szCs w:val="21"/>
              </w:rPr>
              <w:t>产污系数见</w:t>
            </w:r>
            <w:r>
              <w:rPr>
                <w:rFonts w:hint="eastAsia"/>
                <w:bCs/>
                <w:color w:val="auto"/>
                <w:szCs w:val="21"/>
                <w:lang w:val="en-US" w:eastAsia="zh-CN"/>
              </w:rPr>
              <w:t>下</w:t>
            </w:r>
            <w:r>
              <w:rPr>
                <w:rFonts w:hint="eastAsia"/>
                <w:bCs/>
                <w:color w:val="auto"/>
                <w:szCs w:val="21"/>
              </w:rPr>
              <w:t>表</w:t>
            </w:r>
            <w:r>
              <w:rPr>
                <w:rFonts w:hint="eastAsia"/>
                <w:bCs/>
                <w:color w:val="auto"/>
                <w:szCs w:val="21"/>
                <w:lang w:val="en-US" w:eastAsia="zh-CN"/>
              </w:rPr>
              <w:t>所示</w:t>
            </w:r>
            <w:r>
              <w:rPr>
                <w:rFonts w:hint="eastAsia"/>
                <w:bCs/>
                <w:color w:val="auto"/>
                <w:szCs w:val="21"/>
              </w:rPr>
              <w:t>。</w:t>
            </w:r>
          </w:p>
          <w:p w14:paraId="595121B1">
            <w:pPr>
              <w:jc w:val="center"/>
              <w:rPr>
                <w:rFonts w:hint="default" w:eastAsia="宋体"/>
                <w:b/>
                <w:color w:val="auto"/>
                <w:sz w:val="18"/>
                <w:szCs w:val="18"/>
                <w:lang w:val="en-US" w:eastAsia="zh-CN"/>
              </w:rPr>
            </w:pPr>
            <w:r>
              <w:rPr>
                <w:b/>
                <w:color w:val="auto"/>
                <w:sz w:val="18"/>
                <w:szCs w:val="18"/>
              </w:rPr>
              <w:t>表</w:t>
            </w:r>
            <w:r>
              <w:rPr>
                <w:rFonts w:hint="eastAsia"/>
                <w:b/>
                <w:color w:val="auto"/>
                <w:sz w:val="18"/>
                <w:szCs w:val="18"/>
                <w:lang w:val="en-US" w:eastAsia="zh-CN"/>
              </w:rPr>
              <w:t>4.1</w:t>
            </w:r>
            <w:r>
              <w:rPr>
                <w:rFonts w:hint="eastAsia"/>
                <w:b/>
                <w:color w:val="auto"/>
                <w:sz w:val="18"/>
                <w:szCs w:val="18"/>
              </w:rPr>
              <w:t>-</w:t>
            </w:r>
            <w:r>
              <w:rPr>
                <w:rFonts w:hint="eastAsia"/>
                <w:b/>
                <w:color w:val="auto"/>
                <w:sz w:val="18"/>
                <w:szCs w:val="18"/>
                <w:lang w:val="en-US" w:eastAsia="zh-CN"/>
              </w:rPr>
              <w:t xml:space="preserve">7    </w:t>
            </w:r>
            <w:r>
              <w:rPr>
                <w:rFonts w:hint="eastAsia"/>
                <w:b/>
                <w:color w:val="auto"/>
                <w:sz w:val="18"/>
                <w:szCs w:val="18"/>
              </w:rPr>
              <w:t>产污系数一览表</w:t>
            </w:r>
            <w:r>
              <w:rPr>
                <w:rFonts w:hint="eastAsia"/>
                <w:b/>
                <w:color w:val="auto"/>
                <w:sz w:val="18"/>
                <w:szCs w:val="18"/>
                <w:lang w:eastAsia="zh-CN"/>
              </w:rPr>
              <w:t>（</w:t>
            </w:r>
            <w:r>
              <w:rPr>
                <w:rFonts w:hint="eastAsia"/>
                <w:b/>
                <w:color w:val="auto"/>
                <w:sz w:val="18"/>
                <w:szCs w:val="18"/>
                <w:lang w:val="en-US" w:eastAsia="zh-CN"/>
              </w:rPr>
              <w:t>气体燃料）</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172"/>
              <w:gridCol w:w="987"/>
              <w:gridCol w:w="953"/>
              <w:gridCol w:w="860"/>
              <w:gridCol w:w="873"/>
              <w:gridCol w:w="968"/>
              <w:gridCol w:w="1061"/>
            </w:tblGrid>
            <w:tr w14:paraId="2228C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8" w:type="pct"/>
                  <w:vMerge w:val="restart"/>
                  <w:noWrap w:val="0"/>
                  <w:vAlign w:val="center"/>
                </w:tcPr>
                <w:p w14:paraId="38F4A973">
                  <w:pPr>
                    <w:widowControl/>
                    <w:snapToGrid w:val="0"/>
                    <w:jc w:val="center"/>
                    <w:rPr>
                      <w:rFonts w:hint="eastAsia" w:eastAsia="宋体"/>
                      <w:color w:val="auto"/>
                      <w:kern w:val="0"/>
                      <w:sz w:val="18"/>
                      <w:szCs w:val="18"/>
                      <w:lang w:eastAsia="zh-CN"/>
                    </w:rPr>
                  </w:pPr>
                  <w:r>
                    <w:rPr>
                      <w:rFonts w:hint="eastAsia"/>
                      <w:color w:val="auto"/>
                      <w:kern w:val="0"/>
                      <w:sz w:val="18"/>
                      <w:szCs w:val="18"/>
                      <w:lang w:eastAsia="zh-CN"/>
                    </w:rPr>
                    <w:t>污染源</w:t>
                  </w:r>
                </w:p>
              </w:tc>
              <w:tc>
                <w:tcPr>
                  <w:tcW w:w="740" w:type="pct"/>
                  <w:vMerge w:val="restart"/>
                  <w:noWrap w:val="0"/>
                  <w:vAlign w:val="center"/>
                </w:tcPr>
                <w:p w14:paraId="7CD1BA64">
                  <w:pPr>
                    <w:widowControl/>
                    <w:snapToGrid w:val="0"/>
                    <w:jc w:val="center"/>
                    <w:rPr>
                      <w:color w:val="auto"/>
                      <w:kern w:val="0"/>
                      <w:sz w:val="18"/>
                      <w:szCs w:val="18"/>
                    </w:rPr>
                  </w:pPr>
                  <w:r>
                    <w:rPr>
                      <w:rFonts w:hint="eastAsia"/>
                      <w:color w:val="auto"/>
                      <w:kern w:val="0"/>
                      <w:sz w:val="18"/>
                      <w:szCs w:val="18"/>
                      <w:lang w:eastAsia="zh-CN"/>
                    </w:rPr>
                    <w:t>燃</w:t>
                  </w:r>
                  <w:r>
                    <w:rPr>
                      <w:color w:val="auto"/>
                      <w:kern w:val="0"/>
                      <w:sz w:val="18"/>
                      <w:szCs w:val="18"/>
                    </w:rPr>
                    <w:t>料</w:t>
                  </w:r>
                </w:p>
              </w:tc>
              <w:tc>
                <w:tcPr>
                  <w:tcW w:w="623" w:type="pct"/>
                  <w:vMerge w:val="restart"/>
                  <w:noWrap w:val="0"/>
                  <w:vAlign w:val="center"/>
                </w:tcPr>
                <w:p w14:paraId="1385FCE0">
                  <w:pPr>
                    <w:widowControl/>
                    <w:snapToGrid w:val="0"/>
                    <w:jc w:val="center"/>
                    <w:rPr>
                      <w:color w:val="auto"/>
                      <w:kern w:val="0"/>
                      <w:sz w:val="18"/>
                      <w:szCs w:val="18"/>
                    </w:rPr>
                  </w:pPr>
                  <w:r>
                    <w:rPr>
                      <w:color w:val="auto"/>
                      <w:kern w:val="0"/>
                      <w:sz w:val="18"/>
                      <w:szCs w:val="18"/>
                    </w:rPr>
                    <w:t>污染物</w:t>
                  </w:r>
                </w:p>
              </w:tc>
              <w:tc>
                <w:tcPr>
                  <w:tcW w:w="602" w:type="pct"/>
                  <w:vMerge w:val="restart"/>
                  <w:noWrap w:val="0"/>
                  <w:vAlign w:val="center"/>
                </w:tcPr>
                <w:p w14:paraId="4A5A373D">
                  <w:pPr>
                    <w:widowControl/>
                    <w:snapToGrid w:val="0"/>
                    <w:jc w:val="center"/>
                    <w:rPr>
                      <w:rFonts w:hint="eastAsia" w:eastAsia="宋体"/>
                      <w:color w:val="auto"/>
                      <w:kern w:val="0"/>
                      <w:sz w:val="18"/>
                      <w:szCs w:val="18"/>
                      <w:lang w:eastAsia="zh-CN"/>
                    </w:rPr>
                  </w:pPr>
                  <w:r>
                    <w:rPr>
                      <w:rFonts w:hint="eastAsia"/>
                      <w:color w:val="auto"/>
                      <w:kern w:val="0"/>
                      <w:sz w:val="18"/>
                      <w:szCs w:val="18"/>
                      <w:lang w:eastAsia="zh-CN"/>
                    </w:rPr>
                    <w:t>单位</w:t>
                  </w:r>
                </w:p>
              </w:tc>
              <w:tc>
                <w:tcPr>
                  <w:tcW w:w="543" w:type="pct"/>
                  <w:vMerge w:val="restart"/>
                  <w:tcBorders>
                    <w:right w:val="single" w:color="auto" w:sz="4" w:space="0"/>
                  </w:tcBorders>
                  <w:noWrap w:val="0"/>
                  <w:vAlign w:val="center"/>
                </w:tcPr>
                <w:p w14:paraId="5BB23316">
                  <w:pPr>
                    <w:widowControl/>
                    <w:snapToGrid w:val="0"/>
                    <w:jc w:val="center"/>
                    <w:rPr>
                      <w:color w:val="auto"/>
                      <w:kern w:val="0"/>
                      <w:sz w:val="18"/>
                      <w:szCs w:val="18"/>
                    </w:rPr>
                  </w:pPr>
                  <w:r>
                    <w:rPr>
                      <w:rFonts w:hint="eastAsia"/>
                      <w:color w:val="auto"/>
                      <w:kern w:val="0"/>
                      <w:sz w:val="18"/>
                      <w:szCs w:val="18"/>
                      <w:lang w:eastAsia="zh-CN"/>
                    </w:rPr>
                    <w:t>绩效指标值</w:t>
                  </w:r>
                </w:p>
              </w:tc>
              <w:tc>
                <w:tcPr>
                  <w:tcW w:w="1832" w:type="pct"/>
                  <w:gridSpan w:val="3"/>
                  <w:tcBorders>
                    <w:left w:val="single" w:color="auto" w:sz="4" w:space="0"/>
                    <w:bottom w:val="single" w:color="auto" w:sz="4" w:space="0"/>
                  </w:tcBorders>
                  <w:noWrap w:val="0"/>
                  <w:vAlign w:val="center"/>
                </w:tcPr>
                <w:p w14:paraId="64472E34">
                  <w:pPr>
                    <w:widowControl/>
                    <w:snapToGrid w:val="0"/>
                    <w:jc w:val="center"/>
                    <w:rPr>
                      <w:rFonts w:hint="eastAsia"/>
                      <w:color w:val="auto"/>
                      <w:kern w:val="0"/>
                      <w:sz w:val="18"/>
                      <w:szCs w:val="18"/>
                      <w:lang w:eastAsia="zh-CN"/>
                    </w:rPr>
                  </w:pPr>
                  <w:r>
                    <w:rPr>
                      <w:rFonts w:hint="eastAsia"/>
                      <w:color w:val="auto"/>
                      <w:kern w:val="0"/>
                      <w:sz w:val="18"/>
                      <w:szCs w:val="18"/>
                      <w:lang w:eastAsia="zh-CN"/>
                    </w:rPr>
                    <w:t>污染物产生情况</w:t>
                  </w:r>
                </w:p>
              </w:tc>
            </w:tr>
            <w:tr w14:paraId="69491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8" w:type="pct"/>
                  <w:vMerge w:val="continue"/>
                  <w:noWrap w:val="0"/>
                  <w:vAlign w:val="center"/>
                </w:tcPr>
                <w:p w14:paraId="6F9D3029">
                  <w:pPr>
                    <w:widowControl/>
                    <w:snapToGrid w:val="0"/>
                    <w:jc w:val="center"/>
                    <w:rPr>
                      <w:rFonts w:hint="eastAsia"/>
                      <w:color w:val="auto"/>
                      <w:kern w:val="0"/>
                      <w:sz w:val="18"/>
                      <w:szCs w:val="18"/>
                      <w:lang w:eastAsia="zh-CN"/>
                    </w:rPr>
                  </w:pPr>
                </w:p>
              </w:tc>
              <w:tc>
                <w:tcPr>
                  <w:tcW w:w="740" w:type="pct"/>
                  <w:vMerge w:val="continue"/>
                  <w:noWrap w:val="0"/>
                  <w:vAlign w:val="center"/>
                </w:tcPr>
                <w:p w14:paraId="4B7E954E">
                  <w:pPr>
                    <w:widowControl/>
                    <w:snapToGrid w:val="0"/>
                    <w:jc w:val="center"/>
                    <w:rPr>
                      <w:rFonts w:hint="eastAsia"/>
                      <w:color w:val="auto"/>
                      <w:kern w:val="0"/>
                      <w:sz w:val="18"/>
                      <w:szCs w:val="18"/>
                      <w:lang w:eastAsia="zh-CN"/>
                    </w:rPr>
                  </w:pPr>
                </w:p>
              </w:tc>
              <w:tc>
                <w:tcPr>
                  <w:tcW w:w="623" w:type="pct"/>
                  <w:vMerge w:val="continue"/>
                  <w:noWrap w:val="0"/>
                  <w:vAlign w:val="center"/>
                </w:tcPr>
                <w:p w14:paraId="27EBE788">
                  <w:pPr>
                    <w:widowControl/>
                    <w:snapToGrid w:val="0"/>
                    <w:jc w:val="center"/>
                    <w:rPr>
                      <w:color w:val="auto"/>
                      <w:kern w:val="0"/>
                      <w:sz w:val="18"/>
                      <w:szCs w:val="18"/>
                    </w:rPr>
                  </w:pPr>
                </w:p>
              </w:tc>
              <w:tc>
                <w:tcPr>
                  <w:tcW w:w="602" w:type="pct"/>
                  <w:vMerge w:val="continue"/>
                  <w:noWrap w:val="0"/>
                  <w:vAlign w:val="center"/>
                </w:tcPr>
                <w:p w14:paraId="2366A415">
                  <w:pPr>
                    <w:widowControl/>
                    <w:snapToGrid w:val="0"/>
                    <w:jc w:val="center"/>
                    <w:rPr>
                      <w:rFonts w:hint="eastAsia"/>
                      <w:color w:val="auto"/>
                      <w:kern w:val="0"/>
                      <w:sz w:val="18"/>
                      <w:szCs w:val="18"/>
                      <w:lang w:eastAsia="zh-CN"/>
                    </w:rPr>
                  </w:pPr>
                </w:p>
              </w:tc>
              <w:tc>
                <w:tcPr>
                  <w:tcW w:w="543" w:type="pct"/>
                  <w:vMerge w:val="continue"/>
                  <w:tcBorders>
                    <w:right w:val="single" w:color="auto" w:sz="4" w:space="0"/>
                  </w:tcBorders>
                  <w:noWrap w:val="0"/>
                  <w:vAlign w:val="center"/>
                </w:tcPr>
                <w:p w14:paraId="78AD2135">
                  <w:pPr>
                    <w:widowControl/>
                    <w:snapToGrid w:val="0"/>
                    <w:jc w:val="center"/>
                    <w:rPr>
                      <w:rFonts w:hint="eastAsia"/>
                      <w:color w:val="auto"/>
                      <w:kern w:val="0"/>
                      <w:sz w:val="18"/>
                      <w:szCs w:val="18"/>
                      <w:lang w:eastAsia="zh-CN"/>
                    </w:rPr>
                  </w:pPr>
                </w:p>
              </w:tc>
              <w:tc>
                <w:tcPr>
                  <w:tcW w:w="551" w:type="pct"/>
                  <w:tcBorders>
                    <w:top w:val="single" w:color="auto" w:sz="4" w:space="0"/>
                    <w:left w:val="single" w:color="auto" w:sz="4" w:space="0"/>
                    <w:right w:val="single" w:color="auto" w:sz="4" w:space="0"/>
                  </w:tcBorders>
                  <w:noWrap w:val="0"/>
                  <w:vAlign w:val="center"/>
                </w:tcPr>
                <w:p w14:paraId="14F7B536">
                  <w:pPr>
                    <w:widowControl/>
                    <w:snapToGrid w:val="0"/>
                    <w:jc w:val="center"/>
                    <w:rPr>
                      <w:rFonts w:hint="eastAsia"/>
                      <w:color w:val="auto"/>
                      <w:kern w:val="0"/>
                      <w:sz w:val="18"/>
                      <w:szCs w:val="18"/>
                      <w:lang w:eastAsia="zh-CN"/>
                    </w:rPr>
                  </w:pPr>
                  <w:r>
                    <w:rPr>
                      <w:rFonts w:hint="eastAsia"/>
                      <w:color w:val="auto"/>
                      <w:kern w:val="0"/>
                      <w:sz w:val="18"/>
                      <w:szCs w:val="18"/>
                      <w:lang w:eastAsia="zh-CN"/>
                    </w:rPr>
                    <w:t>产生量</w:t>
                  </w:r>
                </w:p>
                <w:p w14:paraId="2589DDA2">
                  <w:pPr>
                    <w:widowControl/>
                    <w:snapToGrid w:val="0"/>
                    <w:jc w:val="center"/>
                    <w:rPr>
                      <w:rFonts w:hint="default"/>
                      <w:color w:val="auto"/>
                      <w:kern w:val="0"/>
                      <w:sz w:val="18"/>
                      <w:szCs w:val="18"/>
                      <w:lang w:val="en-US" w:eastAsia="zh-CN"/>
                    </w:rPr>
                  </w:pPr>
                  <w:r>
                    <w:rPr>
                      <w:rFonts w:hint="eastAsia"/>
                      <w:color w:val="auto"/>
                      <w:kern w:val="0"/>
                      <w:sz w:val="18"/>
                      <w:szCs w:val="18"/>
                      <w:lang w:val="en-US" w:eastAsia="zh-CN"/>
                    </w:rPr>
                    <w:t>t/a</w:t>
                  </w:r>
                </w:p>
              </w:tc>
              <w:tc>
                <w:tcPr>
                  <w:tcW w:w="611" w:type="pct"/>
                  <w:tcBorders>
                    <w:top w:val="single" w:color="auto" w:sz="4" w:space="0"/>
                    <w:left w:val="single" w:color="auto" w:sz="4" w:space="0"/>
                    <w:right w:val="single" w:color="auto" w:sz="4" w:space="0"/>
                  </w:tcBorders>
                  <w:noWrap w:val="0"/>
                  <w:vAlign w:val="center"/>
                </w:tcPr>
                <w:p w14:paraId="10CEF95A">
                  <w:pPr>
                    <w:widowControl/>
                    <w:snapToGrid w:val="0"/>
                    <w:jc w:val="center"/>
                    <w:rPr>
                      <w:rFonts w:hint="eastAsia"/>
                      <w:color w:val="auto"/>
                      <w:kern w:val="0"/>
                      <w:sz w:val="18"/>
                      <w:szCs w:val="18"/>
                      <w:lang w:val="en-US" w:eastAsia="zh-CN"/>
                    </w:rPr>
                  </w:pPr>
                  <w:r>
                    <w:rPr>
                      <w:rFonts w:hint="eastAsia"/>
                      <w:color w:val="auto"/>
                      <w:kern w:val="0"/>
                      <w:sz w:val="18"/>
                      <w:szCs w:val="18"/>
                      <w:lang w:val="en-US" w:eastAsia="zh-CN"/>
                    </w:rPr>
                    <w:t>产生速率</w:t>
                  </w:r>
                </w:p>
                <w:p w14:paraId="76AE2341">
                  <w:pPr>
                    <w:widowControl/>
                    <w:snapToGrid w:val="0"/>
                    <w:jc w:val="center"/>
                    <w:rPr>
                      <w:rFonts w:hint="default"/>
                      <w:color w:val="auto"/>
                      <w:kern w:val="0"/>
                      <w:sz w:val="18"/>
                      <w:szCs w:val="18"/>
                      <w:lang w:val="en-US" w:eastAsia="zh-CN"/>
                    </w:rPr>
                  </w:pPr>
                  <w:r>
                    <w:rPr>
                      <w:rFonts w:hint="eastAsia"/>
                      <w:color w:val="auto"/>
                      <w:kern w:val="0"/>
                      <w:sz w:val="18"/>
                      <w:szCs w:val="18"/>
                      <w:lang w:val="en-US" w:eastAsia="zh-CN"/>
                    </w:rPr>
                    <w:t>kg/h</w:t>
                  </w:r>
                </w:p>
              </w:tc>
              <w:tc>
                <w:tcPr>
                  <w:tcW w:w="669" w:type="pct"/>
                  <w:tcBorders>
                    <w:top w:val="single" w:color="auto" w:sz="4" w:space="0"/>
                    <w:left w:val="single" w:color="auto" w:sz="4" w:space="0"/>
                  </w:tcBorders>
                  <w:noWrap w:val="0"/>
                  <w:vAlign w:val="center"/>
                </w:tcPr>
                <w:p w14:paraId="702F0452">
                  <w:pPr>
                    <w:widowControl/>
                    <w:snapToGrid w:val="0"/>
                    <w:jc w:val="center"/>
                    <w:rPr>
                      <w:rFonts w:hint="eastAsia"/>
                      <w:color w:val="auto"/>
                      <w:kern w:val="0"/>
                      <w:sz w:val="18"/>
                      <w:szCs w:val="18"/>
                      <w:lang w:eastAsia="zh-CN"/>
                    </w:rPr>
                  </w:pPr>
                  <w:r>
                    <w:rPr>
                      <w:rFonts w:hint="eastAsia"/>
                      <w:color w:val="auto"/>
                      <w:kern w:val="0"/>
                      <w:sz w:val="18"/>
                      <w:szCs w:val="18"/>
                      <w:lang w:eastAsia="zh-CN"/>
                    </w:rPr>
                    <w:t>产生浓度</w:t>
                  </w:r>
                </w:p>
                <w:p w14:paraId="3800287A">
                  <w:pPr>
                    <w:widowControl/>
                    <w:snapToGrid w:val="0"/>
                    <w:jc w:val="center"/>
                    <w:rPr>
                      <w:rFonts w:hint="default"/>
                      <w:color w:val="auto"/>
                      <w:kern w:val="0"/>
                      <w:sz w:val="18"/>
                      <w:szCs w:val="18"/>
                      <w:lang w:val="en-US" w:eastAsia="zh-CN"/>
                    </w:rPr>
                  </w:pPr>
                  <w:r>
                    <w:rPr>
                      <w:rFonts w:hint="eastAsia"/>
                      <w:color w:val="auto"/>
                      <w:kern w:val="0"/>
                      <w:sz w:val="18"/>
                      <w:szCs w:val="18"/>
                      <w:lang w:val="en-US" w:eastAsia="zh-CN"/>
                    </w:rPr>
                    <w:t>mg/m</w:t>
                  </w:r>
                  <w:r>
                    <w:rPr>
                      <w:rFonts w:hint="eastAsia"/>
                      <w:color w:val="auto"/>
                      <w:kern w:val="0"/>
                      <w:sz w:val="18"/>
                      <w:szCs w:val="18"/>
                      <w:vertAlign w:val="superscript"/>
                      <w:lang w:val="en-US" w:eastAsia="zh-CN"/>
                    </w:rPr>
                    <w:t>3</w:t>
                  </w:r>
                </w:p>
              </w:tc>
            </w:tr>
            <w:tr w14:paraId="0C882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8" w:type="pct"/>
                  <w:vMerge w:val="restart"/>
                  <w:noWrap w:val="0"/>
                  <w:vAlign w:val="center"/>
                </w:tcPr>
                <w:p w14:paraId="21353F8D">
                  <w:pPr>
                    <w:jc w:val="center"/>
                    <w:rPr>
                      <w:rFonts w:hint="eastAsia"/>
                      <w:color w:val="auto"/>
                      <w:kern w:val="0"/>
                      <w:sz w:val="18"/>
                      <w:szCs w:val="18"/>
                      <w:lang w:val="en-US" w:eastAsia="zh-CN"/>
                    </w:rPr>
                  </w:pPr>
                  <w:r>
                    <w:rPr>
                      <w:rFonts w:hint="eastAsia"/>
                      <w:color w:val="auto"/>
                      <w:kern w:val="0"/>
                      <w:sz w:val="18"/>
                      <w:szCs w:val="18"/>
                      <w:lang w:val="en-US" w:eastAsia="zh-CN"/>
                    </w:rPr>
                    <w:t>隧道窑</w:t>
                  </w:r>
                </w:p>
                <w:p w14:paraId="55EE0CA6">
                  <w:pPr>
                    <w:jc w:val="center"/>
                    <w:rPr>
                      <w:rFonts w:hint="default"/>
                      <w:color w:val="auto"/>
                      <w:sz w:val="18"/>
                      <w:szCs w:val="18"/>
                      <w:lang w:val="en-US"/>
                    </w:rPr>
                  </w:pPr>
                  <w:r>
                    <w:rPr>
                      <w:rFonts w:hint="eastAsia"/>
                      <w:color w:val="auto"/>
                      <w:kern w:val="0"/>
                      <w:sz w:val="18"/>
                      <w:szCs w:val="18"/>
                      <w:lang w:val="en-US" w:eastAsia="zh-CN"/>
                    </w:rPr>
                    <w:t>（热处理）</w:t>
                  </w:r>
                </w:p>
              </w:tc>
              <w:tc>
                <w:tcPr>
                  <w:tcW w:w="740" w:type="pct"/>
                  <w:vMerge w:val="restart"/>
                  <w:noWrap w:val="0"/>
                  <w:vAlign w:val="center"/>
                </w:tcPr>
                <w:p w14:paraId="4D48ED63">
                  <w:pPr>
                    <w:jc w:val="center"/>
                    <w:rPr>
                      <w:rFonts w:hint="default" w:eastAsia="宋体"/>
                      <w:color w:val="auto"/>
                      <w:sz w:val="18"/>
                      <w:szCs w:val="18"/>
                      <w:lang w:val="en-US" w:eastAsia="zh-CN"/>
                    </w:rPr>
                  </w:pPr>
                  <w:r>
                    <w:rPr>
                      <w:rFonts w:hint="eastAsia"/>
                      <w:color w:val="auto"/>
                      <w:sz w:val="18"/>
                      <w:szCs w:val="18"/>
                      <w:lang w:val="en-US" w:eastAsia="zh-CN"/>
                    </w:rPr>
                    <w:t>天然气</w:t>
                  </w:r>
                </w:p>
                <w:p w14:paraId="065E1550">
                  <w:pPr>
                    <w:jc w:val="center"/>
                    <w:rPr>
                      <w:rFonts w:hint="eastAsia" w:eastAsia="宋体"/>
                      <w:color w:val="auto"/>
                      <w:sz w:val="18"/>
                      <w:szCs w:val="18"/>
                      <w:lang w:eastAsia="zh-CN"/>
                    </w:rPr>
                  </w:pPr>
                  <w:r>
                    <w:rPr>
                      <w:rFonts w:hint="eastAsia"/>
                      <w:color w:val="auto"/>
                      <w:spacing w:val="-6"/>
                      <w:sz w:val="18"/>
                      <w:szCs w:val="18"/>
                      <w:lang w:eastAsia="zh-CN"/>
                    </w:rPr>
                    <w:t>（</w:t>
                  </w:r>
                  <w:r>
                    <w:rPr>
                      <w:rFonts w:hint="eastAsia"/>
                      <w:color w:val="auto"/>
                      <w:spacing w:val="-6"/>
                      <w:sz w:val="18"/>
                      <w:szCs w:val="18"/>
                      <w:lang w:val="en-US" w:eastAsia="zh-CN"/>
                    </w:rPr>
                    <w:t>气</w:t>
                  </w:r>
                  <w:r>
                    <w:rPr>
                      <w:rFonts w:hint="eastAsia"/>
                      <w:color w:val="auto"/>
                      <w:spacing w:val="-6"/>
                      <w:sz w:val="18"/>
                      <w:szCs w:val="18"/>
                      <w:lang w:eastAsia="zh-CN"/>
                    </w:rPr>
                    <w:t>体燃料）</w:t>
                  </w:r>
                </w:p>
              </w:tc>
              <w:tc>
                <w:tcPr>
                  <w:tcW w:w="623" w:type="pct"/>
                  <w:noWrap w:val="0"/>
                  <w:vAlign w:val="center"/>
                </w:tcPr>
                <w:p w14:paraId="6BB3864B">
                  <w:pPr>
                    <w:jc w:val="center"/>
                    <w:rPr>
                      <w:rFonts w:hint="eastAsia"/>
                      <w:color w:val="auto"/>
                      <w:sz w:val="18"/>
                      <w:szCs w:val="18"/>
                    </w:rPr>
                  </w:pPr>
                  <w:r>
                    <w:rPr>
                      <w:rFonts w:hint="eastAsia"/>
                      <w:color w:val="auto"/>
                      <w:kern w:val="0"/>
                      <w:sz w:val="18"/>
                      <w:szCs w:val="18"/>
                      <w:lang w:val="en-US" w:eastAsia="zh-CN"/>
                    </w:rPr>
                    <w:t>颗粒物</w:t>
                  </w:r>
                </w:p>
              </w:tc>
              <w:tc>
                <w:tcPr>
                  <w:tcW w:w="602" w:type="pct"/>
                  <w:vMerge w:val="restart"/>
                  <w:noWrap w:val="0"/>
                  <w:vAlign w:val="center"/>
                </w:tcPr>
                <w:p w14:paraId="54A92533">
                  <w:pPr>
                    <w:jc w:val="center"/>
                    <w:rPr>
                      <w:rFonts w:hint="eastAsia"/>
                      <w:color w:val="auto"/>
                      <w:sz w:val="18"/>
                      <w:szCs w:val="18"/>
                    </w:rPr>
                  </w:pPr>
                  <w:r>
                    <w:rPr>
                      <w:rFonts w:hint="eastAsia"/>
                      <w:color w:val="auto"/>
                      <w:kern w:val="0"/>
                      <w:sz w:val="18"/>
                      <w:szCs w:val="18"/>
                      <w:lang w:val="en-US" w:eastAsia="zh-CN"/>
                    </w:rPr>
                    <w:t>g</w:t>
                  </w:r>
                  <w:r>
                    <w:rPr>
                      <w:color w:val="auto"/>
                      <w:kern w:val="0"/>
                      <w:sz w:val="18"/>
                      <w:szCs w:val="18"/>
                    </w:rPr>
                    <w:t>/</w:t>
                  </w:r>
                  <w:r>
                    <w:rPr>
                      <w:rFonts w:hint="eastAsia"/>
                      <w:color w:val="auto"/>
                      <w:kern w:val="0"/>
                      <w:sz w:val="18"/>
                      <w:szCs w:val="18"/>
                      <w:lang w:val="en-US" w:eastAsia="zh-CN"/>
                    </w:rPr>
                    <w:t>m</w:t>
                  </w:r>
                  <w:r>
                    <w:rPr>
                      <w:rFonts w:hint="eastAsia"/>
                      <w:color w:val="auto"/>
                      <w:kern w:val="0"/>
                      <w:sz w:val="18"/>
                      <w:szCs w:val="18"/>
                      <w:vertAlign w:val="superscript"/>
                      <w:lang w:val="en-US" w:eastAsia="zh-CN"/>
                    </w:rPr>
                    <w:t>3</w:t>
                  </w:r>
                  <w:r>
                    <w:rPr>
                      <w:color w:val="auto"/>
                      <w:kern w:val="0"/>
                      <w:sz w:val="18"/>
                      <w:szCs w:val="18"/>
                    </w:rPr>
                    <w:t>-</w:t>
                  </w:r>
                  <w:r>
                    <w:rPr>
                      <w:rFonts w:hint="eastAsia"/>
                      <w:color w:val="auto"/>
                      <w:kern w:val="0"/>
                      <w:sz w:val="18"/>
                      <w:szCs w:val="18"/>
                      <w:lang w:eastAsia="zh-CN"/>
                    </w:rPr>
                    <w:t>燃</w:t>
                  </w:r>
                  <w:r>
                    <w:rPr>
                      <w:color w:val="auto"/>
                      <w:kern w:val="0"/>
                      <w:sz w:val="18"/>
                      <w:szCs w:val="18"/>
                    </w:rPr>
                    <w:t>料</w:t>
                  </w:r>
                </w:p>
              </w:tc>
              <w:tc>
                <w:tcPr>
                  <w:tcW w:w="543" w:type="pct"/>
                  <w:tcBorders>
                    <w:right w:val="single" w:color="auto" w:sz="4" w:space="0"/>
                  </w:tcBorders>
                  <w:noWrap w:val="0"/>
                  <w:vAlign w:val="center"/>
                </w:tcPr>
                <w:p w14:paraId="76F9E85D">
                  <w:pPr>
                    <w:jc w:val="center"/>
                    <w:rPr>
                      <w:rFonts w:hint="default" w:eastAsia="宋体"/>
                      <w:color w:val="auto"/>
                      <w:sz w:val="18"/>
                      <w:szCs w:val="18"/>
                      <w:lang w:val="en-US" w:eastAsia="zh-CN"/>
                    </w:rPr>
                  </w:pPr>
                  <w:r>
                    <w:rPr>
                      <w:rFonts w:hint="eastAsia"/>
                      <w:color w:val="auto"/>
                      <w:kern w:val="0"/>
                      <w:sz w:val="18"/>
                      <w:szCs w:val="18"/>
                      <w:lang w:val="en-US" w:eastAsia="zh-CN"/>
                    </w:rPr>
                    <w:t>0.1624</w:t>
                  </w:r>
                </w:p>
              </w:tc>
              <w:tc>
                <w:tcPr>
                  <w:tcW w:w="884" w:type="dxa"/>
                  <w:tcBorders>
                    <w:left w:val="single" w:color="auto" w:sz="4" w:space="0"/>
                    <w:right w:val="single" w:color="auto" w:sz="4" w:space="0"/>
                  </w:tcBorders>
                  <w:noWrap w:val="0"/>
                  <w:vAlign w:val="center"/>
                </w:tcPr>
                <w:p w14:paraId="15099FCD">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0.1697</w:t>
                  </w:r>
                </w:p>
              </w:tc>
              <w:tc>
                <w:tcPr>
                  <w:tcW w:w="981" w:type="dxa"/>
                  <w:tcBorders>
                    <w:left w:val="single" w:color="auto" w:sz="4" w:space="0"/>
                    <w:right w:val="single" w:color="auto" w:sz="4" w:space="0"/>
                  </w:tcBorders>
                  <w:noWrap w:val="0"/>
                  <w:vAlign w:val="center"/>
                </w:tcPr>
                <w:p w14:paraId="250115B9">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0.024 </w:t>
                  </w:r>
                </w:p>
              </w:tc>
              <w:tc>
                <w:tcPr>
                  <w:tcW w:w="1076" w:type="dxa"/>
                  <w:tcBorders>
                    <w:left w:val="single" w:color="auto" w:sz="4" w:space="0"/>
                  </w:tcBorders>
                  <w:noWrap w:val="0"/>
                  <w:vAlign w:val="center"/>
                </w:tcPr>
                <w:p w14:paraId="4F667342">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2.36 </w:t>
                  </w:r>
                </w:p>
              </w:tc>
            </w:tr>
            <w:tr w14:paraId="0D743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8" w:type="pct"/>
                  <w:vMerge w:val="continue"/>
                  <w:noWrap w:val="0"/>
                  <w:vAlign w:val="center"/>
                </w:tcPr>
                <w:p w14:paraId="12B264D2">
                  <w:pPr>
                    <w:jc w:val="center"/>
                    <w:rPr>
                      <w:rFonts w:hint="eastAsia"/>
                      <w:color w:val="auto"/>
                      <w:sz w:val="18"/>
                      <w:szCs w:val="18"/>
                    </w:rPr>
                  </w:pPr>
                </w:p>
              </w:tc>
              <w:tc>
                <w:tcPr>
                  <w:tcW w:w="740" w:type="pct"/>
                  <w:vMerge w:val="continue"/>
                  <w:noWrap w:val="0"/>
                  <w:vAlign w:val="center"/>
                </w:tcPr>
                <w:p w14:paraId="7EB0928C">
                  <w:pPr>
                    <w:jc w:val="center"/>
                    <w:rPr>
                      <w:rFonts w:hint="eastAsia"/>
                      <w:color w:val="auto"/>
                      <w:sz w:val="18"/>
                      <w:szCs w:val="18"/>
                    </w:rPr>
                  </w:pPr>
                </w:p>
              </w:tc>
              <w:tc>
                <w:tcPr>
                  <w:tcW w:w="623" w:type="pct"/>
                  <w:noWrap w:val="0"/>
                  <w:vAlign w:val="center"/>
                </w:tcPr>
                <w:p w14:paraId="7357D2E9">
                  <w:pPr>
                    <w:jc w:val="center"/>
                    <w:rPr>
                      <w:rFonts w:hint="eastAsia" w:eastAsia="宋体"/>
                      <w:color w:val="auto"/>
                      <w:sz w:val="18"/>
                      <w:szCs w:val="18"/>
                      <w:lang w:eastAsia="zh-CN"/>
                    </w:rPr>
                  </w:pPr>
                  <w:r>
                    <w:rPr>
                      <w:rFonts w:hint="eastAsia"/>
                      <w:color w:val="auto"/>
                      <w:sz w:val="18"/>
                      <w:szCs w:val="18"/>
                      <w:lang w:eastAsia="zh-CN"/>
                    </w:rPr>
                    <w:t>二氧化硫</w:t>
                  </w:r>
                </w:p>
              </w:tc>
              <w:tc>
                <w:tcPr>
                  <w:tcW w:w="602" w:type="pct"/>
                  <w:vMerge w:val="continue"/>
                  <w:noWrap w:val="0"/>
                  <w:vAlign w:val="center"/>
                </w:tcPr>
                <w:p w14:paraId="0317FD73">
                  <w:pPr>
                    <w:jc w:val="center"/>
                    <w:rPr>
                      <w:rFonts w:hint="eastAsia"/>
                      <w:color w:val="auto"/>
                      <w:sz w:val="18"/>
                      <w:szCs w:val="18"/>
                    </w:rPr>
                  </w:pPr>
                </w:p>
              </w:tc>
              <w:tc>
                <w:tcPr>
                  <w:tcW w:w="543" w:type="pct"/>
                  <w:tcBorders>
                    <w:right w:val="single" w:color="auto" w:sz="4" w:space="0"/>
                  </w:tcBorders>
                  <w:noWrap w:val="0"/>
                  <w:vAlign w:val="center"/>
                </w:tcPr>
                <w:p w14:paraId="15D69539">
                  <w:pPr>
                    <w:jc w:val="center"/>
                    <w:rPr>
                      <w:rFonts w:hint="default" w:eastAsia="宋体"/>
                      <w:color w:val="auto"/>
                      <w:sz w:val="18"/>
                      <w:szCs w:val="18"/>
                      <w:lang w:val="en-US" w:eastAsia="zh-CN"/>
                    </w:rPr>
                  </w:pPr>
                  <w:r>
                    <w:rPr>
                      <w:rFonts w:hint="eastAsia"/>
                      <w:color w:val="auto"/>
                      <w:kern w:val="0"/>
                      <w:sz w:val="18"/>
                      <w:szCs w:val="18"/>
                      <w:lang w:val="en-US" w:eastAsia="zh-CN"/>
                    </w:rPr>
                    <w:t>0.1624</w:t>
                  </w:r>
                </w:p>
              </w:tc>
              <w:tc>
                <w:tcPr>
                  <w:tcW w:w="884" w:type="dxa"/>
                  <w:tcBorders>
                    <w:left w:val="single" w:color="auto" w:sz="4" w:space="0"/>
                    <w:right w:val="single" w:color="auto" w:sz="4" w:space="0"/>
                  </w:tcBorders>
                  <w:noWrap w:val="0"/>
                  <w:vAlign w:val="center"/>
                </w:tcPr>
                <w:p w14:paraId="7EC1C74F">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0.1697</w:t>
                  </w:r>
                </w:p>
              </w:tc>
              <w:tc>
                <w:tcPr>
                  <w:tcW w:w="981" w:type="dxa"/>
                  <w:tcBorders>
                    <w:left w:val="single" w:color="auto" w:sz="4" w:space="0"/>
                    <w:right w:val="single" w:color="auto" w:sz="4" w:space="0"/>
                  </w:tcBorders>
                  <w:noWrap w:val="0"/>
                  <w:vAlign w:val="center"/>
                </w:tcPr>
                <w:p w14:paraId="371EBC0E">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0.024 </w:t>
                  </w:r>
                </w:p>
              </w:tc>
              <w:tc>
                <w:tcPr>
                  <w:tcW w:w="1076" w:type="dxa"/>
                  <w:tcBorders>
                    <w:left w:val="single" w:color="auto" w:sz="4" w:space="0"/>
                  </w:tcBorders>
                  <w:noWrap w:val="0"/>
                  <w:vAlign w:val="center"/>
                </w:tcPr>
                <w:p w14:paraId="317FF5CE">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2.36 </w:t>
                  </w:r>
                </w:p>
              </w:tc>
            </w:tr>
            <w:tr w14:paraId="74AF31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58" w:type="pct"/>
                  <w:vMerge w:val="continue"/>
                  <w:noWrap w:val="0"/>
                  <w:vAlign w:val="center"/>
                </w:tcPr>
                <w:p w14:paraId="78F8AD44">
                  <w:pPr>
                    <w:jc w:val="center"/>
                    <w:rPr>
                      <w:rFonts w:hint="eastAsia"/>
                      <w:color w:val="auto"/>
                      <w:sz w:val="18"/>
                      <w:szCs w:val="18"/>
                    </w:rPr>
                  </w:pPr>
                </w:p>
              </w:tc>
              <w:tc>
                <w:tcPr>
                  <w:tcW w:w="740" w:type="pct"/>
                  <w:vMerge w:val="continue"/>
                  <w:noWrap w:val="0"/>
                  <w:vAlign w:val="center"/>
                </w:tcPr>
                <w:p w14:paraId="3BE40046">
                  <w:pPr>
                    <w:jc w:val="center"/>
                    <w:rPr>
                      <w:rFonts w:hint="eastAsia"/>
                      <w:color w:val="auto"/>
                      <w:sz w:val="18"/>
                      <w:szCs w:val="18"/>
                    </w:rPr>
                  </w:pPr>
                </w:p>
              </w:tc>
              <w:tc>
                <w:tcPr>
                  <w:tcW w:w="623" w:type="pct"/>
                  <w:noWrap w:val="0"/>
                  <w:vAlign w:val="center"/>
                </w:tcPr>
                <w:p w14:paraId="2C712BF1">
                  <w:pPr>
                    <w:jc w:val="center"/>
                    <w:rPr>
                      <w:rFonts w:hint="eastAsia"/>
                      <w:color w:val="auto"/>
                      <w:sz w:val="18"/>
                      <w:szCs w:val="18"/>
                    </w:rPr>
                  </w:pPr>
                  <w:r>
                    <w:rPr>
                      <w:color w:val="auto"/>
                      <w:kern w:val="0"/>
                      <w:sz w:val="18"/>
                      <w:szCs w:val="18"/>
                    </w:rPr>
                    <w:t>氮氧化物</w:t>
                  </w:r>
                </w:p>
              </w:tc>
              <w:tc>
                <w:tcPr>
                  <w:tcW w:w="602" w:type="pct"/>
                  <w:vMerge w:val="continue"/>
                  <w:noWrap w:val="0"/>
                  <w:vAlign w:val="center"/>
                </w:tcPr>
                <w:p w14:paraId="2AF00414">
                  <w:pPr>
                    <w:jc w:val="center"/>
                    <w:rPr>
                      <w:rFonts w:hint="eastAsia"/>
                      <w:color w:val="auto"/>
                      <w:sz w:val="18"/>
                      <w:szCs w:val="18"/>
                    </w:rPr>
                  </w:pPr>
                </w:p>
              </w:tc>
              <w:tc>
                <w:tcPr>
                  <w:tcW w:w="543" w:type="pct"/>
                  <w:tcBorders>
                    <w:right w:val="single" w:color="auto" w:sz="4" w:space="0"/>
                  </w:tcBorders>
                  <w:noWrap w:val="0"/>
                  <w:vAlign w:val="center"/>
                </w:tcPr>
                <w:p w14:paraId="1B61B75D">
                  <w:pPr>
                    <w:jc w:val="center"/>
                    <w:rPr>
                      <w:rFonts w:hint="default" w:eastAsia="宋体"/>
                      <w:color w:val="auto"/>
                      <w:sz w:val="18"/>
                      <w:szCs w:val="18"/>
                      <w:lang w:val="en-US" w:eastAsia="zh-CN"/>
                    </w:rPr>
                  </w:pPr>
                  <w:r>
                    <w:rPr>
                      <w:rFonts w:hint="eastAsia"/>
                      <w:color w:val="auto"/>
                      <w:kern w:val="0"/>
                      <w:sz w:val="18"/>
                      <w:szCs w:val="18"/>
                      <w:lang w:val="en-US" w:eastAsia="zh-CN"/>
                    </w:rPr>
                    <w:t>2.4432</w:t>
                  </w:r>
                </w:p>
              </w:tc>
              <w:tc>
                <w:tcPr>
                  <w:tcW w:w="884" w:type="dxa"/>
                  <w:tcBorders>
                    <w:left w:val="single" w:color="auto" w:sz="4" w:space="0"/>
                    <w:right w:val="single" w:color="auto" w:sz="4" w:space="0"/>
                  </w:tcBorders>
                  <w:noWrap w:val="0"/>
                  <w:vAlign w:val="center"/>
                </w:tcPr>
                <w:p w14:paraId="6679AA63">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2.5531</w:t>
                  </w:r>
                </w:p>
              </w:tc>
              <w:tc>
                <w:tcPr>
                  <w:tcW w:w="981" w:type="dxa"/>
                  <w:tcBorders>
                    <w:left w:val="single" w:color="auto" w:sz="4" w:space="0"/>
                    <w:right w:val="single" w:color="auto" w:sz="4" w:space="0"/>
                  </w:tcBorders>
                  <w:noWrap w:val="0"/>
                  <w:vAlign w:val="center"/>
                </w:tcPr>
                <w:p w14:paraId="1F092C42">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0.355 </w:t>
                  </w:r>
                </w:p>
              </w:tc>
              <w:tc>
                <w:tcPr>
                  <w:tcW w:w="1076" w:type="dxa"/>
                  <w:tcBorders>
                    <w:left w:val="single" w:color="auto" w:sz="4" w:space="0"/>
                  </w:tcBorders>
                  <w:noWrap w:val="0"/>
                  <w:vAlign w:val="center"/>
                </w:tcPr>
                <w:p w14:paraId="5EDFE364">
                  <w:pPr>
                    <w:jc w:val="center"/>
                    <w:rPr>
                      <w:rFonts w:hint="default" w:ascii="Times New Roman" w:hAnsi="Times New Roman"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 xml:space="preserve">35.46 </w:t>
                  </w:r>
                </w:p>
              </w:tc>
            </w:tr>
          </w:tbl>
          <w:p w14:paraId="5FEAEF01">
            <w:pPr>
              <w:spacing w:line="360" w:lineRule="auto"/>
              <w:ind w:firstLine="420" w:firstLineChars="200"/>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综上可知，项目</w:t>
            </w:r>
            <w:r>
              <w:rPr>
                <w:rFonts w:hint="eastAsia" w:cs="Times New Roman"/>
                <w:bCs/>
                <w:color w:val="auto"/>
                <w:szCs w:val="21"/>
                <w:lang w:val="en-US" w:eastAsia="zh-CN"/>
              </w:rPr>
              <w:t>烘干机干燥及</w:t>
            </w:r>
            <w:r>
              <w:rPr>
                <w:rFonts w:hint="eastAsia" w:ascii="Times New Roman" w:hAnsi="Times New Roman" w:eastAsia="宋体" w:cs="Times New Roman"/>
                <w:bCs/>
                <w:color w:val="auto"/>
                <w:szCs w:val="21"/>
                <w:lang w:val="en-US" w:eastAsia="zh-CN"/>
              </w:rPr>
              <w:t>燃烧过程产生的</w:t>
            </w:r>
            <w:r>
              <w:rPr>
                <w:rFonts w:hint="eastAsia" w:cs="Times New Roman"/>
                <w:bCs/>
                <w:color w:val="auto"/>
                <w:szCs w:val="21"/>
                <w:lang w:val="en-US" w:eastAsia="zh-CN"/>
              </w:rPr>
              <w:t>混合</w:t>
            </w:r>
            <w:r>
              <w:rPr>
                <w:rFonts w:hint="eastAsia" w:ascii="Times New Roman" w:hAnsi="Times New Roman" w:eastAsia="宋体" w:cs="Times New Roman"/>
                <w:bCs/>
                <w:color w:val="auto"/>
                <w:szCs w:val="21"/>
                <w:lang w:val="en-US" w:eastAsia="zh-CN"/>
              </w:rPr>
              <w:t>废气中，颗粒物产生量为</w:t>
            </w:r>
            <w:r>
              <w:rPr>
                <w:rFonts w:hint="eastAsia" w:cs="Times New Roman"/>
                <w:bCs/>
                <w:color w:val="auto"/>
                <w:szCs w:val="21"/>
                <w:lang w:val="en-US" w:eastAsia="zh-CN"/>
              </w:rPr>
              <w:t>0.1697</w:t>
            </w:r>
            <w:r>
              <w:rPr>
                <w:rFonts w:hint="eastAsia" w:ascii="Times New Roman" w:hAnsi="Times New Roman" w:eastAsia="宋体" w:cs="Times New Roman"/>
                <w:bCs/>
                <w:color w:val="auto"/>
                <w:szCs w:val="21"/>
                <w:lang w:val="en-US" w:eastAsia="zh-CN"/>
              </w:rPr>
              <w:t>t/a，SO</w:t>
            </w:r>
            <w:r>
              <w:rPr>
                <w:rFonts w:hint="eastAsia" w:ascii="Times New Roman" w:hAnsi="Times New Roman" w:eastAsia="宋体" w:cs="Times New Roman"/>
                <w:bCs/>
                <w:color w:val="auto"/>
                <w:szCs w:val="21"/>
                <w:vertAlign w:val="subscript"/>
                <w:lang w:val="en-US" w:eastAsia="zh-CN"/>
              </w:rPr>
              <w:t>2</w:t>
            </w:r>
            <w:r>
              <w:rPr>
                <w:rFonts w:hint="eastAsia" w:ascii="Times New Roman" w:hAnsi="Times New Roman" w:eastAsia="宋体" w:cs="Times New Roman"/>
                <w:bCs/>
                <w:color w:val="auto"/>
                <w:szCs w:val="21"/>
                <w:lang w:val="en-US" w:eastAsia="zh-CN"/>
              </w:rPr>
              <w:t>产生量为</w:t>
            </w:r>
            <w:r>
              <w:rPr>
                <w:rFonts w:hint="eastAsia" w:cs="Times New Roman"/>
                <w:bCs/>
                <w:color w:val="auto"/>
                <w:szCs w:val="21"/>
                <w:lang w:val="en-US" w:eastAsia="zh-CN"/>
              </w:rPr>
              <w:t>0.1697</w:t>
            </w:r>
            <w:r>
              <w:rPr>
                <w:rFonts w:hint="eastAsia" w:ascii="Times New Roman" w:hAnsi="Times New Roman" w:eastAsia="宋体" w:cs="Times New Roman"/>
                <w:bCs/>
                <w:color w:val="auto"/>
                <w:szCs w:val="21"/>
                <w:lang w:val="en-US" w:eastAsia="zh-CN"/>
              </w:rPr>
              <w:t>t/a，NOx产生量为</w:t>
            </w:r>
            <w:r>
              <w:rPr>
                <w:rFonts w:hint="eastAsia" w:ascii="Times New Roman" w:hAnsi="Times New Roman" w:cs="Times New Roman"/>
                <w:bCs/>
                <w:color w:val="auto"/>
                <w:szCs w:val="21"/>
                <w:lang w:val="en-US" w:eastAsia="zh-CN"/>
              </w:rPr>
              <w:t>2.5531</w:t>
            </w:r>
            <w:r>
              <w:rPr>
                <w:rFonts w:hint="eastAsia" w:ascii="Times New Roman" w:hAnsi="Times New Roman" w:eastAsia="宋体" w:cs="Times New Roman"/>
                <w:bCs/>
                <w:color w:val="auto"/>
                <w:szCs w:val="21"/>
                <w:lang w:val="en-US" w:eastAsia="zh-CN"/>
              </w:rPr>
              <w:t>t/a。</w:t>
            </w:r>
          </w:p>
          <w:p w14:paraId="06E402FC">
            <w:pPr>
              <w:widowControl/>
              <w:snapToGrid w:val="0"/>
              <w:spacing w:line="360" w:lineRule="auto"/>
              <w:ind w:firstLine="420" w:firstLineChars="200"/>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本项目隧道窑为封闭式结构设备。根据</w:t>
            </w:r>
            <w:r>
              <w:rPr>
                <w:rFonts w:hint="eastAsia"/>
                <w:color w:val="auto"/>
                <w:szCs w:val="21"/>
                <w:lang w:val="en-US" w:eastAsia="zh-CN"/>
              </w:rPr>
              <w:t>《</w:t>
            </w:r>
            <w:r>
              <w:rPr>
                <w:rFonts w:hint="eastAsia"/>
                <w:color w:val="auto"/>
                <w:szCs w:val="21"/>
              </w:rPr>
              <w:t>排污许可证申领与核发技术规范</w:t>
            </w:r>
            <w:r>
              <w:rPr>
                <w:rFonts w:hint="eastAsia"/>
                <w:color w:val="auto"/>
                <w:szCs w:val="21"/>
                <w:lang w:val="en-US" w:eastAsia="zh-CN"/>
              </w:rPr>
              <w:t xml:space="preserve">  工业炉窑》（HJ1121-2020）表14中推荐的可行技术，本项目烘干机采用低氮燃烧技术降低氮氧化物的排放，低氮燃烧技术，是一种低氮预燃室燃烧器，预燃室由一次风、二次风和燃料喷射系统组成，燃料和一次风快速混合，在预燃室内一次燃烧区形成富燃料混合物，由于缺氧，只是部分燃料进行燃烧，燃料在贫氧和火焰温度较低的一次火焰区内析出挥发分，因此减少了氮氧化物的产生。参考</w:t>
            </w:r>
            <w:r>
              <w:rPr>
                <w:rFonts w:hint="eastAsia"/>
                <w:color w:val="auto"/>
                <w:szCs w:val="21"/>
              </w:rPr>
              <w:t>《污染源源强核算技术指南 锅炉》（HJ 991-2018）</w:t>
            </w:r>
            <w:r>
              <w:rPr>
                <w:rFonts w:hint="eastAsia"/>
                <w:color w:val="auto"/>
                <w:szCs w:val="21"/>
                <w:lang w:val="en-US" w:eastAsia="zh-CN"/>
              </w:rPr>
              <w:t>、《工业锅炉污染防治可行技术指南》（HJ1178-2021）中规范内容可知，低氮燃烧技术可降低氮氧化物产生量约50%。之后将</w:t>
            </w:r>
            <w:r>
              <w:rPr>
                <w:rFonts w:hint="eastAsia" w:cs="Times New Roman"/>
                <w:bCs/>
                <w:color w:val="auto"/>
                <w:szCs w:val="21"/>
                <w:lang w:val="en-US" w:eastAsia="zh-CN"/>
              </w:rPr>
              <w:t>隧道废气经引风机引排，</w:t>
            </w:r>
            <w:r>
              <w:rPr>
                <w:rFonts w:hint="eastAsia" w:ascii="Times New Roman" w:hAnsi="Times New Roman" w:eastAsia="宋体" w:cs="Times New Roman"/>
                <w:bCs/>
                <w:color w:val="auto"/>
                <w:szCs w:val="21"/>
                <w:lang w:val="en-US" w:eastAsia="zh-CN"/>
              </w:rPr>
              <w:t>风机风量</w:t>
            </w:r>
            <w:r>
              <w:rPr>
                <w:rFonts w:hint="eastAsia" w:cs="Times New Roman"/>
                <w:bCs/>
                <w:color w:val="auto"/>
                <w:szCs w:val="21"/>
                <w:lang w:val="en-US" w:eastAsia="zh-CN"/>
              </w:rPr>
              <w:t>8</w:t>
            </w:r>
            <w:r>
              <w:rPr>
                <w:rFonts w:hint="eastAsia" w:ascii="Times New Roman" w:hAnsi="Times New Roman" w:eastAsia="宋体" w:cs="Times New Roman"/>
                <w:bCs/>
                <w:color w:val="auto"/>
                <w:szCs w:val="21"/>
                <w:lang w:val="en-US" w:eastAsia="zh-CN"/>
              </w:rPr>
              <w:t>000m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lang w:val="en-US" w:eastAsia="zh-CN"/>
              </w:rPr>
              <w:t>/h</w:t>
            </w:r>
            <w:r>
              <w:rPr>
                <w:rFonts w:hint="eastAsia" w:cs="Times New Roman"/>
                <w:bCs/>
                <w:color w:val="auto"/>
                <w:szCs w:val="21"/>
                <w:lang w:val="en-US" w:eastAsia="zh-CN"/>
              </w:rPr>
              <w:t>（设备厂家提供额定风量），废气</w:t>
            </w:r>
            <w:r>
              <w:rPr>
                <w:rFonts w:hint="eastAsia" w:ascii="Times New Roman" w:hAnsi="Times New Roman" w:eastAsia="宋体" w:cs="Times New Roman"/>
                <w:bCs/>
                <w:color w:val="auto"/>
                <w:szCs w:val="21"/>
                <w:lang w:val="en-US" w:eastAsia="zh-CN"/>
              </w:rPr>
              <w:t>经处理后的烟气经DA00</w:t>
            </w:r>
            <w:r>
              <w:rPr>
                <w:rFonts w:hint="eastAsia" w:cs="Times New Roman"/>
                <w:bCs/>
                <w:color w:val="auto"/>
                <w:szCs w:val="21"/>
                <w:lang w:val="en-US" w:eastAsia="zh-CN"/>
              </w:rPr>
              <w:t>5</w:t>
            </w:r>
            <w:r>
              <w:rPr>
                <w:rFonts w:hint="eastAsia" w:ascii="Times New Roman" w:hAnsi="Times New Roman" w:eastAsia="宋体" w:cs="Times New Roman"/>
                <w:bCs/>
                <w:color w:val="auto"/>
                <w:szCs w:val="21"/>
                <w:lang w:val="en-US" w:eastAsia="zh-CN"/>
              </w:rPr>
              <w:t>（H15m，φ</w:t>
            </w:r>
            <w:r>
              <w:rPr>
                <w:rFonts w:hint="eastAsia" w:cs="Times New Roman"/>
                <w:bCs/>
                <w:color w:val="auto"/>
                <w:szCs w:val="21"/>
                <w:lang w:val="en-US" w:eastAsia="zh-CN"/>
              </w:rPr>
              <w:t>0.5</w:t>
            </w:r>
            <w:r>
              <w:rPr>
                <w:rFonts w:hint="eastAsia" w:ascii="Times New Roman" w:hAnsi="Times New Roman" w:eastAsia="宋体" w:cs="Times New Roman"/>
                <w:bCs/>
                <w:color w:val="auto"/>
                <w:szCs w:val="21"/>
                <w:lang w:val="en-US" w:eastAsia="zh-CN"/>
              </w:rPr>
              <w:t>m）排放。</w:t>
            </w:r>
          </w:p>
          <w:p w14:paraId="55C7B1E3">
            <w:pPr>
              <w:spacing w:line="360" w:lineRule="auto"/>
              <w:ind w:firstLine="420" w:firstLineChars="200"/>
              <w:rPr>
                <w:rFonts w:hint="eastAsia" w:ascii="Times New Roman" w:hAnsi="Times New Roman" w:cs="Times New Roman"/>
                <w:bCs/>
                <w:color w:val="auto"/>
                <w:szCs w:val="21"/>
                <w:vertAlign w:val="baseline"/>
                <w:lang w:val="en-US" w:eastAsia="zh-CN"/>
              </w:rPr>
            </w:pPr>
            <w:r>
              <w:rPr>
                <w:rFonts w:hint="eastAsia" w:ascii="Times New Roman" w:hAnsi="Times New Roman" w:cs="Times New Roman"/>
                <w:bCs/>
                <w:color w:val="auto"/>
                <w:szCs w:val="21"/>
                <w:vertAlign w:val="baseline"/>
                <w:lang w:val="en-US" w:eastAsia="zh-CN"/>
              </w:rPr>
              <w:t>DA005污染物排放量：</w:t>
            </w:r>
          </w:p>
          <w:p w14:paraId="0444B0DB">
            <w:pPr>
              <w:spacing w:line="360" w:lineRule="auto"/>
              <w:ind w:firstLine="420" w:firstLineChars="200"/>
              <w:rPr>
                <w:rFonts w:hint="eastAsia" w:ascii="Times New Roman" w:hAnsi="Times New Roman" w:eastAsia="宋体" w:cs="Times New Roman"/>
                <w:bCs/>
                <w:color w:val="auto"/>
                <w:szCs w:val="21"/>
                <w:vertAlign w:val="baseline"/>
                <w:lang w:val="en-US" w:eastAsia="zh-CN"/>
              </w:rPr>
            </w:pPr>
            <w:r>
              <w:rPr>
                <w:rFonts w:hint="eastAsia" w:ascii="Times New Roman" w:hAnsi="Times New Roman" w:eastAsia="宋体" w:cs="Times New Roman"/>
                <w:bCs/>
                <w:color w:val="auto"/>
                <w:szCs w:val="21"/>
                <w:vertAlign w:val="baseline"/>
                <w:lang w:val="en-US" w:eastAsia="zh-CN"/>
              </w:rPr>
              <w:t>颗粒物排放量为</w:t>
            </w:r>
            <w:r>
              <w:rPr>
                <w:rFonts w:hint="eastAsia" w:cs="Times New Roman"/>
                <w:bCs/>
                <w:color w:val="auto"/>
                <w:szCs w:val="21"/>
                <w:vertAlign w:val="baseline"/>
                <w:lang w:val="en-US" w:eastAsia="zh-CN"/>
              </w:rPr>
              <w:t>0.1697</w:t>
            </w:r>
            <w:r>
              <w:rPr>
                <w:rFonts w:hint="eastAsia" w:ascii="Times New Roman" w:hAnsi="Times New Roman" w:eastAsia="宋体" w:cs="Times New Roman"/>
                <w:bCs/>
                <w:color w:val="auto"/>
                <w:szCs w:val="21"/>
                <w:vertAlign w:val="baseline"/>
                <w:lang w:val="en-US" w:eastAsia="zh-CN"/>
              </w:rPr>
              <w:t>t/a，排放速率</w:t>
            </w:r>
            <w:r>
              <w:rPr>
                <w:rFonts w:hint="eastAsia" w:cs="Times New Roman"/>
                <w:bCs/>
                <w:color w:val="auto"/>
                <w:szCs w:val="21"/>
                <w:vertAlign w:val="baseline"/>
                <w:lang w:val="en-US" w:eastAsia="zh-CN"/>
              </w:rPr>
              <w:t>0.024</w:t>
            </w:r>
            <w:r>
              <w:rPr>
                <w:rFonts w:hint="eastAsia" w:ascii="Times New Roman" w:hAnsi="Times New Roman" w:eastAsia="宋体" w:cs="Times New Roman"/>
                <w:bCs/>
                <w:color w:val="auto"/>
                <w:szCs w:val="21"/>
                <w:vertAlign w:val="baseline"/>
                <w:lang w:val="en-US" w:eastAsia="zh-CN"/>
              </w:rPr>
              <w:t>kg/h，排放浓度</w:t>
            </w:r>
            <w:r>
              <w:rPr>
                <w:rFonts w:hint="eastAsia" w:cs="Times New Roman"/>
                <w:bCs/>
                <w:color w:val="auto"/>
                <w:szCs w:val="21"/>
                <w:vertAlign w:val="baseline"/>
                <w:lang w:val="en-US" w:eastAsia="zh-CN"/>
              </w:rPr>
              <w:t>2.95</w:t>
            </w:r>
            <w:r>
              <w:rPr>
                <w:rFonts w:hint="eastAsia" w:ascii="Times New Roman" w:hAnsi="Times New Roman" w:eastAsia="宋体" w:cs="Times New Roman"/>
                <w:bCs/>
                <w:color w:val="auto"/>
                <w:szCs w:val="21"/>
                <w:vertAlign w:val="baseline"/>
                <w:lang w:val="en-US" w:eastAsia="zh-CN"/>
              </w:rPr>
              <w:t>mg/m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vertAlign w:val="baseline"/>
                <w:lang w:val="en-US" w:eastAsia="zh-CN"/>
              </w:rPr>
              <w:t>；</w:t>
            </w:r>
          </w:p>
          <w:p w14:paraId="448D95D9">
            <w:pPr>
              <w:spacing w:line="360" w:lineRule="auto"/>
              <w:ind w:firstLine="420" w:firstLineChars="200"/>
              <w:rPr>
                <w:rFonts w:hint="eastAsia" w:ascii="Times New Roman" w:hAnsi="Times New Roman" w:eastAsia="宋体" w:cs="Times New Roman"/>
                <w:bCs/>
                <w:color w:val="auto"/>
                <w:szCs w:val="21"/>
                <w:vertAlign w:val="baseline"/>
                <w:lang w:val="en-US" w:eastAsia="zh-CN"/>
              </w:rPr>
            </w:pPr>
            <w:r>
              <w:rPr>
                <w:rFonts w:hint="eastAsia" w:ascii="Times New Roman" w:hAnsi="Times New Roman" w:eastAsia="宋体" w:cs="Times New Roman"/>
                <w:bCs/>
                <w:color w:val="auto"/>
                <w:szCs w:val="21"/>
                <w:lang w:val="en-US" w:eastAsia="zh-CN"/>
              </w:rPr>
              <w:t>SO</w:t>
            </w:r>
            <w:r>
              <w:rPr>
                <w:rFonts w:hint="eastAsia" w:ascii="Times New Roman" w:hAnsi="Times New Roman" w:eastAsia="宋体" w:cs="Times New Roman"/>
                <w:bCs/>
                <w:color w:val="auto"/>
                <w:szCs w:val="21"/>
                <w:vertAlign w:val="subscript"/>
                <w:lang w:val="en-US" w:eastAsia="zh-CN"/>
              </w:rPr>
              <w:t>2</w:t>
            </w:r>
            <w:r>
              <w:rPr>
                <w:rFonts w:hint="eastAsia" w:ascii="Times New Roman" w:hAnsi="Times New Roman" w:eastAsia="宋体" w:cs="Times New Roman"/>
                <w:bCs/>
                <w:color w:val="auto"/>
                <w:szCs w:val="21"/>
                <w:vertAlign w:val="baseline"/>
                <w:lang w:val="en-US" w:eastAsia="zh-CN"/>
              </w:rPr>
              <w:t>排放量为</w:t>
            </w:r>
            <w:r>
              <w:rPr>
                <w:rFonts w:hint="eastAsia" w:cs="Times New Roman"/>
                <w:bCs/>
                <w:color w:val="auto"/>
                <w:szCs w:val="21"/>
                <w:vertAlign w:val="baseline"/>
                <w:lang w:val="en-US" w:eastAsia="zh-CN"/>
              </w:rPr>
              <w:t>0.1697</w:t>
            </w:r>
            <w:r>
              <w:rPr>
                <w:rFonts w:hint="eastAsia" w:ascii="Times New Roman" w:hAnsi="Times New Roman" w:eastAsia="宋体" w:cs="Times New Roman"/>
                <w:bCs/>
                <w:color w:val="auto"/>
                <w:szCs w:val="21"/>
                <w:vertAlign w:val="baseline"/>
                <w:lang w:val="en-US" w:eastAsia="zh-CN"/>
              </w:rPr>
              <w:t>t/a，排放速率</w:t>
            </w:r>
            <w:r>
              <w:rPr>
                <w:rFonts w:hint="eastAsia" w:cs="Times New Roman"/>
                <w:bCs/>
                <w:color w:val="auto"/>
                <w:szCs w:val="21"/>
                <w:vertAlign w:val="baseline"/>
                <w:lang w:val="en-US" w:eastAsia="zh-CN"/>
              </w:rPr>
              <w:t>0.024</w:t>
            </w:r>
            <w:r>
              <w:rPr>
                <w:rFonts w:hint="eastAsia" w:ascii="Times New Roman" w:hAnsi="Times New Roman" w:eastAsia="宋体" w:cs="Times New Roman"/>
                <w:bCs/>
                <w:color w:val="auto"/>
                <w:szCs w:val="21"/>
                <w:vertAlign w:val="baseline"/>
                <w:lang w:val="en-US" w:eastAsia="zh-CN"/>
              </w:rPr>
              <w:t>kg/h，排放浓度</w:t>
            </w:r>
            <w:r>
              <w:rPr>
                <w:rFonts w:hint="eastAsia" w:cs="Times New Roman"/>
                <w:bCs/>
                <w:color w:val="auto"/>
                <w:szCs w:val="21"/>
                <w:vertAlign w:val="baseline"/>
                <w:lang w:val="en-US" w:eastAsia="zh-CN"/>
              </w:rPr>
              <w:t>2.95</w:t>
            </w:r>
            <w:r>
              <w:rPr>
                <w:rFonts w:hint="eastAsia" w:ascii="Times New Roman" w:hAnsi="Times New Roman" w:eastAsia="宋体" w:cs="Times New Roman"/>
                <w:bCs/>
                <w:color w:val="auto"/>
                <w:szCs w:val="21"/>
                <w:vertAlign w:val="baseline"/>
                <w:lang w:val="en-US" w:eastAsia="zh-CN"/>
              </w:rPr>
              <w:t>mg/m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vertAlign w:val="baseline"/>
                <w:lang w:val="en-US" w:eastAsia="zh-CN"/>
              </w:rPr>
              <w:t>；</w:t>
            </w:r>
          </w:p>
          <w:p w14:paraId="6DCBAF9A">
            <w:pPr>
              <w:spacing w:line="360" w:lineRule="auto"/>
              <w:ind w:firstLine="420" w:firstLineChars="200"/>
              <w:rPr>
                <w:rFonts w:hint="eastAsia" w:ascii="Times New Roman" w:hAnsi="Times New Roman" w:eastAsia="宋体" w:cs="Times New Roman"/>
                <w:bCs/>
                <w:color w:val="auto"/>
                <w:szCs w:val="21"/>
                <w:vertAlign w:val="baseline"/>
                <w:lang w:val="en-US" w:eastAsia="zh-CN"/>
              </w:rPr>
            </w:pPr>
            <w:r>
              <w:rPr>
                <w:rFonts w:hint="eastAsia" w:ascii="Times New Roman" w:hAnsi="Times New Roman" w:eastAsia="宋体" w:cs="Times New Roman"/>
                <w:bCs/>
                <w:color w:val="auto"/>
                <w:szCs w:val="21"/>
                <w:lang w:val="en-US" w:eastAsia="zh-CN"/>
              </w:rPr>
              <w:t>NOx</w:t>
            </w:r>
            <w:r>
              <w:rPr>
                <w:rFonts w:hint="eastAsia" w:ascii="Times New Roman" w:hAnsi="Times New Roman" w:eastAsia="宋体" w:cs="Times New Roman"/>
                <w:bCs/>
                <w:color w:val="auto"/>
                <w:szCs w:val="21"/>
                <w:vertAlign w:val="baseline"/>
                <w:lang w:val="en-US" w:eastAsia="zh-CN"/>
              </w:rPr>
              <w:t>排放量为</w:t>
            </w:r>
            <w:r>
              <w:rPr>
                <w:rFonts w:hint="eastAsia" w:cs="Times New Roman"/>
                <w:bCs/>
                <w:color w:val="auto"/>
                <w:szCs w:val="21"/>
                <w:vertAlign w:val="baseline"/>
                <w:lang w:val="en-US" w:eastAsia="zh-CN"/>
              </w:rPr>
              <w:t>1.2766</w:t>
            </w:r>
            <w:r>
              <w:rPr>
                <w:rFonts w:hint="eastAsia" w:ascii="Times New Roman" w:hAnsi="Times New Roman" w:eastAsia="宋体" w:cs="Times New Roman"/>
                <w:bCs/>
                <w:color w:val="auto"/>
                <w:szCs w:val="21"/>
                <w:vertAlign w:val="baseline"/>
                <w:lang w:val="en-US" w:eastAsia="zh-CN"/>
              </w:rPr>
              <w:t>t/a，排放速率</w:t>
            </w:r>
            <w:r>
              <w:rPr>
                <w:rFonts w:hint="eastAsia" w:cs="Times New Roman"/>
                <w:bCs/>
                <w:color w:val="auto"/>
                <w:szCs w:val="21"/>
                <w:vertAlign w:val="baseline"/>
                <w:lang w:val="en-US" w:eastAsia="zh-CN"/>
              </w:rPr>
              <w:t>0.177</w:t>
            </w:r>
            <w:r>
              <w:rPr>
                <w:rFonts w:hint="eastAsia" w:ascii="Times New Roman" w:hAnsi="Times New Roman" w:eastAsia="宋体" w:cs="Times New Roman"/>
                <w:bCs/>
                <w:color w:val="auto"/>
                <w:szCs w:val="21"/>
                <w:vertAlign w:val="baseline"/>
                <w:lang w:val="en-US" w:eastAsia="zh-CN"/>
              </w:rPr>
              <w:t>kg/h，排放浓度</w:t>
            </w:r>
            <w:r>
              <w:rPr>
                <w:rFonts w:hint="eastAsia" w:cs="Times New Roman"/>
                <w:bCs/>
                <w:color w:val="auto"/>
                <w:szCs w:val="21"/>
                <w:vertAlign w:val="baseline"/>
                <w:lang w:val="en-US" w:eastAsia="zh-CN"/>
              </w:rPr>
              <w:t>22.16</w:t>
            </w:r>
            <w:r>
              <w:rPr>
                <w:rFonts w:hint="eastAsia" w:ascii="Times New Roman" w:hAnsi="Times New Roman" w:eastAsia="宋体" w:cs="Times New Roman"/>
                <w:bCs/>
                <w:color w:val="auto"/>
                <w:szCs w:val="21"/>
                <w:vertAlign w:val="baseline"/>
                <w:lang w:val="en-US" w:eastAsia="zh-CN"/>
              </w:rPr>
              <w:t>mg/m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vertAlign w:val="baseline"/>
                <w:lang w:val="en-US" w:eastAsia="zh-CN"/>
              </w:rPr>
              <w:t>。</w:t>
            </w:r>
          </w:p>
          <w:p w14:paraId="5A09167B">
            <w:pPr>
              <w:spacing w:line="360" w:lineRule="auto"/>
              <w:ind w:firstLine="420" w:firstLineChars="200"/>
              <w:rPr>
                <w:rFonts w:hint="eastAsia"/>
                <w:color w:val="auto"/>
                <w:szCs w:val="21"/>
                <w:lang w:eastAsia="zh-CN"/>
              </w:rPr>
            </w:pPr>
            <w:r>
              <w:rPr>
                <w:rFonts w:hint="eastAsia" w:ascii="Times New Roman" w:hAnsi="Times New Roman" w:eastAsia="宋体" w:cs="Times New Roman"/>
                <w:bCs/>
                <w:color w:val="auto"/>
                <w:szCs w:val="21"/>
                <w:vertAlign w:val="baseline"/>
                <w:lang w:val="en-US" w:eastAsia="zh-CN"/>
              </w:rPr>
              <w:t>污染物排放满足</w:t>
            </w:r>
            <w:r>
              <w:rPr>
                <w:color w:val="auto"/>
                <w:szCs w:val="21"/>
              </w:rPr>
              <w:t>《</w:t>
            </w:r>
            <w:r>
              <w:rPr>
                <w:rFonts w:hint="eastAsia"/>
                <w:color w:val="auto"/>
                <w:szCs w:val="21"/>
              </w:rPr>
              <w:t>山西省工业炉窑大气污染综合治理实施方案</w:t>
            </w:r>
            <w:r>
              <w:rPr>
                <w:color w:val="auto"/>
                <w:szCs w:val="21"/>
              </w:rPr>
              <w:t>》（</w:t>
            </w:r>
            <w:r>
              <w:rPr>
                <w:rFonts w:hint="eastAsia"/>
                <w:color w:val="auto"/>
                <w:szCs w:val="21"/>
              </w:rPr>
              <w:t>晋环大气[2019]164号</w:t>
            </w:r>
            <w:r>
              <w:rPr>
                <w:color w:val="auto"/>
                <w:szCs w:val="21"/>
              </w:rPr>
              <w:t>）</w:t>
            </w:r>
            <w:r>
              <w:rPr>
                <w:rFonts w:hint="eastAsia"/>
                <w:color w:val="auto"/>
                <w:szCs w:val="21"/>
              </w:rPr>
              <w:t>中规定的限值要求</w:t>
            </w:r>
            <w:r>
              <w:rPr>
                <w:rFonts w:hint="eastAsia"/>
                <w:color w:val="auto"/>
                <w:szCs w:val="21"/>
                <w:lang w:eastAsia="zh-CN"/>
              </w:rPr>
              <w:t>（</w:t>
            </w:r>
            <w:r>
              <w:rPr>
                <w:rFonts w:hint="eastAsia"/>
                <w:color w:val="auto"/>
                <w:szCs w:val="21"/>
                <w:lang w:val="en-US" w:eastAsia="zh-CN"/>
              </w:rPr>
              <w:t>颗粒物30</w:t>
            </w:r>
            <w:r>
              <w:rPr>
                <w:rFonts w:hint="eastAsia" w:ascii="Times New Roman" w:hAnsi="Times New Roman" w:eastAsia="宋体" w:cs="Times New Roman"/>
                <w:bCs/>
                <w:color w:val="auto"/>
                <w:szCs w:val="21"/>
                <w:lang w:val="en-US" w:eastAsia="zh-CN"/>
              </w:rPr>
              <w:t>mg/m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lang w:val="en-US" w:eastAsia="zh-CN"/>
              </w:rPr>
              <w:t>，SO</w:t>
            </w:r>
            <w:r>
              <w:rPr>
                <w:rFonts w:hint="eastAsia" w:ascii="Times New Roman" w:hAnsi="Times New Roman" w:eastAsia="宋体" w:cs="Times New Roman"/>
                <w:bCs/>
                <w:color w:val="auto"/>
                <w:szCs w:val="21"/>
                <w:vertAlign w:val="subscript"/>
                <w:lang w:val="en-US" w:eastAsia="zh-CN"/>
              </w:rPr>
              <w:t>2</w:t>
            </w:r>
            <w:r>
              <w:rPr>
                <w:rFonts w:hint="eastAsia" w:ascii="Times New Roman" w:hAnsi="Times New Roman" w:eastAsia="宋体" w:cs="Times New Roman"/>
                <w:bCs/>
                <w:color w:val="auto"/>
                <w:szCs w:val="21"/>
                <w:lang w:val="en-US" w:eastAsia="zh-CN"/>
              </w:rPr>
              <w:t>200mg/m</w:t>
            </w:r>
            <w:r>
              <w:rPr>
                <w:rFonts w:hint="eastAsia" w:ascii="Times New Roman" w:hAnsi="Times New Roman" w:eastAsia="宋体" w:cs="Times New Roman"/>
                <w:bCs/>
                <w:color w:val="auto"/>
                <w:szCs w:val="21"/>
                <w:vertAlign w:val="superscript"/>
                <w:lang w:val="en-US" w:eastAsia="zh-CN"/>
              </w:rPr>
              <w:t>3</w:t>
            </w:r>
            <w:r>
              <w:rPr>
                <w:rFonts w:hint="eastAsia" w:ascii="Times New Roman" w:hAnsi="Times New Roman" w:eastAsia="宋体" w:cs="Times New Roman"/>
                <w:bCs/>
                <w:color w:val="auto"/>
                <w:szCs w:val="21"/>
                <w:lang w:val="en-US" w:eastAsia="zh-CN"/>
              </w:rPr>
              <w:t>，NOx300mg/m</w:t>
            </w:r>
            <w:r>
              <w:rPr>
                <w:rFonts w:hint="eastAsia" w:ascii="Times New Roman" w:hAnsi="Times New Roman" w:eastAsia="宋体" w:cs="Times New Roman"/>
                <w:bCs/>
                <w:color w:val="auto"/>
                <w:szCs w:val="21"/>
                <w:vertAlign w:val="superscript"/>
                <w:lang w:val="en-US" w:eastAsia="zh-CN"/>
              </w:rPr>
              <w:t>3</w:t>
            </w:r>
            <w:r>
              <w:rPr>
                <w:rFonts w:hint="eastAsia"/>
                <w:color w:val="auto"/>
                <w:szCs w:val="21"/>
                <w:lang w:eastAsia="zh-CN"/>
              </w:rPr>
              <w:t>）。</w:t>
            </w:r>
          </w:p>
          <w:p w14:paraId="2F9853CB">
            <w:pPr>
              <w:autoSpaceDE w:val="0"/>
              <w:autoSpaceDN w:val="0"/>
              <w:adjustRightInd w:val="0"/>
              <w:spacing w:line="360" w:lineRule="auto"/>
              <w:ind w:firstLine="422" w:firstLineChars="200"/>
              <w:rPr>
                <w:b/>
                <w:bCs/>
                <w:szCs w:val="21"/>
              </w:rPr>
            </w:pPr>
            <w:r>
              <w:rPr>
                <w:rFonts w:hint="eastAsia"/>
                <w:b/>
                <w:bCs/>
                <w:szCs w:val="21"/>
              </w:rPr>
              <w:t>（5）餐饮油烟</w:t>
            </w:r>
          </w:p>
          <w:p w14:paraId="4F5674C6">
            <w:pPr>
              <w:autoSpaceDE w:val="0"/>
              <w:autoSpaceDN w:val="0"/>
              <w:adjustRightInd w:val="0"/>
              <w:spacing w:line="360" w:lineRule="auto"/>
              <w:ind w:firstLine="420" w:firstLineChars="200"/>
              <w:rPr>
                <w:szCs w:val="21"/>
              </w:rPr>
            </w:pPr>
            <w:r>
              <w:rPr>
                <w:rFonts w:hint="eastAsia"/>
                <w:szCs w:val="21"/>
              </w:rPr>
              <w:t>项目食堂设计有基准灶头数总计</w:t>
            </w:r>
            <w:r>
              <w:rPr>
                <w:szCs w:val="21"/>
              </w:rPr>
              <w:t>2</w:t>
            </w:r>
            <w:r>
              <w:rPr>
                <w:rFonts w:hint="eastAsia"/>
                <w:szCs w:val="21"/>
              </w:rPr>
              <w:t>个，规模属于小型食堂，员工为5</w:t>
            </w:r>
            <w:r>
              <w:rPr>
                <w:szCs w:val="21"/>
              </w:rPr>
              <w:t>0</w:t>
            </w:r>
            <w:r>
              <w:rPr>
                <w:rFonts w:hint="eastAsia"/>
                <w:szCs w:val="21"/>
              </w:rPr>
              <w:t>人，年工作</w:t>
            </w:r>
            <w:r>
              <w:rPr>
                <w:szCs w:val="21"/>
              </w:rPr>
              <w:t>300</w:t>
            </w:r>
            <w:r>
              <w:rPr>
                <w:rFonts w:hint="eastAsia"/>
                <w:szCs w:val="21"/>
              </w:rPr>
              <w:t>天，根据营养学调查，食用油使用量按照每人每天</w:t>
            </w:r>
            <w:r>
              <w:rPr>
                <w:szCs w:val="21"/>
              </w:rPr>
              <w:t>25g</w:t>
            </w:r>
            <w:r>
              <w:rPr>
                <w:rFonts w:hint="eastAsia"/>
                <w:szCs w:val="21"/>
              </w:rPr>
              <w:t>计算。油烟废气中含油质、有机质及加热分解或裂解产物，则项目食用油消耗量约为</w:t>
            </w:r>
            <w:r>
              <w:rPr>
                <w:szCs w:val="21"/>
              </w:rPr>
              <w:t>0.</w:t>
            </w:r>
            <w:r>
              <w:rPr>
                <w:rFonts w:hint="eastAsia"/>
                <w:szCs w:val="21"/>
              </w:rPr>
              <w:t>37</w:t>
            </w:r>
            <w:r>
              <w:rPr>
                <w:szCs w:val="21"/>
              </w:rPr>
              <w:t>5t/a</w:t>
            </w:r>
            <w:r>
              <w:rPr>
                <w:rFonts w:hint="eastAsia"/>
                <w:szCs w:val="21"/>
              </w:rPr>
              <w:t>。</w:t>
            </w:r>
          </w:p>
          <w:p w14:paraId="2C0BD6D9">
            <w:pPr>
              <w:autoSpaceDE w:val="0"/>
              <w:autoSpaceDN w:val="0"/>
              <w:adjustRightInd w:val="0"/>
              <w:spacing w:line="360" w:lineRule="auto"/>
              <w:ind w:firstLine="420" w:firstLineChars="200"/>
              <w:rPr>
                <w:rFonts w:hint="eastAsia" w:ascii="Times New Roman" w:hAnsi="Times New Roman" w:cs="Times New Roman"/>
                <w:szCs w:val="21"/>
                <w:lang w:eastAsia="zh-CN"/>
              </w:rPr>
            </w:pPr>
            <w:r>
              <w:rPr>
                <w:rFonts w:hint="eastAsia" w:ascii="Times New Roman" w:hAnsi="Times New Roman" w:cs="Times New Roman"/>
                <w:szCs w:val="21"/>
              </w:rPr>
              <w:t>烹饪过程中食用油的挥发损失约为3%，即项目产生油烟量约为0.01125t/a，按日高峰期3h计，则高峰期项目所排出的油烟量约为0.0125kg/h，油烟产生浓度约为2.5mg/m</w:t>
            </w:r>
            <w:r>
              <w:rPr>
                <w:rFonts w:hint="eastAsia" w:ascii="Times New Roman" w:hAnsi="Times New Roman" w:cs="Times New Roman"/>
                <w:szCs w:val="21"/>
                <w:vertAlign w:val="superscript"/>
              </w:rPr>
              <w:t>3</w:t>
            </w:r>
            <w:r>
              <w:rPr>
                <w:rFonts w:hint="eastAsia" w:ascii="Times New Roman" w:hAnsi="Times New Roman" w:cs="Times New Roman"/>
                <w:szCs w:val="21"/>
              </w:rPr>
              <w:t>（每个灶头风量2500m</w:t>
            </w:r>
            <w:r>
              <w:rPr>
                <w:rFonts w:hint="eastAsia" w:ascii="Times New Roman" w:hAnsi="Times New Roman" w:cs="Times New Roman"/>
                <w:szCs w:val="21"/>
                <w:vertAlign w:val="superscript"/>
              </w:rPr>
              <w:t>3</w:t>
            </w:r>
            <w:r>
              <w:rPr>
                <w:rFonts w:hint="eastAsia" w:ascii="Times New Roman" w:hAnsi="Times New Roman" w:cs="Times New Roman"/>
                <w:szCs w:val="21"/>
              </w:rPr>
              <w:t>/h）。项目安装经国家认可的单位检测合格的油烟净化设施（油烟净化效率≥85%）净化后从专用烟道排出，排放量约为0.0017t/a，油烟排放浓度约为0.375mg/m</w:t>
            </w:r>
            <w:r>
              <w:rPr>
                <w:rFonts w:hint="eastAsia" w:ascii="Times New Roman" w:hAnsi="Times New Roman" w:cs="Times New Roman"/>
                <w:szCs w:val="21"/>
                <w:vertAlign w:val="superscript"/>
              </w:rPr>
              <w:t>3</w:t>
            </w:r>
            <w:r>
              <w:rPr>
                <w:rFonts w:hint="eastAsia" w:ascii="Times New Roman" w:hAnsi="Times New Roman" w:cs="Times New Roman"/>
                <w:szCs w:val="21"/>
              </w:rPr>
              <w:t>，满足《饮食业油烟排放标准》（18483-2001）要求。</w:t>
            </w:r>
          </w:p>
          <w:p w14:paraId="04507759">
            <w:pPr>
              <w:spacing w:line="240" w:lineRule="atLeast"/>
              <w:jc w:val="center"/>
              <w:rPr>
                <w:b/>
                <w:sz w:val="18"/>
                <w:szCs w:val="18"/>
              </w:rPr>
            </w:pPr>
            <w:r>
              <w:rPr>
                <w:b/>
                <w:sz w:val="18"/>
                <w:szCs w:val="18"/>
              </w:rPr>
              <w:t>表</w:t>
            </w:r>
            <w:r>
              <w:rPr>
                <w:rFonts w:hint="eastAsia"/>
                <w:b/>
                <w:sz w:val="18"/>
                <w:szCs w:val="18"/>
              </w:rPr>
              <w:t>4</w:t>
            </w:r>
            <w:r>
              <w:rPr>
                <w:rFonts w:hint="eastAsia"/>
                <w:b/>
                <w:sz w:val="18"/>
                <w:szCs w:val="18"/>
                <w:lang w:val="en-US" w:eastAsia="zh-CN"/>
              </w:rPr>
              <w:t>.1</w:t>
            </w:r>
            <w:r>
              <w:rPr>
                <w:rFonts w:hint="eastAsia"/>
                <w:b/>
                <w:sz w:val="18"/>
                <w:szCs w:val="18"/>
              </w:rPr>
              <w:t>-</w:t>
            </w:r>
            <w:r>
              <w:rPr>
                <w:rFonts w:hint="eastAsia"/>
                <w:b/>
                <w:sz w:val="18"/>
                <w:szCs w:val="18"/>
                <w:lang w:val="en-US" w:eastAsia="zh-CN"/>
              </w:rPr>
              <w:t>8</w:t>
            </w:r>
            <w:r>
              <w:rPr>
                <w:b/>
                <w:sz w:val="18"/>
                <w:szCs w:val="18"/>
              </w:rPr>
              <w:t xml:space="preserve">     </w:t>
            </w:r>
            <w:r>
              <w:rPr>
                <w:rFonts w:hint="eastAsia"/>
                <w:b/>
                <w:sz w:val="18"/>
                <w:szCs w:val="18"/>
              </w:rPr>
              <w:t>本项目废气产</w:t>
            </w:r>
            <w:r>
              <w:rPr>
                <w:b/>
                <w:sz w:val="18"/>
                <w:szCs w:val="18"/>
              </w:rPr>
              <w:t>排放情况汇总表</w:t>
            </w:r>
          </w:p>
          <w:tbl>
            <w:tblPr>
              <w:tblStyle w:val="4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4"/>
              <w:gridCol w:w="538"/>
              <w:gridCol w:w="437"/>
              <w:gridCol w:w="391"/>
              <w:gridCol w:w="596"/>
              <w:gridCol w:w="687"/>
              <w:gridCol w:w="1985"/>
              <w:gridCol w:w="939"/>
              <w:gridCol w:w="643"/>
              <w:gridCol w:w="670"/>
              <w:gridCol w:w="636"/>
            </w:tblGrid>
            <w:tr w14:paraId="425AE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7" w:hRule="atLeast"/>
              </w:trPr>
              <w:tc>
                <w:tcPr>
                  <w:tcW w:w="249" w:type="pct"/>
                  <w:vMerge w:val="restart"/>
                  <w:tcBorders>
                    <w:tl2br w:val="nil"/>
                    <w:tr2bl w:val="nil"/>
                  </w:tcBorders>
                  <w:vAlign w:val="center"/>
                </w:tcPr>
                <w:p w14:paraId="1142ACE1">
                  <w:pPr>
                    <w:spacing w:line="240" w:lineRule="exact"/>
                    <w:jc w:val="center"/>
                    <w:rPr>
                      <w:rFonts w:eastAsiaTheme="minorEastAsia"/>
                      <w:sz w:val="15"/>
                      <w:szCs w:val="15"/>
                    </w:rPr>
                  </w:pPr>
                  <w:r>
                    <w:rPr>
                      <w:rFonts w:eastAsiaTheme="minorEastAsia"/>
                      <w:sz w:val="15"/>
                      <w:szCs w:val="15"/>
                    </w:rPr>
                    <w:t>编号</w:t>
                  </w:r>
                </w:p>
              </w:tc>
              <w:tc>
                <w:tcPr>
                  <w:tcW w:w="340" w:type="pct"/>
                  <w:vMerge w:val="restart"/>
                  <w:tcBorders>
                    <w:tl2br w:val="nil"/>
                    <w:tr2bl w:val="nil"/>
                  </w:tcBorders>
                  <w:vAlign w:val="center"/>
                </w:tcPr>
                <w:p w14:paraId="07FEC55A">
                  <w:pPr>
                    <w:spacing w:line="240" w:lineRule="exact"/>
                    <w:jc w:val="center"/>
                    <w:rPr>
                      <w:rFonts w:eastAsiaTheme="minorEastAsia"/>
                      <w:sz w:val="15"/>
                      <w:szCs w:val="15"/>
                    </w:rPr>
                  </w:pPr>
                  <w:r>
                    <w:rPr>
                      <w:rFonts w:eastAsiaTheme="minorEastAsia"/>
                      <w:sz w:val="15"/>
                      <w:szCs w:val="15"/>
                    </w:rPr>
                    <w:t>位置</w:t>
                  </w:r>
                </w:p>
              </w:tc>
              <w:tc>
                <w:tcPr>
                  <w:tcW w:w="276" w:type="pct"/>
                  <w:vMerge w:val="restart"/>
                  <w:tcBorders>
                    <w:tl2br w:val="nil"/>
                    <w:tr2bl w:val="nil"/>
                  </w:tcBorders>
                  <w:vAlign w:val="center"/>
                </w:tcPr>
                <w:p w14:paraId="417F9E15">
                  <w:pPr>
                    <w:spacing w:line="240" w:lineRule="exact"/>
                    <w:jc w:val="center"/>
                    <w:rPr>
                      <w:rFonts w:eastAsiaTheme="minorEastAsia"/>
                      <w:sz w:val="15"/>
                      <w:szCs w:val="15"/>
                    </w:rPr>
                  </w:pPr>
                  <w:r>
                    <w:rPr>
                      <w:rFonts w:eastAsiaTheme="minorEastAsia"/>
                      <w:sz w:val="15"/>
                      <w:szCs w:val="15"/>
                    </w:rPr>
                    <w:t>产污环节</w:t>
                  </w:r>
                  <w:r>
                    <w:rPr>
                      <w:rFonts w:hint="eastAsia" w:eastAsiaTheme="minorEastAsia"/>
                      <w:sz w:val="15"/>
                      <w:szCs w:val="15"/>
                    </w:rPr>
                    <w:t>/工序</w:t>
                  </w:r>
                </w:p>
              </w:tc>
              <w:tc>
                <w:tcPr>
                  <w:tcW w:w="245" w:type="pct"/>
                  <w:vMerge w:val="restart"/>
                  <w:tcBorders>
                    <w:tl2br w:val="nil"/>
                    <w:tr2bl w:val="nil"/>
                  </w:tcBorders>
                  <w:vAlign w:val="center"/>
                </w:tcPr>
                <w:p w14:paraId="0F9E83F7">
                  <w:pPr>
                    <w:spacing w:line="240" w:lineRule="exact"/>
                    <w:jc w:val="center"/>
                    <w:rPr>
                      <w:rFonts w:eastAsiaTheme="minorEastAsia"/>
                      <w:sz w:val="15"/>
                      <w:szCs w:val="15"/>
                    </w:rPr>
                  </w:pPr>
                  <w:r>
                    <w:rPr>
                      <w:rFonts w:eastAsiaTheme="minorEastAsia"/>
                      <w:sz w:val="15"/>
                      <w:szCs w:val="15"/>
                    </w:rPr>
                    <w:t>污染物</w:t>
                  </w:r>
                </w:p>
              </w:tc>
              <w:tc>
                <w:tcPr>
                  <w:tcW w:w="376" w:type="pct"/>
                  <w:vMerge w:val="restart"/>
                  <w:tcBorders>
                    <w:tl2br w:val="nil"/>
                    <w:tr2bl w:val="nil"/>
                  </w:tcBorders>
                  <w:vAlign w:val="center"/>
                </w:tcPr>
                <w:p w14:paraId="77271784">
                  <w:pPr>
                    <w:spacing w:line="240" w:lineRule="exact"/>
                    <w:jc w:val="center"/>
                    <w:rPr>
                      <w:rFonts w:eastAsiaTheme="minorEastAsia"/>
                      <w:sz w:val="15"/>
                      <w:szCs w:val="15"/>
                    </w:rPr>
                  </w:pPr>
                  <w:r>
                    <w:rPr>
                      <w:rFonts w:hint="eastAsia" w:eastAsiaTheme="minorEastAsia"/>
                      <w:sz w:val="15"/>
                      <w:szCs w:val="15"/>
                    </w:rPr>
                    <w:t>风量</w:t>
                  </w:r>
                  <w:r>
                    <w:rPr>
                      <w:sz w:val="15"/>
                      <w:szCs w:val="15"/>
                    </w:rPr>
                    <w:t>m</w:t>
                  </w:r>
                  <w:r>
                    <w:rPr>
                      <w:sz w:val="15"/>
                      <w:szCs w:val="15"/>
                      <w:vertAlign w:val="superscript"/>
                    </w:rPr>
                    <w:t>3</w:t>
                  </w:r>
                  <w:r>
                    <w:rPr>
                      <w:sz w:val="15"/>
                      <w:szCs w:val="15"/>
                    </w:rPr>
                    <w:t>/h</w:t>
                  </w:r>
                </w:p>
              </w:tc>
              <w:tc>
                <w:tcPr>
                  <w:tcW w:w="434" w:type="pct"/>
                  <w:vMerge w:val="restart"/>
                  <w:tcBorders>
                    <w:tl2br w:val="nil"/>
                    <w:tr2bl w:val="nil"/>
                  </w:tcBorders>
                  <w:vAlign w:val="center"/>
                </w:tcPr>
                <w:p w14:paraId="644F0AF6">
                  <w:pPr>
                    <w:spacing w:line="240" w:lineRule="exact"/>
                    <w:jc w:val="center"/>
                    <w:rPr>
                      <w:rFonts w:eastAsiaTheme="minorEastAsia"/>
                      <w:sz w:val="15"/>
                      <w:szCs w:val="15"/>
                    </w:rPr>
                  </w:pPr>
                  <w:r>
                    <w:rPr>
                      <w:rFonts w:eastAsiaTheme="minorEastAsia"/>
                      <w:sz w:val="15"/>
                      <w:szCs w:val="15"/>
                    </w:rPr>
                    <w:t>产生</w:t>
                  </w:r>
                  <w:r>
                    <w:rPr>
                      <w:rFonts w:hint="eastAsia" w:eastAsiaTheme="minorEastAsia"/>
                      <w:sz w:val="15"/>
                      <w:szCs w:val="15"/>
                    </w:rPr>
                    <w:t>量</w:t>
                  </w:r>
                </w:p>
                <w:p w14:paraId="038D19FC">
                  <w:pPr>
                    <w:jc w:val="center"/>
                    <w:rPr>
                      <w:rFonts w:eastAsiaTheme="minorEastAsia"/>
                      <w:sz w:val="15"/>
                      <w:szCs w:val="15"/>
                    </w:rPr>
                  </w:pPr>
                  <w:r>
                    <w:rPr>
                      <w:rFonts w:hint="eastAsia" w:eastAsiaTheme="minorEastAsia"/>
                      <w:sz w:val="15"/>
                      <w:szCs w:val="15"/>
                    </w:rPr>
                    <w:t>t/a</w:t>
                  </w:r>
                </w:p>
              </w:tc>
              <w:tc>
                <w:tcPr>
                  <w:tcW w:w="1253" w:type="pct"/>
                  <w:vMerge w:val="restart"/>
                  <w:tcBorders>
                    <w:tl2br w:val="nil"/>
                    <w:tr2bl w:val="nil"/>
                  </w:tcBorders>
                  <w:vAlign w:val="center"/>
                </w:tcPr>
                <w:p w14:paraId="011E2CC0">
                  <w:pPr>
                    <w:spacing w:line="240" w:lineRule="exact"/>
                    <w:jc w:val="center"/>
                    <w:rPr>
                      <w:rFonts w:eastAsiaTheme="minorEastAsia"/>
                      <w:sz w:val="15"/>
                      <w:szCs w:val="15"/>
                    </w:rPr>
                  </w:pPr>
                  <w:r>
                    <w:rPr>
                      <w:rFonts w:hint="eastAsia" w:eastAsiaTheme="minorEastAsia"/>
                      <w:sz w:val="15"/>
                      <w:szCs w:val="15"/>
                    </w:rPr>
                    <w:t>废气</w:t>
                  </w:r>
                  <w:r>
                    <w:rPr>
                      <w:rFonts w:eastAsiaTheme="minorEastAsia"/>
                      <w:sz w:val="15"/>
                      <w:szCs w:val="15"/>
                    </w:rPr>
                    <w:t>防治措施</w:t>
                  </w:r>
                </w:p>
              </w:tc>
              <w:tc>
                <w:tcPr>
                  <w:tcW w:w="593" w:type="pct"/>
                  <w:vMerge w:val="restart"/>
                  <w:tcBorders>
                    <w:tl2br w:val="nil"/>
                    <w:tr2bl w:val="nil"/>
                  </w:tcBorders>
                  <w:vAlign w:val="center"/>
                </w:tcPr>
                <w:p w14:paraId="55B128F7">
                  <w:pPr>
                    <w:spacing w:line="240" w:lineRule="exact"/>
                    <w:jc w:val="center"/>
                    <w:rPr>
                      <w:rFonts w:eastAsiaTheme="minorEastAsia"/>
                      <w:sz w:val="15"/>
                      <w:szCs w:val="15"/>
                    </w:rPr>
                  </w:pPr>
                  <w:r>
                    <w:rPr>
                      <w:rFonts w:eastAsiaTheme="minorEastAsia"/>
                      <w:sz w:val="15"/>
                      <w:szCs w:val="15"/>
                    </w:rPr>
                    <w:t>排气筒参数</w:t>
                  </w:r>
                </w:p>
              </w:tc>
              <w:tc>
                <w:tcPr>
                  <w:tcW w:w="1228" w:type="pct"/>
                  <w:gridSpan w:val="3"/>
                  <w:tcBorders>
                    <w:tl2br w:val="nil"/>
                    <w:tr2bl w:val="nil"/>
                  </w:tcBorders>
                  <w:vAlign w:val="center"/>
                </w:tcPr>
                <w:p w14:paraId="0FB93174">
                  <w:pPr>
                    <w:spacing w:line="240" w:lineRule="exact"/>
                    <w:jc w:val="center"/>
                    <w:rPr>
                      <w:rFonts w:eastAsiaTheme="minorEastAsia"/>
                      <w:sz w:val="15"/>
                      <w:szCs w:val="15"/>
                    </w:rPr>
                  </w:pPr>
                  <w:r>
                    <w:rPr>
                      <w:rFonts w:eastAsiaTheme="minorEastAsia"/>
                      <w:sz w:val="15"/>
                      <w:szCs w:val="15"/>
                    </w:rPr>
                    <w:t>排放情况</w:t>
                  </w:r>
                </w:p>
              </w:tc>
            </w:tr>
            <w:tr w14:paraId="35252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4539554E">
                  <w:pPr>
                    <w:spacing w:line="240" w:lineRule="exact"/>
                    <w:jc w:val="center"/>
                    <w:rPr>
                      <w:rFonts w:hAnsiTheme="minorEastAsia" w:eastAsiaTheme="minorEastAsia"/>
                      <w:sz w:val="15"/>
                      <w:szCs w:val="15"/>
                    </w:rPr>
                  </w:pPr>
                </w:p>
              </w:tc>
              <w:tc>
                <w:tcPr>
                  <w:tcW w:w="340" w:type="pct"/>
                  <w:vMerge w:val="continue"/>
                  <w:tcBorders>
                    <w:tl2br w:val="nil"/>
                    <w:tr2bl w:val="nil"/>
                  </w:tcBorders>
                  <w:vAlign w:val="center"/>
                </w:tcPr>
                <w:p w14:paraId="591B5B6B">
                  <w:pPr>
                    <w:spacing w:line="240" w:lineRule="exact"/>
                    <w:jc w:val="center"/>
                    <w:rPr>
                      <w:rFonts w:hAnsiTheme="minorEastAsia" w:eastAsiaTheme="minorEastAsia"/>
                      <w:sz w:val="15"/>
                      <w:szCs w:val="15"/>
                    </w:rPr>
                  </w:pPr>
                </w:p>
              </w:tc>
              <w:tc>
                <w:tcPr>
                  <w:tcW w:w="276" w:type="pct"/>
                  <w:vMerge w:val="continue"/>
                  <w:tcBorders>
                    <w:tl2br w:val="nil"/>
                    <w:tr2bl w:val="nil"/>
                  </w:tcBorders>
                  <w:vAlign w:val="center"/>
                </w:tcPr>
                <w:p w14:paraId="2CFE4C37">
                  <w:pPr>
                    <w:spacing w:line="240" w:lineRule="exact"/>
                    <w:jc w:val="center"/>
                    <w:rPr>
                      <w:rFonts w:eastAsiaTheme="minorEastAsia"/>
                      <w:sz w:val="15"/>
                      <w:szCs w:val="15"/>
                    </w:rPr>
                  </w:pPr>
                </w:p>
              </w:tc>
              <w:tc>
                <w:tcPr>
                  <w:tcW w:w="245" w:type="pct"/>
                  <w:vMerge w:val="continue"/>
                  <w:tcBorders>
                    <w:tl2br w:val="nil"/>
                    <w:tr2bl w:val="nil"/>
                  </w:tcBorders>
                  <w:vAlign w:val="center"/>
                </w:tcPr>
                <w:p w14:paraId="679D3864">
                  <w:pPr>
                    <w:spacing w:line="240" w:lineRule="exact"/>
                    <w:jc w:val="center"/>
                    <w:rPr>
                      <w:rFonts w:eastAsiaTheme="minorEastAsia"/>
                      <w:sz w:val="15"/>
                      <w:szCs w:val="15"/>
                    </w:rPr>
                  </w:pPr>
                </w:p>
              </w:tc>
              <w:tc>
                <w:tcPr>
                  <w:tcW w:w="376" w:type="pct"/>
                  <w:vMerge w:val="continue"/>
                  <w:tcBorders>
                    <w:tl2br w:val="nil"/>
                    <w:tr2bl w:val="nil"/>
                  </w:tcBorders>
                  <w:vAlign w:val="center"/>
                </w:tcPr>
                <w:p w14:paraId="671EC4A4">
                  <w:pPr>
                    <w:spacing w:line="240" w:lineRule="exact"/>
                    <w:jc w:val="center"/>
                    <w:rPr>
                      <w:rFonts w:eastAsiaTheme="minorEastAsia"/>
                      <w:sz w:val="15"/>
                      <w:szCs w:val="15"/>
                    </w:rPr>
                  </w:pPr>
                </w:p>
              </w:tc>
              <w:tc>
                <w:tcPr>
                  <w:tcW w:w="434" w:type="pct"/>
                  <w:vMerge w:val="continue"/>
                  <w:tcBorders>
                    <w:tl2br w:val="nil"/>
                    <w:tr2bl w:val="nil"/>
                  </w:tcBorders>
                  <w:vAlign w:val="center"/>
                </w:tcPr>
                <w:p w14:paraId="68021338">
                  <w:pPr>
                    <w:widowControl/>
                    <w:jc w:val="center"/>
                    <w:rPr>
                      <w:rFonts w:eastAsiaTheme="minorEastAsia"/>
                      <w:sz w:val="15"/>
                      <w:szCs w:val="15"/>
                    </w:rPr>
                  </w:pPr>
                </w:p>
              </w:tc>
              <w:tc>
                <w:tcPr>
                  <w:tcW w:w="1253" w:type="pct"/>
                  <w:vMerge w:val="continue"/>
                  <w:tcBorders>
                    <w:tl2br w:val="nil"/>
                    <w:tr2bl w:val="nil"/>
                  </w:tcBorders>
                  <w:vAlign w:val="center"/>
                </w:tcPr>
                <w:p w14:paraId="7F6FACA9">
                  <w:pPr>
                    <w:spacing w:line="240" w:lineRule="exact"/>
                    <w:jc w:val="center"/>
                    <w:rPr>
                      <w:rFonts w:eastAsiaTheme="minorEastAsia"/>
                      <w:sz w:val="15"/>
                      <w:szCs w:val="15"/>
                    </w:rPr>
                  </w:pPr>
                </w:p>
              </w:tc>
              <w:tc>
                <w:tcPr>
                  <w:tcW w:w="593" w:type="pct"/>
                  <w:vMerge w:val="continue"/>
                  <w:tcBorders>
                    <w:tl2br w:val="nil"/>
                    <w:tr2bl w:val="nil"/>
                  </w:tcBorders>
                  <w:vAlign w:val="center"/>
                </w:tcPr>
                <w:p w14:paraId="7D469DC8">
                  <w:pPr>
                    <w:spacing w:line="240" w:lineRule="exact"/>
                    <w:jc w:val="center"/>
                    <w:rPr>
                      <w:rFonts w:eastAsiaTheme="minorEastAsia"/>
                      <w:sz w:val="15"/>
                      <w:szCs w:val="15"/>
                    </w:rPr>
                  </w:pPr>
                </w:p>
              </w:tc>
              <w:tc>
                <w:tcPr>
                  <w:tcW w:w="406" w:type="pct"/>
                  <w:tcBorders>
                    <w:tl2br w:val="nil"/>
                    <w:tr2bl w:val="nil"/>
                  </w:tcBorders>
                  <w:vAlign w:val="center"/>
                </w:tcPr>
                <w:p w14:paraId="2BB2F18E">
                  <w:pPr>
                    <w:spacing w:line="240" w:lineRule="exact"/>
                    <w:jc w:val="center"/>
                    <w:rPr>
                      <w:rFonts w:eastAsiaTheme="minorEastAsia"/>
                      <w:sz w:val="15"/>
                      <w:szCs w:val="15"/>
                    </w:rPr>
                  </w:pPr>
                  <w:r>
                    <w:rPr>
                      <w:rFonts w:eastAsiaTheme="minorEastAsia"/>
                      <w:sz w:val="15"/>
                      <w:szCs w:val="15"/>
                    </w:rPr>
                    <w:t>排放浓度mg</w:t>
                  </w:r>
                  <w:r>
                    <w:rPr>
                      <w:rFonts w:hint="eastAsia" w:eastAsiaTheme="minorEastAsia"/>
                      <w:sz w:val="15"/>
                      <w:szCs w:val="15"/>
                    </w:rPr>
                    <w:t>/m</w:t>
                  </w:r>
                  <w:r>
                    <w:rPr>
                      <w:rFonts w:hint="eastAsia" w:eastAsiaTheme="minorEastAsia"/>
                      <w:sz w:val="15"/>
                      <w:szCs w:val="15"/>
                      <w:vertAlign w:val="superscript"/>
                    </w:rPr>
                    <w:t>3</w:t>
                  </w:r>
                </w:p>
              </w:tc>
              <w:tc>
                <w:tcPr>
                  <w:tcW w:w="421" w:type="pct"/>
                  <w:tcBorders>
                    <w:tl2br w:val="nil"/>
                    <w:tr2bl w:val="nil"/>
                  </w:tcBorders>
                  <w:vAlign w:val="center"/>
                </w:tcPr>
                <w:p w14:paraId="67BD99B2">
                  <w:pPr>
                    <w:spacing w:line="240" w:lineRule="exact"/>
                    <w:jc w:val="center"/>
                    <w:rPr>
                      <w:rFonts w:eastAsiaTheme="minorEastAsia"/>
                      <w:sz w:val="15"/>
                      <w:szCs w:val="15"/>
                    </w:rPr>
                  </w:pPr>
                  <w:r>
                    <w:rPr>
                      <w:rFonts w:eastAsiaTheme="minorEastAsia"/>
                      <w:sz w:val="15"/>
                      <w:szCs w:val="15"/>
                    </w:rPr>
                    <w:t>排放速率kg</w:t>
                  </w:r>
                  <w:r>
                    <w:rPr>
                      <w:rFonts w:hint="eastAsia" w:eastAsiaTheme="minorEastAsia"/>
                      <w:sz w:val="15"/>
                      <w:szCs w:val="15"/>
                    </w:rPr>
                    <w:t>/h</w:t>
                  </w:r>
                </w:p>
              </w:tc>
              <w:tc>
                <w:tcPr>
                  <w:tcW w:w="401" w:type="pct"/>
                  <w:tcBorders>
                    <w:tl2br w:val="nil"/>
                    <w:tr2bl w:val="nil"/>
                  </w:tcBorders>
                  <w:vAlign w:val="center"/>
                </w:tcPr>
                <w:p w14:paraId="77B30949">
                  <w:pPr>
                    <w:spacing w:line="240" w:lineRule="exact"/>
                    <w:jc w:val="center"/>
                    <w:rPr>
                      <w:rFonts w:eastAsiaTheme="minorEastAsia"/>
                      <w:sz w:val="15"/>
                      <w:szCs w:val="15"/>
                    </w:rPr>
                  </w:pPr>
                  <w:r>
                    <w:rPr>
                      <w:rFonts w:eastAsiaTheme="minorEastAsia"/>
                      <w:sz w:val="15"/>
                      <w:szCs w:val="15"/>
                    </w:rPr>
                    <w:t>排放量t</w:t>
                  </w:r>
                  <w:r>
                    <w:rPr>
                      <w:rFonts w:hint="eastAsia" w:eastAsiaTheme="minorEastAsia"/>
                      <w:sz w:val="15"/>
                      <w:szCs w:val="15"/>
                    </w:rPr>
                    <w:t>/a</w:t>
                  </w:r>
                </w:p>
              </w:tc>
            </w:tr>
            <w:tr w14:paraId="191F49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restart"/>
                  <w:tcBorders>
                    <w:tl2br w:val="nil"/>
                    <w:tr2bl w:val="nil"/>
                  </w:tcBorders>
                  <w:vAlign w:val="center"/>
                </w:tcPr>
                <w:p w14:paraId="1B26FD20">
                  <w:pPr>
                    <w:spacing w:line="240" w:lineRule="exact"/>
                    <w:jc w:val="center"/>
                    <w:rPr>
                      <w:rFonts w:hint="default" w:hAnsiTheme="minorEastAsia" w:eastAsiaTheme="minorEastAsia"/>
                      <w:sz w:val="15"/>
                      <w:szCs w:val="15"/>
                      <w:lang w:val="en-US" w:eastAsia="zh-CN"/>
                    </w:rPr>
                  </w:pPr>
                  <w:r>
                    <w:rPr>
                      <w:rFonts w:hint="eastAsia" w:hAnsiTheme="minorEastAsia" w:eastAsiaTheme="minorEastAsia"/>
                      <w:sz w:val="15"/>
                      <w:szCs w:val="15"/>
                      <w:lang w:val="en-US" w:eastAsia="zh-CN"/>
                    </w:rPr>
                    <w:t>G1</w:t>
                  </w:r>
                </w:p>
              </w:tc>
              <w:tc>
                <w:tcPr>
                  <w:tcW w:w="340" w:type="pct"/>
                  <w:tcBorders>
                    <w:tl2br w:val="nil"/>
                    <w:tr2bl w:val="nil"/>
                  </w:tcBorders>
                  <w:vAlign w:val="center"/>
                </w:tcPr>
                <w:p w14:paraId="36903426">
                  <w:pPr>
                    <w:spacing w:line="240" w:lineRule="exact"/>
                    <w:jc w:val="center"/>
                    <w:rPr>
                      <w:rFonts w:hAnsiTheme="minorEastAsia" w:eastAsiaTheme="minorEastAsia"/>
                      <w:sz w:val="15"/>
                      <w:szCs w:val="15"/>
                    </w:rPr>
                  </w:pPr>
                  <w:r>
                    <w:rPr>
                      <w:rFonts w:hint="eastAsia" w:hAnsiTheme="minorEastAsia" w:eastAsiaTheme="minorEastAsia"/>
                      <w:sz w:val="15"/>
                      <w:szCs w:val="15"/>
                      <w:lang w:val="en-US" w:eastAsia="zh-CN"/>
                    </w:rPr>
                    <w:t>五车间、四车间</w:t>
                  </w:r>
                </w:p>
              </w:tc>
              <w:tc>
                <w:tcPr>
                  <w:tcW w:w="276" w:type="pct"/>
                  <w:tcBorders>
                    <w:tl2br w:val="nil"/>
                    <w:tr2bl w:val="nil"/>
                  </w:tcBorders>
                  <w:vAlign w:val="center"/>
                </w:tcPr>
                <w:p w14:paraId="65A3A628">
                  <w:pPr>
                    <w:spacing w:line="240" w:lineRule="exact"/>
                    <w:jc w:val="center"/>
                    <w:rPr>
                      <w:rFonts w:hint="eastAsia" w:eastAsiaTheme="minorEastAsia"/>
                      <w:sz w:val="15"/>
                      <w:szCs w:val="15"/>
                      <w:lang w:val="en-US" w:eastAsia="zh-CN"/>
                    </w:rPr>
                  </w:pPr>
                  <w:r>
                    <w:rPr>
                      <w:rFonts w:eastAsiaTheme="minorEastAsia"/>
                      <w:sz w:val="15"/>
                      <w:szCs w:val="15"/>
                    </w:rPr>
                    <w:t>木材料</w:t>
                  </w:r>
                  <w:r>
                    <w:rPr>
                      <w:rFonts w:hint="eastAsia" w:eastAsiaTheme="minorEastAsia"/>
                      <w:sz w:val="15"/>
                      <w:szCs w:val="15"/>
                      <w:lang w:val="en-US" w:eastAsia="zh-CN"/>
                    </w:rPr>
                    <w:t>加工</w:t>
                  </w:r>
                </w:p>
              </w:tc>
              <w:tc>
                <w:tcPr>
                  <w:tcW w:w="245" w:type="pct"/>
                  <w:tcBorders>
                    <w:tl2br w:val="nil"/>
                    <w:tr2bl w:val="nil"/>
                  </w:tcBorders>
                  <w:vAlign w:val="center"/>
                </w:tcPr>
                <w:p w14:paraId="595B6543">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颗粒物</w:t>
                  </w:r>
                </w:p>
              </w:tc>
              <w:tc>
                <w:tcPr>
                  <w:tcW w:w="376" w:type="pct"/>
                  <w:tcBorders>
                    <w:tl2br w:val="nil"/>
                    <w:tr2bl w:val="nil"/>
                  </w:tcBorders>
                  <w:vAlign w:val="center"/>
                </w:tcPr>
                <w:p w14:paraId="6B7A824B">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9000</w:t>
                  </w:r>
                </w:p>
              </w:tc>
              <w:tc>
                <w:tcPr>
                  <w:tcW w:w="434" w:type="pct"/>
                  <w:tcBorders>
                    <w:tl2br w:val="nil"/>
                    <w:tr2bl w:val="nil"/>
                  </w:tcBorders>
                  <w:vAlign w:val="center"/>
                </w:tcPr>
                <w:p w14:paraId="75CE95E7">
                  <w:pPr>
                    <w:widowControl/>
                    <w:jc w:val="center"/>
                    <w:rPr>
                      <w:rFonts w:hint="default" w:eastAsiaTheme="minorEastAsia"/>
                      <w:sz w:val="15"/>
                      <w:szCs w:val="15"/>
                      <w:lang w:val="en-US" w:eastAsia="zh-CN"/>
                    </w:rPr>
                  </w:pPr>
                  <w:r>
                    <w:rPr>
                      <w:rFonts w:hint="eastAsia" w:eastAsiaTheme="minorEastAsia"/>
                      <w:sz w:val="15"/>
                      <w:szCs w:val="15"/>
                      <w:lang w:val="en-US" w:eastAsia="zh-CN"/>
                    </w:rPr>
                    <w:t>18.85</w:t>
                  </w:r>
                </w:p>
              </w:tc>
              <w:tc>
                <w:tcPr>
                  <w:tcW w:w="1253" w:type="pct"/>
                  <w:tcBorders>
                    <w:tl2br w:val="nil"/>
                    <w:tr2bl w:val="nil"/>
                  </w:tcBorders>
                  <w:vAlign w:val="center"/>
                </w:tcPr>
                <w:p w14:paraId="004A2383">
                  <w:pPr>
                    <w:spacing w:line="240" w:lineRule="exact"/>
                    <w:jc w:val="center"/>
                    <w:rPr>
                      <w:rFonts w:hint="default" w:eastAsiaTheme="minorEastAsia"/>
                      <w:sz w:val="15"/>
                      <w:szCs w:val="15"/>
                      <w:lang w:val="en-US" w:eastAsia="zh-CN"/>
                    </w:rPr>
                  </w:pPr>
                  <w:r>
                    <w:rPr>
                      <w:rFonts w:hint="eastAsia" w:ascii="Times New Roman" w:hAnsi="Times New Roman" w:cs="Times New Roman" w:eastAsiaTheme="minorEastAsia"/>
                      <w:sz w:val="15"/>
                      <w:szCs w:val="15"/>
                      <w:lang w:val="en-US" w:eastAsia="zh-CN"/>
                    </w:rPr>
                    <w:t>五车间</w:t>
                  </w:r>
                  <w:r>
                    <w:rPr>
                      <w:rFonts w:hint="eastAsia" w:ascii="Times New Roman" w:hAnsi="Times New Roman" w:cs="Times New Roman" w:eastAsiaTheme="minorEastAsia"/>
                      <w:sz w:val="15"/>
                      <w:szCs w:val="15"/>
                    </w:rPr>
                    <w:t>每套设备</w:t>
                  </w:r>
                  <w:r>
                    <w:rPr>
                      <w:rFonts w:hint="eastAsia" w:ascii="Times New Roman" w:hAnsi="Times New Roman" w:cs="Times New Roman" w:eastAsiaTheme="minorEastAsia"/>
                      <w:sz w:val="15"/>
                      <w:szCs w:val="15"/>
                      <w:lang w:val="en-US" w:eastAsia="zh-CN"/>
                    </w:rPr>
                    <w:t>工作面</w:t>
                  </w:r>
                  <w:r>
                    <w:rPr>
                      <w:rFonts w:hint="eastAsia" w:ascii="Times New Roman" w:hAnsi="Times New Roman" w:cs="Times New Roman" w:eastAsiaTheme="minorEastAsia"/>
                      <w:sz w:val="15"/>
                      <w:szCs w:val="15"/>
                    </w:rPr>
                    <w:t>上方设</w:t>
                  </w:r>
                  <w:r>
                    <w:rPr>
                      <w:rFonts w:hint="eastAsia" w:ascii="Times New Roman" w:hAnsi="Times New Roman" w:cs="Times New Roman" w:eastAsiaTheme="minorEastAsia"/>
                      <w:sz w:val="15"/>
                      <w:szCs w:val="15"/>
                      <w:lang w:val="en-US" w:eastAsia="zh-CN"/>
                    </w:rPr>
                    <w:t>矩形</w:t>
                  </w:r>
                  <w:r>
                    <w:rPr>
                      <w:rFonts w:hint="eastAsia" w:ascii="Times New Roman" w:hAnsi="Times New Roman" w:cs="Times New Roman" w:eastAsiaTheme="minorEastAsia"/>
                      <w:sz w:val="15"/>
                      <w:szCs w:val="15"/>
                    </w:rPr>
                    <w:t>集尘罩，共</w:t>
                  </w:r>
                  <w:r>
                    <w:rPr>
                      <w:rFonts w:hint="eastAsia" w:ascii="Times New Roman" w:hAnsi="Times New Roman" w:cs="Times New Roman" w:eastAsiaTheme="minorEastAsia"/>
                      <w:sz w:val="15"/>
                      <w:szCs w:val="15"/>
                      <w:lang w:val="en-US" w:eastAsia="zh-CN"/>
                    </w:rPr>
                    <w:t>3</w:t>
                  </w:r>
                  <w:r>
                    <w:rPr>
                      <w:rFonts w:hint="eastAsia" w:ascii="Times New Roman" w:hAnsi="Times New Roman" w:cs="Times New Roman" w:eastAsiaTheme="minorEastAsia"/>
                      <w:sz w:val="15"/>
                      <w:szCs w:val="15"/>
                    </w:rPr>
                    <w:t>套</w:t>
                  </w:r>
                  <w:r>
                    <w:rPr>
                      <w:rFonts w:hint="eastAsia" w:ascii="Times New Roman" w:hAnsi="Times New Roman" w:cs="Times New Roman" w:eastAsiaTheme="minorEastAsia"/>
                      <w:sz w:val="15"/>
                      <w:szCs w:val="15"/>
                      <w:lang w:eastAsia="zh-CN"/>
                    </w:rPr>
                    <w:t>；</w:t>
                  </w:r>
                  <w:r>
                    <w:rPr>
                      <w:rFonts w:hint="eastAsia" w:ascii="Times New Roman" w:hAnsi="Times New Roman" w:cs="Times New Roman" w:eastAsiaTheme="minorEastAsia"/>
                      <w:sz w:val="15"/>
                      <w:szCs w:val="15"/>
                      <w:lang w:val="en-US" w:eastAsia="zh-CN"/>
                    </w:rPr>
                    <w:t>四车间</w:t>
                  </w:r>
                  <w:r>
                    <w:rPr>
                      <w:rFonts w:hint="eastAsia" w:ascii="Times New Roman" w:hAnsi="Times New Roman" w:cs="Times New Roman" w:eastAsiaTheme="minorEastAsia"/>
                      <w:sz w:val="15"/>
                      <w:szCs w:val="15"/>
                    </w:rPr>
                    <w:t>每套设备</w:t>
                  </w:r>
                  <w:r>
                    <w:rPr>
                      <w:rFonts w:hint="eastAsia" w:ascii="Times New Roman" w:hAnsi="Times New Roman" w:cs="Times New Roman" w:eastAsiaTheme="minorEastAsia"/>
                      <w:sz w:val="15"/>
                      <w:szCs w:val="15"/>
                      <w:lang w:val="en-US" w:eastAsia="zh-CN"/>
                    </w:rPr>
                    <w:t>工作面</w:t>
                  </w:r>
                  <w:r>
                    <w:rPr>
                      <w:rFonts w:hint="eastAsia" w:ascii="Times New Roman" w:hAnsi="Times New Roman" w:cs="Times New Roman" w:eastAsiaTheme="minorEastAsia"/>
                      <w:sz w:val="15"/>
                      <w:szCs w:val="15"/>
                    </w:rPr>
                    <w:t>上方设</w:t>
                  </w:r>
                  <w:r>
                    <w:rPr>
                      <w:rFonts w:hint="eastAsia" w:ascii="Times New Roman" w:hAnsi="Times New Roman" w:cs="Times New Roman" w:eastAsiaTheme="minorEastAsia"/>
                      <w:sz w:val="15"/>
                      <w:szCs w:val="15"/>
                      <w:lang w:val="en-US" w:eastAsia="zh-CN"/>
                    </w:rPr>
                    <w:t>矩形</w:t>
                  </w:r>
                  <w:r>
                    <w:rPr>
                      <w:rFonts w:hint="eastAsia" w:ascii="Times New Roman" w:hAnsi="Times New Roman" w:cs="Times New Roman" w:eastAsiaTheme="minorEastAsia"/>
                      <w:sz w:val="15"/>
                      <w:szCs w:val="15"/>
                    </w:rPr>
                    <w:t>集尘罩，共</w:t>
                  </w:r>
                  <w:r>
                    <w:rPr>
                      <w:rFonts w:hint="eastAsia" w:ascii="Times New Roman" w:hAnsi="Times New Roman" w:cs="Times New Roman" w:eastAsiaTheme="minorEastAsia"/>
                      <w:sz w:val="15"/>
                      <w:szCs w:val="15"/>
                      <w:lang w:val="en-US" w:eastAsia="zh-CN"/>
                    </w:rPr>
                    <w:t>3</w:t>
                  </w:r>
                  <w:r>
                    <w:rPr>
                      <w:rFonts w:hint="eastAsia" w:ascii="Times New Roman" w:hAnsi="Times New Roman" w:cs="Times New Roman" w:eastAsiaTheme="minorEastAsia"/>
                      <w:sz w:val="15"/>
                      <w:szCs w:val="15"/>
                    </w:rPr>
                    <w:t>套</w:t>
                  </w:r>
                  <w:r>
                    <w:rPr>
                      <w:rFonts w:hint="eastAsia" w:ascii="Times New Roman" w:hAnsi="Times New Roman" w:cs="Times New Roman" w:eastAsiaTheme="minorEastAsia"/>
                      <w:sz w:val="15"/>
                      <w:szCs w:val="15"/>
                      <w:lang w:eastAsia="zh-CN"/>
                    </w:rPr>
                    <w:t>；</w:t>
                  </w:r>
                  <w:r>
                    <w:rPr>
                      <w:rFonts w:hint="eastAsia" w:ascii="Times New Roman" w:hAnsi="Times New Roman" w:cs="Times New Roman" w:eastAsiaTheme="minorEastAsia"/>
                      <w:sz w:val="15"/>
                      <w:szCs w:val="15"/>
                      <w:lang w:val="en-US" w:eastAsia="zh-CN"/>
                    </w:rPr>
                    <w:t>废气经风管通入1#布袋除尘器净化处理，之后由DA001排放，集气效率95%，除尘效率99%</w:t>
                  </w:r>
                </w:p>
              </w:tc>
              <w:tc>
                <w:tcPr>
                  <w:tcW w:w="593" w:type="pct"/>
                  <w:tcBorders>
                    <w:tl2br w:val="nil"/>
                    <w:tr2bl w:val="nil"/>
                  </w:tcBorders>
                  <w:vAlign w:val="center"/>
                </w:tcPr>
                <w:p w14:paraId="5F81AA8D">
                  <w:pPr>
                    <w:spacing w:line="240" w:lineRule="exact"/>
                    <w:jc w:val="center"/>
                    <w:rPr>
                      <w:rFonts w:hint="default" w:eastAsiaTheme="minorEastAsia"/>
                      <w:sz w:val="15"/>
                      <w:szCs w:val="15"/>
                      <w:lang w:val="en-US" w:eastAsia="zh-CN"/>
                    </w:rPr>
                  </w:pPr>
                  <w:r>
                    <w:rPr>
                      <w:rFonts w:hint="eastAsia" w:eastAsiaTheme="minorEastAsia"/>
                      <w:sz w:val="15"/>
                      <w:szCs w:val="15"/>
                    </w:rPr>
                    <w:t>DA001（H15m，φ0.</w:t>
                  </w:r>
                  <w:r>
                    <w:rPr>
                      <w:rFonts w:hint="eastAsia" w:eastAsiaTheme="minorEastAsia"/>
                      <w:sz w:val="15"/>
                      <w:szCs w:val="15"/>
                      <w:lang w:val="en-US" w:eastAsia="zh-CN"/>
                    </w:rPr>
                    <w:t>5</w:t>
                  </w:r>
                  <w:r>
                    <w:rPr>
                      <w:rFonts w:hint="eastAsia" w:eastAsiaTheme="minorEastAsia"/>
                      <w:sz w:val="15"/>
                      <w:szCs w:val="15"/>
                    </w:rPr>
                    <w:t>m）</w:t>
                  </w:r>
                </w:p>
              </w:tc>
              <w:tc>
                <w:tcPr>
                  <w:tcW w:w="406" w:type="pct"/>
                  <w:tcBorders>
                    <w:tl2br w:val="nil"/>
                    <w:tr2bl w:val="nil"/>
                  </w:tcBorders>
                  <w:vAlign w:val="center"/>
                </w:tcPr>
                <w:p w14:paraId="2E224DCF">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8.29</w:t>
                  </w:r>
                </w:p>
              </w:tc>
              <w:tc>
                <w:tcPr>
                  <w:tcW w:w="421" w:type="pct"/>
                  <w:tcBorders>
                    <w:tl2br w:val="nil"/>
                    <w:tr2bl w:val="nil"/>
                  </w:tcBorders>
                  <w:vAlign w:val="center"/>
                </w:tcPr>
                <w:p w14:paraId="1C4E6B5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0.075</w:t>
                  </w:r>
                </w:p>
              </w:tc>
              <w:tc>
                <w:tcPr>
                  <w:tcW w:w="401" w:type="pct"/>
                  <w:tcBorders>
                    <w:tl2br w:val="nil"/>
                    <w:tr2bl w:val="nil"/>
                  </w:tcBorders>
                  <w:vAlign w:val="center"/>
                </w:tcPr>
                <w:p w14:paraId="35BC5C3C">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0.1791</w:t>
                  </w:r>
                </w:p>
              </w:tc>
            </w:tr>
            <w:tr w14:paraId="23458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1CF68228">
                  <w:pPr>
                    <w:spacing w:line="240" w:lineRule="exact"/>
                    <w:jc w:val="center"/>
                    <w:rPr>
                      <w:rFonts w:hint="eastAsia" w:hAnsiTheme="minorEastAsia" w:eastAsiaTheme="minorEastAsia"/>
                      <w:sz w:val="15"/>
                      <w:szCs w:val="15"/>
                      <w:lang w:val="en-US" w:eastAsia="zh-CN"/>
                    </w:rPr>
                  </w:pPr>
                </w:p>
              </w:tc>
              <w:tc>
                <w:tcPr>
                  <w:tcW w:w="340" w:type="pct"/>
                  <w:tcBorders>
                    <w:tl2br w:val="nil"/>
                    <w:tr2bl w:val="nil"/>
                  </w:tcBorders>
                  <w:vAlign w:val="center"/>
                </w:tcPr>
                <w:p w14:paraId="0B46B663">
                  <w:pPr>
                    <w:spacing w:line="240" w:lineRule="exact"/>
                    <w:jc w:val="center"/>
                    <w:rPr>
                      <w:rFonts w:hAnsiTheme="minorEastAsia" w:eastAsiaTheme="minorEastAsia"/>
                      <w:sz w:val="15"/>
                      <w:szCs w:val="15"/>
                    </w:rPr>
                  </w:pPr>
                  <w:r>
                    <w:rPr>
                      <w:rFonts w:hint="eastAsia" w:hAnsiTheme="minorEastAsia" w:eastAsiaTheme="minorEastAsia"/>
                      <w:sz w:val="15"/>
                      <w:szCs w:val="15"/>
                      <w:lang w:val="en-US" w:eastAsia="zh-CN"/>
                    </w:rPr>
                    <w:t>三车间</w:t>
                  </w:r>
                </w:p>
              </w:tc>
              <w:tc>
                <w:tcPr>
                  <w:tcW w:w="276" w:type="pct"/>
                  <w:tcBorders>
                    <w:tl2br w:val="nil"/>
                    <w:tr2bl w:val="nil"/>
                  </w:tcBorders>
                  <w:vAlign w:val="center"/>
                </w:tcPr>
                <w:p w14:paraId="0F457F4F">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木质半成品表面处理</w:t>
                  </w:r>
                </w:p>
              </w:tc>
              <w:tc>
                <w:tcPr>
                  <w:tcW w:w="245" w:type="pct"/>
                  <w:tcBorders>
                    <w:tl2br w:val="nil"/>
                    <w:tr2bl w:val="nil"/>
                  </w:tcBorders>
                  <w:shd w:val="clear" w:color="auto" w:fill="auto"/>
                  <w:vAlign w:val="center"/>
                </w:tcPr>
                <w:p w14:paraId="593499BE">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颗粒物</w:t>
                  </w:r>
                </w:p>
              </w:tc>
              <w:tc>
                <w:tcPr>
                  <w:tcW w:w="376" w:type="pct"/>
                  <w:tcBorders>
                    <w:tl2br w:val="nil"/>
                    <w:tr2bl w:val="nil"/>
                  </w:tcBorders>
                  <w:shd w:val="clear" w:color="auto" w:fill="auto"/>
                  <w:vAlign w:val="center"/>
                </w:tcPr>
                <w:p w14:paraId="03FFA00B">
                  <w:pPr>
                    <w:spacing w:line="240" w:lineRule="exact"/>
                    <w:jc w:val="center"/>
                    <w:rPr>
                      <w:rFonts w:hint="default" w:ascii="Times New Roman" w:hAnsi="Times New Roman" w:cs="Times New Roman" w:eastAsiaTheme="minorEastAsia"/>
                      <w:kern w:val="2"/>
                      <w:sz w:val="15"/>
                      <w:szCs w:val="15"/>
                      <w:lang w:val="en-US" w:eastAsia="zh-CN" w:bidi="ar-SA"/>
                    </w:rPr>
                  </w:pPr>
                  <w:r>
                    <w:rPr>
                      <w:rFonts w:hint="eastAsia" w:cs="Times New Roman" w:eastAsiaTheme="minorEastAsia"/>
                      <w:kern w:val="2"/>
                      <w:sz w:val="15"/>
                      <w:szCs w:val="15"/>
                      <w:lang w:val="en-US" w:eastAsia="zh-CN" w:bidi="ar-SA"/>
                    </w:rPr>
                    <w:t>20000</w:t>
                  </w:r>
                </w:p>
              </w:tc>
              <w:tc>
                <w:tcPr>
                  <w:tcW w:w="434" w:type="pct"/>
                  <w:tcBorders>
                    <w:tl2br w:val="nil"/>
                    <w:tr2bl w:val="nil"/>
                  </w:tcBorders>
                  <w:vAlign w:val="center"/>
                </w:tcPr>
                <w:p w14:paraId="28E96CCC">
                  <w:pPr>
                    <w:widowControl/>
                    <w:jc w:val="center"/>
                    <w:rPr>
                      <w:rFonts w:hint="default" w:eastAsiaTheme="minorEastAsia"/>
                      <w:sz w:val="15"/>
                      <w:szCs w:val="15"/>
                      <w:lang w:val="en-US" w:eastAsia="zh-CN"/>
                    </w:rPr>
                  </w:pPr>
                  <w:r>
                    <w:rPr>
                      <w:rFonts w:hint="eastAsia" w:eastAsiaTheme="minorEastAsia"/>
                      <w:sz w:val="15"/>
                      <w:szCs w:val="15"/>
                      <w:lang w:val="en-US" w:eastAsia="zh-CN"/>
                    </w:rPr>
                    <w:t>109.25</w:t>
                  </w:r>
                </w:p>
              </w:tc>
              <w:tc>
                <w:tcPr>
                  <w:tcW w:w="1253" w:type="pct"/>
                  <w:tcBorders>
                    <w:tl2br w:val="nil"/>
                    <w:tr2bl w:val="nil"/>
                  </w:tcBorders>
                  <w:vAlign w:val="center"/>
                </w:tcPr>
                <w:p w14:paraId="7088A563">
                  <w:pPr>
                    <w:spacing w:line="240" w:lineRule="exact"/>
                    <w:jc w:val="center"/>
                    <w:rPr>
                      <w:rFonts w:eastAsiaTheme="minorEastAsia"/>
                      <w:sz w:val="15"/>
                      <w:szCs w:val="15"/>
                    </w:rPr>
                  </w:pPr>
                  <w:r>
                    <w:rPr>
                      <w:rFonts w:hint="eastAsia" w:ascii="Times New Roman" w:hAnsi="Times New Roman" w:cs="Times New Roman" w:eastAsiaTheme="minorEastAsia"/>
                      <w:sz w:val="15"/>
                      <w:szCs w:val="15"/>
                      <w:lang w:val="en-US" w:eastAsia="zh-CN"/>
                    </w:rPr>
                    <w:t>三车间</w:t>
                  </w:r>
                  <w:r>
                    <w:rPr>
                      <w:rFonts w:hint="eastAsia" w:ascii="Times New Roman" w:hAnsi="Times New Roman" w:cs="Times New Roman" w:eastAsiaTheme="minorEastAsia"/>
                      <w:sz w:val="15"/>
                      <w:szCs w:val="15"/>
                    </w:rPr>
                    <w:t>每套设备</w:t>
                  </w:r>
                  <w:r>
                    <w:rPr>
                      <w:rFonts w:hint="eastAsia" w:ascii="Times New Roman" w:hAnsi="Times New Roman" w:cs="Times New Roman" w:eastAsiaTheme="minorEastAsia"/>
                      <w:sz w:val="15"/>
                      <w:szCs w:val="15"/>
                      <w:lang w:val="en-US" w:eastAsia="zh-CN"/>
                    </w:rPr>
                    <w:t>工作面</w:t>
                  </w:r>
                  <w:r>
                    <w:rPr>
                      <w:rFonts w:hint="eastAsia" w:ascii="Times New Roman" w:hAnsi="Times New Roman" w:cs="Times New Roman" w:eastAsiaTheme="minorEastAsia"/>
                      <w:sz w:val="15"/>
                      <w:szCs w:val="15"/>
                    </w:rPr>
                    <w:t>上方设</w:t>
                  </w:r>
                  <w:r>
                    <w:rPr>
                      <w:rFonts w:hint="eastAsia" w:ascii="Times New Roman" w:hAnsi="Times New Roman" w:cs="Times New Roman" w:eastAsiaTheme="minorEastAsia"/>
                      <w:sz w:val="15"/>
                      <w:szCs w:val="15"/>
                      <w:lang w:val="en-US" w:eastAsia="zh-CN"/>
                    </w:rPr>
                    <w:t>矩形</w:t>
                  </w:r>
                  <w:r>
                    <w:rPr>
                      <w:rFonts w:hint="eastAsia" w:ascii="Times New Roman" w:hAnsi="Times New Roman" w:cs="Times New Roman" w:eastAsiaTheme="minorEastAsia"/>
                      <w:sz w:val="15"/>
                      <w:szCs w:val="15"/>
                    </w:rPr>
                    <w:t>集尘罩，共</w:t>
                  </w:r>
                  <w:r>
                    <w:rPr>
                      <w:rFonts w:hint="eastAsia" w:ascii="Times New Roman" w:hAnsi="Times New Roman" w:cs="Times New Roman" w:eastAsiaTheme="minorEastAsia"/>
                      <w:sz w:val="15"/>
                      <w:szCs w:val="15"/>
                      <w:lang w:val="en-US" w:eastAsia="zh-CN"/>
                    </w:rPr>
                    <w:t>3</w:t>
                  </w:r>
                  <w:r>
                    <w:rPr>
                      <w:rFonts w:hint="eastAsia" w:ascii="Times New Roman" w:hAnsi="Times New Roman" w:cs="Times New Roman" w:eastAsiaTheme="minorEastAsia"/>
                      <w:sz w:val="15"/>
                      <w:szCs w:val="15"/>
                    </w:rPr>
                    <w:t>套</w:t>
                  </w:r>
                  <w:r>
                    <w:rPr>
                      <w:rFonts w:hint="eastAsia" w:ascii="Times New Roman" w:hAnsi="Times New Roman" w:cs="Times New Roman" w:eastAsiaTheme="minorEastAsia"/>
                      <w:sz w:val="15"/>
                      <w:szCs w:val="15"/>
                      <w:lang w:eastAsia="zh-CN"/>
                    </w:rPr>
                    <w:t>，</w:t>
                  </w:r>
                  <w:r>
                    <w:rPr>
                      <w:rFonts w:hint="eastAsia" w:ascii="Times New Roman" w:hAnsi="Times New Roman" w:cs="Times New Roman" w:eastAsiaTheme="minorEastAsia"/>
                      <w:sz w:val="15"/>
                      <w:szCs w:val="15"/>
                      <w:lang w:val="en-US" w:eastAsia="zh-CN"/>
                    </w:rPr>
                    <w:t>废气经风管通入2#布袋除尘器净化处理，之后由DA002排放，集气效率95%，除尘效率99%</w:t>
                  </w:r>
                </w:p>
              </w:tc>
              <w:tc>
                <w:tcPr>
                  <w:tcW w:w="593" w:type="pct"/>
                  <w:tcBorders>
                    <w:tl2br w:val="nil"/>
                    <w:tr2bl w:val="nil"/>
                  </w:tcBorders>
                  <w:vAlign w:val="center"/>
                </w:tcPr>
                <w:p w14:paraId="16126C70">
                  <w:pPr>
                    <w:spacing w:line="240" w:lineRule="exact"/>
                    <w:jc w:val="center"/>
                    <w:rPr>
                      <w:rFonts w:eastAsiaTheme="minorEastAsia"/>
                      <w:sz w:val="15"/>
                      <w:szCs w:val="15"/>
                    </w:rPr>
                  </w:pPr>
                  <w:r>
                    <w:rPr>
                      <w:rFonts w:hint="eastAsia" w:eastAsiaTheme="minorEastAsia"/>
                      <w:sz w:val="15"/>
                      <w:szCs w:val="15"/>
                    </w:rPr>
                    <w:t>DA00</w:t>
                  </w:r>
                  <w:r>
                    <w:rPr>
                      <w:rFonts w:hint="eastAsia" w:eastAsiaTheme="minorEastAsia"/>
                      <w:sz w:val="15"/>
                      <w:szCs w:val="15"/>
                      <w:lang w:val="en-US" w:eastAsia="zh-CN"/>
                    </w:rPr>
                    <w:t>2</w:t>
                  </w:r>
                  <w:r>
                    <w:rPr>
                      <w:rFonts w:hint="eastAsia" w:eastAsiaTheme="minorEastAsia"/>
                      <w:sz w:val="15"/>
                      <w:szCs w:val="15"/>
                    </w:rPr>
                    <w:t>（H15m，φ0.</w:t>
                  </w:r>
                  <w:r>
                    <w:rPr>
                      <w:rFonts w:hint="eastAsia" w:eastAsiaTheme="minorEastAsia"/>
                      <w:sz w:val="15"/>
                      <w:szCs w:val="15"/>
                      <w:lang w:val="en-US" w:eastAsia="zh-CN"/>
                    </w:rPr>
                    <w:t>8</w:t>
                  </w:r>
                  <w:r>
                    <w:rPr>
                      <w:rFonts w:hint="eastAsia" w:eastAsiaTheme="minorEastAsia"/>
                      <w:sz w:val="15"/>
                      <w:szCs w:val="15"/>
                    </w:rPr>
                    <w:t>m）</w:t>
                  </w:r>
                </w:p>
              </w:tc>
              <w:tc>
                <w:tcPr>
                  <w:tcW w:w="406" w:type="pct"/>
                  <w:tcBorders>
                    <w:tl2br w:val="nil"/>
                    <w:tr2bl w:val="nil"/>
                  </w:tcBorders>
                  <w:vAlign w:val="center"/>
                </w:tcPr>
                <w:p w14:paraId="3670C9FE">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21.62</w:t>
                  </w:r>
                </w:p>
              </w:tc>
              <w:tc>
                <w:tcPr>
                  <w:tcW w:w="421" w:type="pct"/>
                  <w:tcBorders>
                    <w:tl2br w:val="nil"/>
                    <w:tr2bl w:val="nil"/>
                  </w:tcBorders>
                  <w:vAlign w:val="center"/>
                </w:tcPr>
                <w:p w14:paraId="045D4ECB">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0.432</w:t>
                  </w:r>
                </w:p>
              </w:tc>
              <w:tc>
                <w:tcPr>
                  <w:tcW w:w="401" w:type="pct"/>
                  <w:tcBorders>
                    <w:tl2br w:val="nil"/>
                    <w:tr2bl w:val="nil"/>
                  </w:tcBorders>
                  <w:vAlign w:val="center"/>
                </w:tcPr>
                <w:p w14:paraId="6642BBE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1.0379</w:t>
                  </w:r>
                </w:p>
              </w:tc>
            </w:tr>
            <w:tr w14:paraId="5B52B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2E07F2BB">
                  <w:pPr>
                    <w:spacing w:line="240" w:lineRule="exact"/>
                    <w:jc w:val="center"/>
                    <w:rPr>
                      <w:rFonts w:hAnsiTheme="minorEastAsia" w:eastAsiaTheme="minorEastAsia"/>
                      <w:sz w:val="15"/>
                      <w:szCs w:val="15"/>
                    </w:rPr>
                  </w:pPr>
                </w:p>
              </w:tc>
              <w:tc>
                <w:tcPr>
                  <w:tcW w:w="340" w:type="pct"/>
                  <w:tcBorders>
                    <w:tl2br w:val="nil"/>
                    <w:tr2bl w:val="nil"/>
                  </w:tcBorders>
                  <w:vAlign w:val="center"/>
                </w:tcPr>
                <w:p w14:paraId="0EAFCF3A">
                  <w:pPr>
                    <w:spacing w:line="240" w:lineRule="exact"/>
                    <w:jc w:val="center"/>
                    <w:rPr>
                      <w:rFonts w:hint="default" w:hAnsiTheme="minorEastAsia" w:eastAsiaTheme="minorEastAsia"/>
                      <w:sz w:val="15"/>
                      <w:szCs w:val="15"/>
                      <w:lang w:val="en-US" w:eastAsia="zh-CN"/>
                    </w:rPr>
                  </w:pPr>
                  <w:r>
                    <w:rPr>
                      <w:rFonts w:hint="eastAsia" w:hAnsiTheme="minorEastAsia" w:eastAsiaTheme="minorEastAsia"/>
                      <w:sz w:val="15"/>
                      <w:szCs w:val="15"/>
                      <w:lang w:val="en-US" w:eastAsia="zh-CN"/>
                    </w:rPr>
                    <w:t>三四五车间</w:t>
                  </w:r>
                </w:p>
              </w:tc>
              <w:tc>
                <w:tcPr>
                  <w:tcW w:w="276" w:type="pct"/>
                  <w:tcBorders>
                    <w:tl2br w:val="nil"/>
                    <w:tr2bl w:val="nil"/>
                  </w:tcBorders>
                  <w:vAlign w:val="center"/>
                </w:tcPr>
                <w:p w14:paraId="06ED1F70">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w:t>
                  </w:r>
                </w:p>
              </w:tc>
              <w:tc>
                <w:tcPr>
                  <w:tcW w:w="245" w:type="pct"/>
                  <w:tcBorders>
                    <w:tl2br w:val="nil"/>
                    <w:tr2bl w:val="nil"/>
                  </w:tcBorders>
                  <w:vAlign w:val="center"/>
                </w:tcPr>
                <w:p w14:paraId="69CF6FF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颗粒物</w:t>
                  </w:r>
                </w:p>
              </w:tc>
              <w:tc>
                <w:tcPr>
                  <w:tcW w:w="376" w:type="pct"/>
                  <w:tcBorders>
                    <w:tl2br w:val="nil"/>
                    <w:tr2bl w:val="nil"/>
                  </w:tcBorders>
                  <w:vAlign w:val="center"/>
                </w:tcPr>
                <w:p w14:paraId="5A1F5ABB">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无组织</w:t>
                  </w:r>
                </w:p>
              </w:tc>
              <w:tc>
                <w:tcPr>
                  <w:tcW w:w="434" w:type="pct"/>
                  <w:tcBorders>
                    <w:tl2br w:val="nil"/>
                    <w:tr2bl w:val="nil"/>
                  </w:tcBorders>
                  <w:vAlign w:val="center"/>
                </w:tcPr>
                <w:p w14:paraId="2594D13D">
                  <w:pPr>
                    <w:widowControl/>
                    <w:jc w:val="center"/>
                    <w:rPr>
                      <w:rFonts w:hint="default" w:eastAsiaTheme="minorEastAsia"/>
                      <w:sz w:val="15"/>
                      <w:szCs w:val="15"/>
                      <w:lang w:val="en-US" w:eastAsia="zh-CN"/>
                    </w:rPr>
                  </w:pPr>
                  <w:r>
                    <w:rPr>
                      <w:rFonts w:hint="eastAsia" w:eastAsiaTheme="minorEastAsia"/>
                      <w:sz w:val="15"/>
                      <w:szCs w:val="15"/>
                      <w:lang w:val="en-US" w:eastAsia="zh-CN"/>
                    </w:rPr>
                    <w:t>6.405</w:t>
                  </w:r>
                </w:p>
              </w:tc>
              <w:tc>
                <w:tcPr>
                  <w:tcW w:w="1253" w:type="pct"/>
                  <w:tcBorders>
                    <w:tl2br w:val="nil"/>
                    <w:tr2bl w:val="nil"/>
                  </w:tcBorders>
                  <w:vAlign w:val="center"/>
                </w:tcPr>
                <w:p w14:paraId="544E4900">
                  <w:pPr>
                    <w:spacing w:line="240" w:lineRule="exact"/>
                    <w:jc w:val="center"/>
                    <w:rPr>
                      <w:rFonts w:hint="default" w:ascii="Times New Roman" w:hAnsi="Times New Roman" w:cs="Times New Roman" w:eastAsiaTheme="minorEastAsia"/>
                      <w:sz w:val="15"/>
                      <w:szCs w:val="15"/>
                      <w:lang w:val="en-US" w:eastAsia="zh-CN"/>
                    </w:rPr>
                  </w:pPr>
                  <w:r>
                    <w:rPr>
                      <w:rFonts w:hint="eastAsia" w:ascii="Times New Roman" w:hAnsi="Times New Roman" w:cs="Times New Roman" w:eastAsiaTheme="minorEastAsia"/>
                      <w:sz w:val="15"/>
                      <w:szCs w:val="15"/>
                    </w:rPr>
                    <w:t>封闭式车间防治，并加强车间通风、清扫等措施</w:t>
                  </w:r>
                  <w:r>
                    <w:rPr>
                      <w:rFonts w:hint="eastAsia" w:ascii="Times New Roman" w:hAnsi="Times New Roman" w:cs="Times New Roman" w:eastAsiaTheme="minorEastAsia"/>
                      <w:sz w:val="15"/>
                      <w:szCs w:val="15"/>
                      <w:lang w:eastAsia="zh-CN"/>
                    </w:rPr>
                    <w:t>，</w:t>
                  </w:r>
                  <w:r>
                    <w:rPr>
                      <w:rFonts w:hint="eastAsia" w:ascii="Times New Roman" w:hAnsi="Times New Roman" w:cs="Times New Roman" w:eastAsiaTheme="minorEastAsia"/>
                      <w:sz w:val="15"/>
                      <w:szCs w:val="15"/>
                      <w:lang w:val="en-US" w:eastAsia="zh-CN"/>
                    </w:rPr>
                    <w:t>抑尘效率98%</w:t>
                  </w:r>
                </w:p>
              </w:tc>
              <w:tc>
                <w:tcPr>
                  <w:tcW w:w="593" w:type="pct"/>
                  <w:tcBorders>
                    <w:tl2br w:val="nil"/>
                    <w:tr2bl w:val="nil"/>
                  </w:tcBorders>
                  <w:vAlign w:val="center"/>
                </w:tcPr>
                <w:p w14:paraId="6C16DAE7">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06" w:type="pct"/>
                  <w:tcBorders>
                    <w:tl2br w:val="nil"/>
                    <w:tr2bl w:val="nil"/>
                  </w:tcBorders>
                  <w:vAlign w:val="center"/>
                </w:tcPr>
                <w:p w14:paraId="504E53B1">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21" w:type="pct"/>
                  <w:tcBorders>
                    <w:tl2br w:val="nil"/>
                    <w:tr2bl w:val="nil"/>
                  </w:tcBorders>
                  <w:vAlign w:val="center"/>
                </w:tcPr>
                <w:p w14:paraId="18FCB5F1">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01" w:type="pct"/>
                  <w:tcBorders>
                    <w:tl2br w:val="nil"/>
                    <w:tr2bl w:val="nil"/>
                  </w:tcBorders>
                  <w:vAlign w:val="center"/>
                </w:tcPr>
                <w:p w14:paraId="104ED201">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0.1281</w:t>
                  </w:r>
                </w:p>
              </w:tc>
            </w:tr>
            <w:tr w14:paraId="217D8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tcBorders>
                    <w:tl2br w:val="nil"/>
                    <w:tr2bl w:val="nil"/>
                  </w:tcBorders>
                  <w:vAlign w:val="center"/>
                </w:tcPr>
                <w:p w14:paraId="59D9C0BB">
                  <w:pPr>
                    <w:spacing w:line="240" w:lineRule="exact"/>
                    <w:jc w:val="center"/>
                    <w:rPr>
                      <w:rFonts w:hint="default" w:hAnsiTheme="minorEastAsia" w:eastAsiaTheme="minorEastAsia"/>
                      <w:sz w:val="15"/>
                      <w:szCs w:val="15"/>
                      <w:lang w:val="en-US"/>
                    </w:rPr>
                  </w:pPr>
                  <w:r>
                    <w:rPr>
                      <w:rFonts w:hint="eastAsia" w:hAnsiTheme="minorEastAsia" w:eastAsiaTheme="minorEastAsia"/>
                      <w:sz w:val="15"/>
                      <w:szCs w:val="15"/>
                      <w:lang w:val="en-US" w:eastAsia="zh-CN"/>
                    </w:rPr>
                    <w:t>G2</w:t>
                  </w:r>
                </w:p>
              </w:tc>
              <w:tc>
                <w:tcPr>
                  <w:tcW w:w="340" w:type="pct"/>
                  <w:tcBorders>
                    <w:tl2br w:val="nil"/>
                    <w:tr2bl w:val="nil"/>
                  </w:tcBorders>
                  <w:vAlign w:val="center"/>
                </w:tcPr>
                <w:p w14:paraId="73D6A67F">
                  <w:pPr>
                    <w:spacing w:line="240" w:lineRule="exact"/>
                    <w:jc w:val="center"/>
                    <w:rPr>
                      <w:rFonts w:hint="default" w:hAnsiTheme="minorEastAsia" w:eastAsiaTheme="minorEastAsia"/>
                      <w:sz w:val="15"/>
                      <w:szCs w:val="15"/>
                      <w:lang w:val="en-US" w:eastAsia="zh-CN"/>
                    </w:rPr>
                  </w:pPr>
                  <w:r>
                    <w:rPr>
                      <w:rFonts w:hint="eastAsia" w:hAnsiTheme="minorEastAsia" w:eastAsiaTheme="minorEastAsia"/>
                      <w:sz w:val="15"/>
                      <w:szCs w:val="15"/>
                      <w:lang w:val="en-US" w:eastAsia="zh-CN"/>
                    </w:rPr>
                    <w:t>五车间</w:t>
                  </w:r>
                </w:p>
              </w:tc>
              <w:tc>
                <w:tcPr>
                  <w:tcW w:w="276" w:type="pct"/>
                  <w:tcBorders>
                    <w:tl2br w:val="nil"/>
                    <w:tr2bl w:val="nil"/>
                  </w:tcBorders>
                  <w:vAlign w:val="center"/>
                </w:tcPr>
                <w:p w14:paraId="21B83CD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木材干燥</w:t>
                  </w:r>
                </w:p>
              </w:tc>
              <w:tc>
                <w:tcPr>
                  <w:tcW w:w="245" w:type="pct"/>
                  <w:vMerge w:val="restart"/>
                  <w:tcBorders>
                    <w:tl2br w:val="nil"/>
                    <w:tr2bl w:val="nil"/>
                  </w:tcBorders>
                  <w:vAlign w:val="center"/>
                </w:tcPr>
                <w:p w14:paraId="339911C6">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非甲烷总烃</w:t>
                  </w:r>
                </w:p>
              </w:tc>
              <w:tc>
                <w:tcPr>
                  <w:tcW w:w="376" w:type="pct"/>
                  <w:vMerge w:val="restart"/>
                  <w:tcBorders>
                    <w:tl2br w:val="nil"/>
                    <w:tr2bl w:val="nil"/>
                  </w:tcBorders>
                  <w:vAlign w:val="center"/>
                </w:tcPr>
                <w:p w14:paraId="2118B7C5">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15000</w:t>
                  </w:r>
                </w:p>
              </w:tc>
              <w:tc>
                <w:tcPr>
                  <w:tcW w:w="434" w:type="pct"/>
                  <w:tcBorders>
                    <w:tl2br w:val="nil"/>
                    <w:tr2bl w:val="nil"/>
                  </w:tcBorders>
                  <w:vAlign w:val="center"/>
                </w:tcPr>
                <w:p w14:paraId="041E4BC1">
                  <w:pPr>
                    <w:widowControl/>
                    <w:jc w:val="center"/>
                    <w:rPr>
                      <w:rFonts w:hint="default" w:eastAsiaTheme="minorEastAsia"/>
                      <w:sz w:val="15"/>
                      <w:szCs w:val="15"/>
                      <w:lang w:val="en-US" w:eastAsia="zh-CN"/>
                    </w:rPr>
                  </w:pPr>
                  <w:r>
                    <w:rPr>
                      <w:rFonts w:hint="eastAsia" w:eastAsiaTheme="minorEastAsia"/>
                      <w:sz w:val="15"/>
                      <w:szCs w:val="15"/>
                      <w:lang w:val="en-US" w:eastAsia="zh-CN"/>
                    </w:rPr>
                    <w:t>0.0177</w:t>
                  </w:r>
                </w:p>
              </w:tc>
              <w:tc>
                <w:tcPr>
                  <w:tcW w:w="1253" w:type="pct"/>
                  <w:vMerge w:val="restart"/>
                  <w:tcBorders>
                    <w:tl2br w:val="nil"/>
                    <w:tr2bl w:val="nil"/>
                  </w:tcBorders>
                  <w:vAlign w:val="center"/>
                </w:tcPr>
                <w:p w14:paraId="468F13E8">
                  <w:pPr>
                    <w:spacing w:line="240" w:lineRule="exact"/>
                    <w:jc w:val="center"/>
                    <w:rPr>
                      <w:rFonts w:hint="eastAsia" w:ascii="Times New Roman" w:hAnsi="Times New Roman" w:cs="Times New Roman" w:eastAsiaTheme="minorEastAsia"/>
                      <w:sz w:val="15"/>
                      <w:szCs w:val="15"/>
                    </w:rPr>
                  </w:pPr>
                  <w:r>
                    <w:rPr>
                      <w:rFonts w:hint="eastAsia" w:ascii="Times New Roman" w:hAnsi="Times New Roman" w:cs="Times New Roman" w:eastAsiaTheme="minorEastAsia"/>
                      <w:sz w:val="15"/>
                      <w:szCs w:val="15"/>
                      <w:lang w:val="en-US" w:eastAsia="zh-CN"/>
                    </w:rPr>
                    <w:t>对干燥窑废气收集并通入风管；涉及胶粘工序中的1台拼版机进行封闭，并将废气收集至风管内；喷漆柜设置负压收集废气装置，将漆雾和有机废气一并收集并通过风管将废气随干燥、胶粘工序废气一并通入1套“干式纸盒漆雾过滤器+活性炭吸附/脱附+CO催化燃烧装”装置，集气效率90%，漆雾处理效率90%，有机废气处理效率90%，由DA003排放</w:t>
                  </w:r>
                </w:p>
              </w:tc>
              <w:tc>
                <w:tcPr>
                  <w:tcW w:w="593" w:type="pct"/>
                  <w:vMerge w:val="restart"/>
                  <w:tcBorders>
                    <w:tl2br w:val="nil"/>
                    <w:tr2bl w:val="nil"/>
                  </w:tcBorders>
                  <w:vAlign w:val="center"/>
                </w:tcPr>
                <w:p w14:paraId="428FD99C">
                  <w:pPr>
                    <w:spacing w:line="240" w:lineRule="exact"/>
                    <w:jc w:val="center"/>
                    <w:rPr>
                      <w:rFonts w:hint="eastAsia" w:eastAsiaTheme="minorEastAsia"/>
                      <w:sz w:val="15"/>
                      <w:szCs w:val="15"/>
                      <w:lang w:val="en-US" w:eastAsia="zh-CN"/>
                    </w:rPr>
                  </w:pPr>
                  <w:r>
                    <w:rPr>
                      <w:rFonts w:hint="eastAsia" w:eastAsiaTheme="minorEastAsia"/>
                      <w:sz w:val="15"/>
                      <w:szCs w:val="15"/>
                    </w:rPr>
                    <w:t>DA00</w:t>
                  </w:r>
                  <w:r>
                    <w:rPr>
                      <w:rFonts w:hint="eastAsia" w:eastAsiaTheme="minorEastAsia"/>
                      <w:sz w:val="15"/>
                      <w:szCs w:val="15"/>
                      <w:lang w:val="en-US" w:eastAsia="zh-CN"/>
                    </w:rPr>
                    <w:t>3</w:t>
                  </w:r>
                  <w:r>
                    <w:rPr>
                      <w:rFonts w:hint="eastAsia" w:eastAsiaTheme="minorEastAsia"/>
                      <w:sz w:val="15"/>
                      <w:szCs w:val="15"/>
                    </w:rPr>
                    <w:t>（H15m，φ0.</w:t>
                  </w:r>
                  <w:r>
                    <w:rPr>
                      <w:rFonts w:hint="eastAsia" w:eastAsiaTheme="minorEastAsia"/>
                      <w:sz w:val="15"/>
                      <w:szCs w:val="15"/>
                      <w:lang w:val="en-US" w:eastAsia="zh-CN"/>
                    </w:rPr>
                    <w:t>6</w:t>
                  </w:r>
                  <w:r>
                    <w:rPr>
                      <w:rFonts w:hint="eastAsia" w:eastAsiaTheme="minorEastAsia"/>
                      <w:sz w:val="15"/>
                      <w:szCs w:val="15"/>
                    </w:rPr>
                    <w:t>m）</w:t>
                  </w:r>
                </w:p>
              </w:tc>
              <w:tc>
                <w:tcPr>
                  <w:tcW w:w="406" w:type="pct"/>
                  <w:vMerge w:val="restart"/>
                  <w:tcBorders>
                    <w:tl2br w:val="nil"/>
                    <w:tr2bl w:val="nil"/>
                  </w:tcBorders>
                  <w:vAlign w:val="center"/>
                </w:tcPr>
                <w:p w14:paraId="58F5CA52">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12.05</w:t>
                  </w:r>
                </w:p>
              </w:tc>
              <w:tc>
                <w:tcPr>
                  <w:tcW w:w="421" w:type="pct"/>
                  <w:vMerge w:val="restart"/>
                  <w:tcBorders>
                    <w:tl2br w:val="nil"/>
                    <w:tr2bl w:val="nil"/>
                  </w:tcBorders>
                  <w:vAlign w:val="center"/>
                </w:tcPr>
                <w:p w14:paraId="489C8F26">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0.181</w:t>
                  </w:r>
                </w:p>
              </w:tc>
              <w:tc>
                <w:tcPr>
                  <w:tcW w:w="401" w:type="pct"/>
                  <w:vMerge w:val="restart"/>
                  <w:tcBorders>
                    <w:tl2br w:val="nil"/>
                    <w:tr2bl w:val="nil"/>
                  </w:tcBorders>
                  <w:vAlign w:val="center"/>
                </w:tcPr>
                <w:p w14:paraId="0C4F56C6">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0.2711</w:t>
                  </w:r>
                </w:p>
              </w:tc>
            </w:tr>
            <w:tr w14:paraId="33EB14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tcBorders>
                    <w:tl2br w:val="nil"/>
                    <w:tr2bl w:val="nil"/>
                  </w:tcBorders>
                  <w:vAlign w:val="center"/>
                </w:tcPr>
                <w:p w14:paraId="1120F2C3">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G3</w:t>
                  </w:r>
                </w:p>
              </w:tc>
              <w:tc>
                <w:tcPr>
                  <w:tcW w:w="340" w:type="pct"/>
                  <w:tcBorders>
                    <w:tl2br w:val="nil"/>
                    <w:tr2bl w:val="nil"/>
                  </w:tcBorders>
                  <w:vAlign w:val="center"/>
                </w:tcPr>
                <w:p w14:paraId="5D3D5B74">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四车间</w:t>
                  </w:r>
                </w:p>
              </w:tc>
              <w:tc>
                <w:tcPr>
                  <w:tcW w:w="276" w:type="pct"/>
                  <w:tcBorders>
                    <w:tl2br w:val="nil"/>
                    <w:tr2bl w:val="nil"/>
                  </w:tcBorders>
                  <w:vAlign w:val="center"/>
                </w:tcPr>
                <w:p w14:paraId="47DED2EB">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木材拼接胶粘</w:t>
                  </w:r>
                </w:p>
              </w:tc>
              <w:tc>
                <w:tcPr>
                  <w:tcW w:w="245" w:type="pct"/>
                  <w:vMerge w:val="continue"/>
                  <w:tcBorders>
                    <w:tl2br w:val="nil"/>
                    <w:tr2bl w:val="nil"/>
                  </w:tcBorders>
                  <w:vAlign w:val="center"/>
                </w:tcPr>
                <w:p w14:paraId="59253227">
                  <w:pPr>
                    <w:spacing w:line="240" w:lineRule="exact"/>
                    <w:jc w:val="center"/>
                    <w:rPr>
                      <w:rFonts w:hint="eastAsia" w:eastAsiaTheme="minorEastAsia"/>
                      <w:sz w:val="15"/>
                      <w:szCs w:val="15"/>
                      <w:lang w:val="en-US" w:eastAsia="zh-CN"/>
                    </w:rPr>
                  </w:pPr>
                </w:p>
              </w:tc>
              <w:tc>
                <w:tcPr>
                  <w:tcW w:w="376" w:type="pct"/>
                  <w:vMerge w:val="continue"/>
                  <w:tcBorders>
                    <w:tl2br w:val="nil"/>
                    <w:tr2bl w:val="nil"/>
                  </w:tcBorders>
                  <w:vAlign w:val="center"/>
                </w:tcPr>
                <w:p w14:paraId="031DDCE6">
                  <w:pPr>
                    <w:spacing w:line="240" w:lineRule="exact"/>
                    <w:jc w:val="center"/>
                    <w:rPr>
                      <w:rFonts w:hint="eastAsia" w:eastAsiaTheme="minorEastAsia"/>
                      <w:sz w:val="15"/>
                      <w:szCs w:val="15"/>
                      <w:lang w:val="en-US" w:eastAsia="zh-CN"/>
                    </w:rPr>
                  </w:pPr>
                </w:p>
              </w:tc>
              <w:tc>
                <w:tcPr>
                  <w:tcW w:w="434" w:type="pct"/>
                  <w:tcBorders>
                    <w:tl2br w:val="nil"/>
                    <w:tr2bl w:val="nil"/>
                  </w:tcBorders>
                  <w:vAlign w:val="center"/>
                </w:tcPr>
                <w:p w14:paraId="7EDE27C2">
                  <w:pPr>
                    <w:widowControl/>
                    <w:jc w:val="center"/>
                    <w:rPr>
                      <w:rFonts w:hint="default" w:eastAsiaTheme="minorEastAsia"/>
                      <w:sz w:val="15"/>
                      <w:szCs w:val="15"/>
                      <w:lang w:val="en-US" w:eastAsia="zh-CN"/>
                    </w:rPr>
                  </w:pPr>
                  <w:r>
                    <w:rPr>
                      <w:rFonts w:hint="eastAsia" w:eastAsiaTheme="minorEastAsia"/>
                      <w:sz w:val="15"/>
                      <w:szCs w:val="15"/>
                      <w:lang w:val="en-US" w:eastAsia="zh-CN"/>
                    </w:rPr>
                    <w:t>0.0156</w:t>
                  </w:r>
                </w:p>
              </w:tc>
              <w:tc>
                <w:tcPr>
                  <w:tcW w:w="1253" w:type="pct"/>
                  <w:vMerge w:val="continue"/>
                  <w:tcBorders>
                    <w:tl2br w:val="nil"/>
                    <w:tr2bl w:val="nil"/>
                  </w:tcBorders>
                  <w:vAlign w:val="center"/>
                </w:tcPr>
                <w:p w14:paraId="06E1A237">
                  <w:pPr>
                    <w:spacing w:line="240" w:lineRule="exact"/>
                    <w:jc w:val="center"/>
                    <w:rPr>
                      <w:rFonts w:hint="eastAsia" w:ascii="Times New Roman" w:hAnsi="Times New Roman" w:cs="Times New Roman" w:eastAsiaTheme="minorEastAsia"/>
                      <w:sz w:val="15"/>
                      <w:szCs w:val="15"/>
                    </w:rPr>
                  </w:pPr>
                </w:p>
              </w:tc>
              <w:tc>
                <w:tcPr>
                  <w:tcW w:w="593" w:type="pct"/>
                  <w:vMerge w:val="continue"/>
                  <w:tcBorders>
                    <w:tl2br w:val="nil"/>
                    <w:tr2bl w:val="nil"/>
                  </w:tcBorders>
                  <w:vAlign w:val="center"/>
                </w:tcPr>
                <w:p w14:paraId="5961FBA1">
                  <w:pPr>
                    <w:spacing w:line="240" w:lineRule="exact"/>
                    <w:jc w:val="center"/>
                    <w:rPr>
                      <w:rFonts w:hint="eastAsia" w:eastAsiaTheme="minorEastAsia"/>
                      <w:sz w:val="15"/>
                      <w:szCs w:val="15"/>
                      <w:lang w:val="en-US" w:eastAsia="zh-CN"/>
                    </w:rPr>
                  </w:pPr>
                </w:p>
              </w:tc>
              <w:tc>
                <w:tcPr>
                  <w:tcW w:w="406" w:type="pct"/>
                  <w:vMerge w:val="continue"/>
                  <w:tcBorders>
                    <w:tl2br w:val="nil"/>
                    <w:tr2bl w:val="nil"/>
                  </w:tcBorders>
                  <w:vAlign w:val="center"/>
                </w:tcPr>
                <w:p w14:paraId="701729E2">
                  <w:pPr>
                    <w:spacing w:line="240" w:lineRule="exact"/>
                    <w:jc w:val="center"/>
                    <w:rPr>
                      <w:rFonts w:hint="eastAsia" w:eastAsiaTheme="minorEastAsia"/>
                      <w:sz w:val="15"/>
                      <w:szCs w:val="15"/>
                      <w:lang w:val="en-US" w:eastAsia="zh-CN"/>
                    </w:rPr>
                  </w:pPr>
                </w:p>
              </w:tc>
              <w:tc>
                <w:tcPr>
                  <w:tcW w:w="421" w:type="pct"/>
                  <w:vMerge w:val="continue"/>
                  <w:tcBorders>
                    <w:tl2br w:val="nil"/>
                    <w:tr2bl w:val="nil"/>
                  </w:tcBorders>
                  <w:vAlign w:val="center"/>
                </w:tcPr>
                <w:p w14:paraId="10B5E6C4">
                  <w:pPr>
                    <w:spacing w:line="240" w:lineRule="exact"/>
                    <w:jc w:val="center"/>
                    <w:rPr>
                      <w:rFonts w:hint="eastAsia" w:eastAsiaTheme="minorEastAsia"/>
                      <w:sz w:val="15"/>
                      <w:szCs w:val="15"/>
                      <w:lang w:val="en-US" w:eastAsia="zh-CN"/>
                    </w:rPr>
                  </w:pPr>
                </w:p>
              </w:tc>
              <w:tc>
                <w:tcPr>
                  <w:tcW w:w="401" w:type="pct"/>
                  <w:vMerge w:val="continue"/>
                  <w:tcBorders>
                    <w:tl2br w:val="nil"/>
                    <w:tr2bl w:val="nil"/>
                  </w:tcBorders>
                  <w:vAlign w:val="center"/>
                </w:tcPr>
                <w:p w14:paraId="5935DD90">
                  <w:pPr>
                    <w:spacing w:line="240" w:lineRule="exact"/>
                    <w:jc w:val="center"/>
                    <w:rPr>
                      <w:rFonts w:hint="eastAsia" w:eastAsiaTheme="minorEastAsia"/>
                      <w:sz w:val="15"/>
                      <w:szCs w:val="15"/>
                      <w:lang w:val="en-US" w:eastAsia="zh-CN"/>
                    </w:rPr>
                  </w:pPr>
                </w:p>
              </w:tc>
            </w:tr>
            <w:tr w14:paraId="4558E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restart"/>
                  <w:tcBorders>
                    <w:tl2br w:val="nil"/>
                    <w:tr2bl w:val="nil"/>
                  </w:tcBorders>
                  <w:vAlign w:val="center"/>
                </w:tcPr>
                <w:p w14:paraId="652C1EC0">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G4</w:t>
                  </w:r>
                </w:p>
              </w:tc>
              <w:tc>
                <w:tcPr>
                  <w:tcW w:w="340" w:type="pct"/>
                  <w:vMerge w:val="restart"/>
                  <w:tcBorders>
                    <w:tl2br w:val="nil"/>
                    <w:tr2bl w:val="nil"/>
                  </w:tcBorders>
                  <w:vAlign w:val="center"/>
                </w:tcPr>
                <w:p w14:paraId="42DA4FF3">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三车间</w:t>
                  </w:r>
                </w:p>
              </w:tc>
              <w:tc>
                <w:tcPr>
                  <w:tcW w:w="276" w:type="pct"/>
                  <w:vMerge w:val="restart"/>
                  <w:tcBorders>
                    <w:tl2br w:val="nil"/>
                    <w:tr2bl w:val="nil"/>
                  </w:tcBorders>
                  <w:vAlign w:val="center"/>
                </w:tcPr>
                <w:p w14:paraId="6ED01441">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木产品喷漆</w:t>
                  </w:r>
                </w:p>
              </w:tc>
              <w:tc>
                <w:tcPr>
                  <w:tcW w:w="245" w:type="pct"/>
                  <w:vMerge w:val="continue"/>
                  <w:tcBorders>
                    <w:tl2br w:val="nil"/>
                    <w:tr2bl w:val="nil"/>
                  </w:tcBorders>
                  <w:vAlign w:val="center"/>
                </w:tcPr>
                <w:p w14:paraId="28A81CF3">
                  <w:pPr>
                    <w:spacing w:line="240" w:lineRule="exact"/>
                    <w:jc w:val="center"/>
                    <w:rPr>
                      <w:rFonts w:hint="eastAsia" w:eastAsiaTheme="minorEastAsia"/>
                      <w:sz w:val="15"/>
                      <w:szCs w:val="15"/>
                      <w:lang w:val="en-US" w:eastAsia="zh-CN"/>
                    </w:rPr>
                  </w:pPr>
                </w:p>
              </w:tc>
              <w:tc>
                <w:tcPr>
                  <w:tcW w:w="376" w:type="pct"/>
                  <w:vMerge w:val="continue"/>
                  <w:tcBorders>
                    <w:tl2br w:val="nil"/>
                    <w:tr2bl w:val="nil"/>
                  </w:tcBorders>
                  <w:vAlign w:val="center"/>
                </w:tcPr>
                <w:p w14:paraId="163B2A86">
                  <w:pPr>
                    <w:spacing w:line="240" w:lineRule="exact"/>
                    <w:jc w:val="center"/>
                    <w:rPr>
                      <w:rFonts w:hint="eastAsia" w:eastAsiaTheme="minorEastAsia"/>
                      <w:sz w:val="15"/>
                      <w:szCs w:val="15"/>
                      <w:lang w:val="en-US" w:eastAsia="zh-CN"/>
                    </w:rPr>
                  </w:pPr>
                </w:p>
              </w:tc>
              <w:tc>
                <w:tcPr>
                  <w:tcW w:w="434" w:type="pct"/>
                  <w:tcBorders>
                    <w:tl2br w:val="nil"/>
                    <w:tr2bl w:val="nil"/>
                  </w:tcBorders>
                  <w:vAlign w:val="center"/>
                </w:tcPr>
                <w:p w14:paraId="23EA783F">
                  <w:pPr>
                    <w:widowControl/>
                    <w:jc w:val="center"/>
                    <w:rPr>
                      <w:rFonts w:hint="default" w:eastAsiaTheme="minorEastAsia"/>
                      <w:sz w:val="15"/>
                      <w:szCs w:val="15"/>
                      <w:lang w:val="en-US" w:eastAsia="zh-CN"/>
                    </w:rPr>
                  </w:pPr>
                  <w:r>
                    <w:rPr>
                      <w:rFonts w:hint="eastAsia" w:eastAsiaTheme="minorEastAsia"/>
                      <w:sz w:val="15"/>
                      <w:szCs w:val="15"/>
                      <w:lang w:val="en-US" w:eastAsia="zh-CN"/>
                    </w:rPr>
                    <w:t>2.9785</w:t>
                  </w:r>
                </w:p>
              </w:tc>
              <w:tc>
                <w:tcPr>
                  <w:tcW w:w="1253" w:type="pct"/>
                  <w:vMerge w:val="continue"/>
                  <w:tcBorders>
                    <w:tl2br w:val="nil"/>
                    <w:tr2bl w:val="nil"/>
                  </w:tcBorders>
                  <w:vAlign w:val="center"/>
                </w:tcPr>
                <w:p w14:paraId="73A2BFEB">
                  <w:pPr>
                    <w:spacing w:line="240" w:lineRule="exact"/>
                    <w:jc w:val="center"/>
                    <w:rPr>
                      <w:rFonts w:hint="eastAsia" w:ascii="Times New Roman" w:hAnsi="Times New Roman" w:cs="Times New Roman" w:eastAsiaTheme="minorEastAsia"/>
                      <w:sz w:val="15"/>
                      <w:szCs w:val="15"/>
                    </w:rPr>
                  </w:pPr>
                </w:p>
              </w:tc>
              <w:tc>
                <w:tcPr>
                  <w:tcW w:w="593" w:type="pct"/>
                  <w:vMerge w:val="continue"/>
                  <w:tcBorders>
                    <w:tl2br w:val="nil"/>
                    <w:tr2bl w:val="nil"/>
                  </w:tcBorders>
                  <w:vAlign w:val="center"/>
                </w:tcPr>
                <w:p w14:paraId="547ABBBE">
                  <w:pPr>
                    <w:spacing w:line="240" w:lineRule="exact"/>
                    <w:jc w:val="center"/>
                    <w:rPr>
                      <w:rFonts w:hint="eastAsia" w:eastAsiaTheme="minorEastAsia"/>
                      <w:sz w:val="15"/>
                      <w:szCs w:val="15"/>
                      <w:lang w:val="en-US" w:eastAsia="zh-CN"/>
                    </w:rPr>
                  </w:pPr>
                </w:p>
              </w:tc>
              <w:tc>
                <w:tcPr>
                  <w:tcW w:w="406" w:type="pct"/>
                  <w:vMerge w:val="continue"/>
                  <w:tcBorders>
                    <w:tl2br w:val="nil"/>
                    <w:tr2bl w:val="nil"/>
                  </w:tcBorders>
                  <w:vAlign w:val="center"/>
                </w:tcPr>
                <w:p w14:paraId="066A132F">
                  <w:pPr>
                    <w:spacing w:line="240" w:lineRule="exact"/>
                    <w:jc w:val="center"/>
                    <w:rPr>
                      <w:rFonts w:hint="eastAsia" w:eastAsiaTheme="minorEastAsia"/>
                      <w:sz w:val="15"/>
                      <w:szCs w:val="15"/>
                      <w:lang w:val="en-US" w:eastAsia="zh-CN"/>
                    </w:rPr>
                  </w:pPr>
                </w:p>
              </w:tc>
              <w:tc>
                <w:tcPr>
                  <w:tcW w:w="421" w:type="pct"/>
                  <w:vMerge w:val="continue"/>
                  <w:tcBorders>
                    <w:tl2br w:val="nil"/>
                    <w:tr2bl w:val="nil"/>
                  </w:tcBorders>
                  <w:vAlign w:val="center"/>
                </w:tcPr>
                <w:p w14:paraId="4B7554A4">
                  <w:pPr>
                    <w:spacing w:line="240" w:lineRule="exact"/>
                    <w:jc w:val="center"/>
                    <w:rPr>
                      <w:rFonts w:hint="eastAsia" w:eastAsiaTheme="minorEastAsia"/>
                      <w:sz w:val="15"/>
                      <w:szCs w:val="15"/>
                      <w:lang w:val="en-US" w:eastAsia="zh-CN"/>
                    </w:rPr>
                  </w:pPr>
                </w:p>
              </w:tc>
              <w:tc>
                <w:tcPr>
                  <w:tcW w:w="401" w:type="pct"/>
                  <w:vMerge w:val="continue"/>
                  <w:tcBorders>
                    <w:tl2br w:val="nil"/>
                    <w:tr2bl w:val="nil"/>
                  </w:tcBorders>
                  <w:vAlign w:val="center"/>
                </w:tcPr>
                <w:p w14:paraId="54378A8A">
                  <w:pPr>
                    <w:spacing w:line="240" w:lineRule="exact"/>
                    <w:jc w:val="center"/>
                    <w:rPr>
                      <w:rFonts w:hint="eastAsia" w:eastAsiaTheme="minorEastAsia"/>
                      <w:sz w:val="15"/>
                      <w:szCs w:val="15"/>
                      <w:lang w:val="en-US" w:eastAsia="zh-CN"/>
                    </w:rPr>
                  </w:pPr>
                </w:p>
              </w:tc>
            </w:tr>
            <w:tr w14:paraId="0F257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0C2E2385">
                  <w:pPr>
                    <w:spacing w:line="240" w:lineRule="exact"/>
                    <w:jc w:val="center"/>
                    <w:rPr>
                      <w:rFonts w:hint="eastAsia" w:hAnsiTheme="minorEastAsia" w:eastAsiaTheme="minorEastAsia"/>
                      <w:sz w:val="15"/>
                      <w:szCs w:val="15"/>
                      <w:lang w:val="en-US" w:eastAsia="zh-CN"/>
                    </w:rPr>
                  </w:pPr>
                </w:p>
              </w:tc>
              <w:tc>
                <w:tcPr>
                  <w:tcW w:w="340" w:type="pct"/>
                  <w:vMerge w:val="continue"/>
                  <w:tcBorders>
                    <w:tl2br w:val="nil"/>
                    <w:tr2bl w:val="nil"/>
                  </w:tcBorders>
                  <w:vAlign w:val="center"/>
                </w:tcPr>
                <w:p w14:paraId="633FA333">
                  <w:pPr>
                    <w:spacing w:line="240" w:lineRule="exact"/>
                    <w:jc w:val="center"/>
                    <w:rPr>
                      <w:rFonts w:hint="eastAsia" w:hAnsiTheme="minorEastAsia" w:eastAsiaTheme="minorEastAsia"/>
                      <w:sz w:val="15"/>
                      <w:szCs w:val="15"/>
                      <w:lang w:val="en-US" w:eastAsia="zh-CN"/>
                    </w:rPr>
                  </w:pPr>
                </w:p>
              </w:tc>
              <w:tc>
                <w:tcPr>
                  <w:tcW w:w="276" w:type="pct"/>
                  <w:vMerge w:val="continue"/>
                  <w:tcBorders>
                    <w:tl2br w:val="nil"/>
                    <w:tr2bl w:val="nil"/>
                  </w:tcBorders>
                  <w:vAlign w:val="center"/>
                </w:tcPr>
                <w:p w14:paraId="6263151C">
                  <w:pPr>
                    <w:spacing w:line="240" w:lineRule="exact"/>
                    <w:jc w:val="center"/>
                    <w:rPr>
                      <w:rFonts w:hint="eastAsia" w:eastAsiaTheme="minorEastAsia"/>
                      <w:sz w:val="15"/>
                      <w:szCs w:val="15"/>
                      <w:lang w:val="en-US" w:eastAsia="zh-CN"/>
                    </w:rPr>
                  </w:pPr>
                </w:p>
              </w:tc>
              <w:tc>
                <w:tcPr>
                  <w:tcW w:w="245" w:type="pct"/>
                  <w:tcBorders>
                    <w:tl2br w:val="nil"/>
                    <w:tr2bl w:val="nil"/>
                  </w:tcBorders>
                  <w:vAlign w:val="center"/>
                </w:tcPr>
                <w:p w14:paraId="5F2A447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颗粒物</w:t>
                  </w:r>
                </w:p>
              </w:tc>
              <w:tc>
                <w:tcPr>
                  <w:tcW w:w="376" w:type="pct"/>
                  <w:vMerge w:val="continue"/>
                  <w:tcBorders>
                    <w:tl2br w:val="nil"/>
                    <w:tr2bl w:val="nil"/>
                  </w:tcBorders>
                  <w:vAlign w:val="center"/>
                </w:tcPr>
                <w:p w14:paraId="0278352B">
                  <w:pPr>
                    <w:spacing w:line="240" w:lineRule="exact"/>
                    <w:jc w:val="center"/>
                    <w:rPr>
                      <w:rFonts w:hint="eastAsia" w:eastAsiaTheme="minorEastAsia"/>
                      <w:sz w:val="15"/>
                      <w:szCs w:val="15"/>
                      <w:lang w:val="en-US" w:eastAsia="zh-CN"/>
                    </w:rPr>
                  </w:pPr>
                </w:p>
              </w:tc>
              <w:tc>
                <w:tcPr>
                  <w:tcW w:w="434" w:type="pct"/>
                  <w:tcBorders>
                    <w:tl2br w:val="nil"/>
                    <w:tr2bl w:val="nil"/>
                  </w:tcBorders>
                  <w:vAlign w:val="center"/>
                </w:tcPr>
                <w:p w14:paraId="1B79F72B">
                  <w:pPr>
                    <w:widowControl/>
                    <w:jc w:val="center"/>
                    <w:rPr>
                      <w:rFonts w:hint="default" w:eastAsiaTheme="minorEastAsia"/>
                      <w:sz w:val="15"/>
                      <w:szCs w:val="15"/>
                      <w:lang w:val="en-US" w:eastAsia="zh-CN"/>
                    </w:rPr>
                  </w:pPr>
                  <w:r>
                    <w:rPr>
                      <w:rFonts w:hint="eastAsia" w:eastAsiaTheme="minorEastAsia"/>
                      <w:sz w:val="15"/>
                      <w:szCs w:val="15"/>
                      <w:lang w:val="en-US" w:eastAsia="zh-CN"/>
                    </w:rPr>
                    <w:t>1.435</w:t>
                  </w:r>
                </w:p>
              </w:tc>
              <w:tc>
                <w:tcPr>
                  <w:tcW w:w="1253" w:type="pct"/>
                  <w:vMerge w:val="continue"/>
                  <w:tcBorders>
                    <w:tl2br w:val="nil"/>
                    <w:tr2bl w:val="nil"/>
                  </w:tcBorders>
                  <w:vAlign w:val="center"/>
                </w:tcPr>
                <w:p w14:paraId="05A0AF7E">
                  <w:pPr>
                    <w:spacing w:line="240" w:lineRule="exact"/>
                    <w:jc w:val="center"/>
                    <w:rPr>
                      <w:rFonts w:hint="eastAsia" w:ascii="Times New Roman" w:hAnsi="Times New Roman" w:cs="Times New Roman" w:eastAsiaTheme="minorEastAsia"/>
                      <w:sz w:val="15"/>
                      <w:szCs w:val="15"/>
                    </w:rPr>
                  </w:pPr>
                </w:p>
              </w:tc>
              <w:tc>
                <w:tcPr>
                  <w:tcW w:w="593" w:type="pct"/>
                  <w:vMerge w:val="continue"/>
                  <w:tcBorders>
                    <w:tl2br w:val="nil"/>
                    <w:tr2bl w:val="nil"/>
                  </w:tcBorders>
                  <w:vAlign w:val="center"/>
                </w:tcPr>
                <w:p w14:paraId="35A0C515">
                  <w:pPr>
                    <w:spacing w:line="240" w:lineRule="exact"/>
                    <w:jc w:val="center"/>
                    <w:rPr>
                      <w:rFonts w:hint="eastAsia" w:eastAsiaTheme="minorEastAsia"/>
                      <w:sz w:val="15"/>
                      <w:szCs w:val="15"/>
                      <w:lang w:val="en-US" w:eastAsia="zh-CN"/>
                    </w:rPr>
                  </w:pPr>
                </w:p>
              </w:tc>
              <w:tc>
                <w:tcPr>
                  <w:tcW w:w="406" w:type="pct"/>
                  <w:tcBorders>
                    <w:tl2br w:val="nil"/>
                    <w:tr2bl w:val="nil"/>
                  </w:tcBorders>
                  <w:vAlign w:val="center"/>
                </w:tcPr>
                <w:p w14:paraId="2F80439D">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5.74</w:t>
                  </w:r>
                </w:p>
              </w:tc>
              <w:tc>
                <w:tcPr>
                  <w:tcW w:w="421" w:type="pct"/>
                  <w:tcBorders>
                    <w:tl2br w:val="nil"/>
                    <w:tr2bl w:val="nil"/>
                  </w:tcBorders>
                  <w:vAlign w:val="center"/>
                </w:tcPr>
                <w:p w14:paraId="348EFBEB">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0.086</w:t>
                  </w:r>
                </w:p>
              </w:tc>
              <w:tc>
                <w:tcPr>
                  <w:tcW w:w="401" w:type="pct"/>
                  <w:tcBorders>
                    <w:tl2br w:val="nil"/>
                    <w:tr2bl w:val="nil"/>
                  </w:tcBorders>
                  <w:vAlign w:val="center"/>
                </w:tcPr>
                <w:p w14:paraId="1AC887D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0.1292</w:t>
                  </w:r>
                </w:p>
              </w:tc>
            </w:tr>
            <w:tr w14:paraId="08818EC4">
              <w:tblPrEx>
                <w:tblCellMar>
                  <w:top w:w="0" w:type="dxa"/>
                  <w:left w:w="108" w:type="dxa"/>
                  <w:bottom w:w="0" w:type="dxa"/>
                  <w:right w:w="108" w:type="dxa"/>
                </w:tblCellMar>
              </w:tblPrEx>
              <w:trPr>
                <w:trHeight w:val="117" w:hRule="atLeast"/>
              </w:trPr>
              <w:tc>
                <w:tcPr>
                  <w:tcW w:w="249" w:type="pct"/>
                  <w:tcBorders>
                    <w:tl2br w:val="nil"/>
                    <w:tr2bl w:val="nil"/>
                  </w:tcBorders>
                  <w:vAlign w:val="center"/>
                </w:tcPr>
                <w:p w14:paraId="0E527855">
                  <w:pPr>
                    <w:spacing w:line="240" w:lineRule="exact"/>
                    <w:jc w:val="center"/>
                    <w:rPr>
                      <w:rFonts w:hint="default" w:hAnsiTheme="minorEastAsia" w:eastAsiaTheme="minorEastAsia"/>
                      <w:sz w:val="15"/>
                      <w:szCs w:val="15"/>
                      <w:lang w:val="en-US"/>
                    </w:rPr>
                  </w:pPr>
                  <w:r>
                    <w:rPr>
                      <w:rFonts w:hint="eastAsia" w:hAnsiTheme="minorEastAsia" w:eastAsiaTheme="minorEastAsia"/>
                      <w:sz w:val="15"/>
                      <w:szCs w:val="15"/>
                      <w:lang w:val="en-US" w:eastAsia="zh-CN"/>
                    </w:rPr>
                    <w:t>G5</w:t>
                  </w:r>
                </w:p>
              </w:tc>
              <w:tc>
                <w:tcPr>
                  <w:tcW w:w="340" w:type="pct"/>
                  <w:tcBorders>
                    <w:tl2br w:val="nil"/>
                    <w:tr2bl w:val="nil"/>
                  </w:tcBorders>
                  <w:vAlign w:val="center"/>
                </w:tcPr>
                <w:p w14:paraId="0041DE61">
                  <w:pPr>
                    <w:spacing w:line="240" w:lineRule="exact"/>
                    <w:jc w:val="center"/>
                    <w:rPr>
                      <w:rFonts w:hint="default" w:hAnsiTheme="minorEastAsia" w:eastAsiaTheme="minorEastAsia"/>
                      <w:sz w:val="15"/>
                      <w:szCs w:val="15"/>
                      <w:lang w:val="en-US" w:eastAsia="zh-CN"/>
                    </w:rPr>
                  </w:pPr>
                  <w:r>
                    <w:rPr>
                      <w:rFonts w:hint="eastAsia" w:hAnsiTheme="minorEastAsia" w:eastAsiaTheme="minorEastAsia"/>
                      <w:sz w:val="15"/>
                      <w:szCs w:val="15"/>
                      <w:lang w:val="en-US" w:eastAsia="zh-CN"/>
                    </w:rPr>
                    <w:t>一二车间</w:t>
                  </w:r>
                </w:p>
              </w:tc>
              <w:tc>
                <w:tcPr>
                  <w:tcW w:w="276" w:type="pct"/>
                  <w:tcBorders>
                    <w:tl2br w:val="nil"/>
                    <w:tr2bl w:val="nil"/>
                  </w:tcBorders>
                  <w:vAlign w:val="center"/>
                </w:tcPr>
                <w:p w14:paraId="198F1A6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砖石加工</w:t>
                  </w:r>
                </w:p>
              </w:tc>
              <w:tc>
                <w:tcPr>
                  <w:tcW w:w="245" w:type="pct"/>
                  <w:tcBorders>
                    <w:tl2br w:val="nil"/>
                    <w:tr2bl w:val="nil"/>
                  </w:tcBorders>
                  <w:vAlign w:val="center"/>
                </w:tcPr>
                <w:p w14:paraId="09660A89">
                  <w:pPr>
                    <w:spacing w:line="240" w:lineRule="exact"/>
                    <w:jc w:val="center"/>
                    <w:rPr>
                      <w:rFonts w:eastAsiaTheme="minorEastAsia"/>
                      <w:sz w:val="15"/>
                      <w:szCs w:val="15"/>
                    </w:rPr>
                  </w:pPr>
                  <w:r>
                    <w:rPr>
                      <w:rFonts w:hint="eastAsia" w:eastAsiaTheme="minorEastAsia"/>
                      <w:sz w:val="15"/>
                      <w:szCs w:val="15"/>
                      <w:lang w:val="en-US" w:eastAsia="zh-CN"/>
                    </w:rPr>
                    <w:t>颗粒物</w:t>
                  </w:r>
                </w:p>
              </w:tc>
              <w:tc>
                <w:tcPr>
                  <w:tcW w:w="376" w:type="pct"/>
                  <w:tcBorders>
                    <w:tl2br w:val="nil"/>
                    <w:tr2bl w:val="nil"/>
                  </w:tcBorders>
                  <w:vAlign w:val="center"/>
                </w:tcPr>
                <w:p w14:paraId="00049AFD">
                  <w:pPr>
                    <w:spacing w:line="240" w:lineRule="exact"/>
                    <w:jc w:val="center"/>
                    <w:rPr>
                      <w:rFonts w:eastAsiaTheme="minorEastAsia"/>
                      <w:sz w:val="15"/>
                      <w:szCs w:val="15"/>
                    </w:rPr>
                  </w:pPr>
                  <w:r>
                    <w:rPr>
                      <w:rFonts w:hint="eastAsia" w:eastAsiaTheme="minorEastAsia"/>
                      <w:sz w:val="15"/>
                      <w:szCs w:val="15"/>
                      <w:lang w:val="en-US" w:eastAsia="zh-CN"/>
                    </w:rPr>
                    <w:t>无组织</w:t>
                  </w:r>
                </w:p>
              </w:tc>
              <w:tc>
                <w:tcPr>
                  <w:tcW w:w="434" w:type="pct"/>
                  <w:tcBorders>
                    <w:tl2br w:val="nil"/>
                    <w:tr2bl w:val="nil"/>
                  </w:tcBorders>
                  <w:vAlign w:val="center"/>
                </w:tcPr>
                <w:p w14:paraId="2515E735">
                  <w:pPr>
                    <w:widowControl/>
                    <w:jc w:val="center"/>
                    <w:rPr>
                      <w:rFonts w:hint="default" w:eastAsiaTheme="minorEastAsia"/>
                      <w:sz w:val="15"/>
                      <w:szCs w:val="15"/>
                      <w:lang w:val="en-US"/>
                    </w:rPr>
                  </w:pPr>
                  <w:r>
                    <w:rPr>
                      <w:rFonts w:hint="eastAsia" w:eastAsiaTheme="minorEastAsia"/>
                      <w:sz w:val="15"/>
                      <w:szCs w:val="15"/>
                      <w:lang w:val="en-US" w:eastAsia="zh-CN"/>
                    </w:rPr>
                    <w:t>20.8</w:t>
                  </w:r>
                </w:p>
              </w:tc>
              <w:tc>
                <w:tcPr>
                  <w:tcW w:w="1253" w:type="pct"/>
                  <w:tcBorders>
                    <w:tl2br w:val="nil"/>
                    <w:tr2bl w:val="nil"/>
                  </w:tcBorders>
                  <w:vAlign w:val="center"/>
                </w:tcPr>
                <w:p w14:paraId="5BC1B592">
                  <w:pPr>
                    <w:spacing w:line="240" w:lineRule="exact"/>
                    <w:jc w:val="center"/>
                    <w:rPr>
                      <w:rFonts w:hint="default" w:ascii="Times New Roman" w:hAnsi="Times New Roman" w:cs="Times New Roman" w:eastAsiaTheme="minorEastAsia"/>
                      <w:sz w:val="15"/>
                      <w:szCs w:val="15"/>
                      <w:lang w:val="en-US" w:eastAsia="zh-CN"/>
                    </w:rPr>
                  </w:pPr>
                  <w:r>
                    <w:rPr>
                      <w:rFonts w:hint="eastAsia" w:ascii="Times New Roman" w:hAnsi="Times New Roman" w:cs="Times New Roman" w:eastAsiaTheme="minorEastAsia"/>
                      <w:sz w:val="15"/>
                      <w:szCs w:val="15"/>
                      <w:lang w:val="en-US" w:eastAsia="zh-CN"/>
                    </w:rPr>
                    <w:t>采用湿式工艺，切割、雕刻等过程中喷水除尘，颗粒物与水雾混合形成的泥浆经车间设置的排水渠汇入沉淀池内，循环使用，除尘效率90%，</w:t>
                  </w:r>
                  <w:r>
                    <w:rPr>
                      <w:rFonts w:hint="eastAsia" w:ascii="Times New Roman" w:hAnsi="Times New Roman" w:cs="Times New Roman" w:eastAsiaTheme="minorEastAsia"/>
                      <w:sz w:val="15"/>
                      <w:szCs w:val="15"/>
                    </w:rPr>
                    <w:t>封闭式车间防治，并加强车间通风、清扫等措施</w:t>
                  </w:r>
                  <w:r>
                    <w:rPr>
                      <w:rFonts w:hint="eastAsia" w:ascii="Times New Roman" w:hAnsi="Times New Roman" w:cs="Times New Roman" w:eastAsiaTheme="minorEastAsia"/>
                      <w:sz w:val="15"/>
                      <w:szCs w:val="15"/>
                      <w:lang w:val="en-US" w:eastAsia="zh-CN"/>
                    </w:rPr>
                    <w:t>抑尘效率98%</w:t>
                  </w:r>
                </w:p>
              </w:tc>
              <w:tc>
                <w:tcPr>
                  <w:tcW w:w="593" w:type="pct"/>
                  <w:tcBorders>
                    <w:tl2br w:val="nil"/>
                    <w:tr2bl w:val="nil"/>
                  </w:tcBorders>
                  <w:vAlign w:val="center"/>
                </w:tcPr>
                <w:p w14:paraId="2217C157">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06" w:type="pct"/>
                  <w:tcBorders>
                    <w:tl2br w:val="nil"/>
                    <w:tr2bl w:val="nil"/>
                  </w:tcBorders>
                  <w:vAlign w:val="center"/>
                </w:tcPr>
                <w:p w14:paraId="2C273D71">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21" w:type="pct"/>
                  <w:tcBorders>
                    <w:tl2br w:val="nil"/>
                    <w:tr2bl w:val="nil"/>
                  </w:tcBorders>
                  <w:vAlign w:val="center"/>
                </w:tcPr>
                <w:p w14:paraId="1E321514">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w:t>
                  </w:r>
                </w:p>
              </w:tc>
              <w:tc>
                <w:tcPr>
                  <w:tcW w:w="401" w:type="pct"/>
                  <w:tcBorders>
                    <w:tl2br w:val="nil"/>
                    <w:tr2bl w:val="nil"/>
                  </w:tcBorders>
                  <w:vAlign w:val="center"/>
                </w:tcPr>
                <w:p w14:paraId="09C99F78">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0.416</w:t>
                  </w:r>
                </w:p>
              </w:tc>
            </w:tr>
            <w:tr w14:paraId="45C9E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restart"/>
                  <w:tcBorders>
                    <w:tl2br w:val="nil"/>
                    <w:tr2bl w:val="nil"/>
                  </w:tcBorders>
                  <w:vAlign w:val="center"/>
                </w:tcPr>
                <w:p w14:paraId="5CC911D0">
                  <w:pPr>
                    <w:spacing w:line="240" w:lineRule="exact"/>
                    <w:jc w:val="center"/>
                    <w:rPr>
                      <w:rFonts w:hint="default" w:hAnsiTheme="minorEastAsia" w:eastAsiaTheme="minorEastAsia"/>
                      <w:sz w:val="15"/>
                      <w:szCs w:val="15"/>
                      <w:lang w:val="en-US"/>
                    </w:rPr>
                  </w:pPr>
                  <w:r>
                    <w:rPr>
                      <w:rFonts w:hint="eastAsia" w:hAnsiTheme="minorEastAsia" w:eastAsiaTheme="minorEastAsia"/>
                      <w:sz w:val="15"/>
                      <w:szCs w:val="15"/>
                      <w:lang w:val="en-US" w:eastAsia="zh-CN"/>
                    </w:rPr>
                    <w:t>G6</w:t>
                  </w:r>
                </w:p>
              </w:tc>
              <w:tc>
                <w:tcPr>
                  <w:tcW w:w="340" w:type="pct"/>
                  <w:vMerge w:val="restart"/>
                  <w:tcBorders>
                    <w:tl2br w:val="nil"/>
                    <w:tr2bl w:val="nil"/>
                  </w:tcBorders>
                  <w:vAlign w:val="center"/>
                </w:tcPr>
                <w:p w14:paraId="09BE7123">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锅炉房</w:t>
                  </w:r>
                </w:p>
              </w:tc>
              <w:tc>
                <w:tcPr>
                  <w:tcW w:w="276" w:type="pct"/>
                  <w:vMerge w:val="restart"/>
                  <w:tcBorders>
                    <w:tl2br w:val="nil"/>
                    <w:tr2bl w:val="nil"/>
                  </w:tcBorders>
                  <w:vAlign w:val="center"/>
                </w:tcPr>
                <w:p w14:paraId="52E30657">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锅炉燃烧</w:t>
                  </w:r>
                </w:p>
              </w:tc>
              <w:tc>
                <w:tcPr>
                  <w:tcW w:w="245" w:type="pct"/>
                  <w:tcBorders>
                    <w:tl2br w:val="nil"/>
                    <w:tr2bl w:val="nil"/>
                  </w:tcBorders>
                  <w:vAlign w:val="center"/>
                </w:tcPr>
                <w:p w14:paraId="3158354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颗粒物</w:t>
                  </w:r>
                </w:p>
              </w:tc>
              <w:tc>
                <w:tcPr>
                  <w:tcW w:w="376" w:type="pct"/>
                  <w:vMerge w:val="restart"/>
                  <w:tcBorders>
                    <w:tl2br w:val="nil"/>
                    <w:tr2bl w:val="nil"/>
                  </w:tcBorders>
                  <w:vAlign w:val="center"/>
                </w:tcPr>
                <w:p w14:paraId="2E760F11">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1750</w:t>
                  </w:r>
                </w:p>
              </w:tc>
              <w:tc>
                <w:tcPr>
                  <w:tcW w:w="434" w:type="pct"/>
                  <w:tcBorders>
                    <w:tl2br w:val="nil"/>
                    <w:tr2bl w:val="nil"/>
                  </w:tcBorders>
                  <w:vAlign w:val="center"/>
                </w:tcPr>
                <w:p w14:paraId="6A070EBE">
                  <w:pPr>
                    <w:widowControl/>
                    <w:jc w:val="center"/>
                    <w:rPr>
                      <w:rFonts w:hint="default" w:eastAsiaTheme="minorEastAsia"/>
                      <w:sz w:val="15"/>
                      <w:szCs w:val="15"/>
                      <w:lang w:val="en-US" w:eastAsia="zh-CN"/>
                    </w:rPr>
                  </w:pPr>
                  <w:r>
                    <w:rPr>
                      <w:rFonts w:hint="eastAsia" w:eastAsiaTheme="minorEastAsia"/>
                      <w:sz w:val="15"/>
                      <w:szCs w:val="15"/>
                      <w:lang w:val="en-US" w:eastAsia="zh-CN"/>
                    </w:rPr>
                    <w:t>0.3432</w:t>
                  </w:r>
                </w:p>
              </w:tc>
              <w:tc>
                <w:tcPr>
                  <w:tcW w:w="1253" w:type="pct"/>
                  <w:vMerge w:val="restart"/>
                  <w:tcBorders>
                    <w:tl2br w:val="nil"/>
                    <w:tr2bl w:val="nil"/>
                  </w:tcBorders>
                  <w:vAlign w:val="center"/>
                </w:tcPr>
                <w:p w14:paraId="0199100B">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低氮燃烧器+烟气循环技术，废气经DA004排放</w:t>
                  </w:r>
                </w:p>
              </w:tc>
              <w:tc>
                <w:tcPr>
                  <w:tcW w:w="593" w:type="pct"/>
                  <w:vMerge w:val="restart"/>
                  <w:tcBorders>
                    <w:tl2br w:val="nil"/>
                    <w:tr2bl w:val="nil"/>
                  </w:tcBorders>
                  <w:vAlign w:val="center"/>
                </w:tcPr>
                <w:p w14:paraId="5B4CC2EF">
                  <w:pPr>
                    <w:spacing w:line="240" w:lineRule="exact"/>
                    <w:jc w:val="center"/>
                    <w:rPr>
                      <w:rFonts w:eastAsiaTheme="minorEastAsia"/>
                      <w:sz w:val="15"/>
                      <w:szCs w:val="15"/>
                    </w:rPr>
                  </w:pPr>
                  <w:r>
                    <w:rPr>
                      <w:rFonts w:hint="eastAsia" w:eastAsiaTheme="minorEastAsia"/>
                      <w:sz w:val="15"/>
                      <w:szCs w:val="15"/>
                    </w:rPr>
                    <w:t>DA00</w:t>
                  </w:r>
                  <w:r>
                    <w:rPr>
                      <w:rFonts w:hint="eastAsia" w:eastAsiaTheme="minorEastAsia"/>
                      <w:sz w:val="15"/>
                      <w:szCs w:val="15"/>
                      <w:lang w:val="en-US" w:eastAsia="zh-CN"/>
                    </w:rPr>
                    <w:t>4</w:t>
                  </w:r>
                  <w:r>
                    <w:rPr>
                      <w:rFonts w:hint="eastAsia" w:eastAsiaTheme="minorEastAsia"/>
                      <w:sz w:val="15"/>
                      <w:szCs w:val="15"/>
                    </w:rPr>
                    <w:t>（H</w:t>
                  </w:r>
                  <w:r>
                    <w:rPr>
                      <w:rFonts w:hint="eastAsia" w:eastAsiaTheme="minorEastAsia"/>
                      <w:sz w:val="15"/>
                      <w:szCs w:val="15"/>
                      <w:lang w:val="en-US" w:eastAsia="zh-CN"/>
                    </w:rPr>
                    <w:t>8</w:t>
                  </w:r>
                  <w:r>
                    <w:rPr>
                      <w:rFonts w:hint="eastAsia" w:eastAsiaTheme="minorEastAsia"/>
                      <w:sz w:val="15"/>
                      <w:szCs w:val="15"/>
                    </w:rPr>
                    <w:t>m，φ0.</w:t>
                  </w:r>
                  <w:r>
                    <w:rPr>
                      <w:rFonts w:hint="eastAsia" w:eastAsiaTheme="minorEastAsia"/>
                      <w:sz w:val="15"/>
                      <w:szCs w:val="15"/>
                      <w:lang w:val="en-US" w:eastAsia="zh-CN"/>
                    </w:rPr>
                    <w:t>3</w:t>
                  </w:r>
                  <w:r>
                    <w:rPr>
                      <w:rFonts w:hint="eastAsia" w:eastAsiaTheme="minorEastAsia"/>
                      <w:sz w:val="15"/>
                      <w:szCs w:val="15"/>
                    </w:rPr>
                    <w:t>m）</w:t>
                  </w:r>
                </w:p>
              </w:tc>
              <w:tc>
                <w:tcPr>
                  <w:tcW w:w="406" w:type="pct"/>
                  <w:tcBorders>
                    <w:tl2br w:val="nil"/>
                    <w:tr2bl w:val="nil"/>
                  </w:tcBorders>
                  <w:vAlign w:val="center"/>
                </w:tcPr>
                <w:p w14:paraId="503FBE65">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2.85</w:t>
                  </w:r>
                </w:p>
              </w:tc>
              <w:tc>
                <w:tcPr>
                  <w:tcW w:w="421" w:type="pct"/>
                  <w:tcBorders>
                    <w:tl2br w:val="nil"/>
                    <w:tr2bl w:val="nil"/>
                  </w:tcBorders>
                  <w:vAlign w:val="center"/>
                </w:tcPr>
                <w:p w14:paraId="1755ADD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0.050</w:t>
                  </w:r>
                </w:p>
              </w:tc>
              <w:tc>
                <w:tcPr>
                  <w:tcW w:w="401" w:type="pct"/>
                  <w:tcBorders>
                    <w:tl2br w:val="nil"/>
                    <w:tr2bl w:val="nil"/>
                  </w:tcBorders>
                  <w:vAlign w:val="center"/>
                </w:tcPr>
                <w:p w14:paraId="65A898A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0.3432</w:t>
                  </w:r>
                </w:p>
              </w:tc>
            </w:tr>
            <w:tr w14:paraId="1176F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76F52DD6">
                  <w:pPr>
                    <w:spacing w:line="240" w:lineRule="exact"/>
                    <w:jc w:val="center"/>
                    <w:rPr>
                      <w:rFonts w:hAnsiTheme="minorEastAsia" w:eastAsiaTheme="minorEastAsia"/>
                      <w:sz w:val="15"/>
                      <w:szCs w:val="15"/>
                    </w:rPr>
                  </w:pPr>
                </w:p>
              </w:tc>
              <w:tc>
                <w:tcPr>
                  <w:tcW w:w="340" w:type="pct"/>
                  <w:vMerge w:val="continue"/>
                  <w:tcBorders>
                    <w:tl2br w:val="nil"/>
                    <w:tr2bl w:val="nil"/>
                  </w:tcBorders>
                  <w:vAlign w:val="center"/>
                </w:tcPr>
                <w:p w14:paraId="4E6AF546">
                  <w:pPr>
                    <w:spacing w:line="240" w:lineRule="exact"/>
                    <w:jc w:val="center"/>
                    <w:rPr>
                      <w:rFonts w:hAnsiTheme="minorEastAsia" w:eastAsiaTheme="minorEastAsia"/>
                      <w:sz w:val="15"/>
                      <w:szCs w:val="15"/>
                    </w:rPr>
                  </w:pPr>
                </w:p>
              </w:tc>
              <w:tc>
                <w:tcPr>
                  <w:tcW w:w="276" w:type="pct"/>
                  <w:vMerge w:val="continue"/>
                  <w:tcBorders>
                    <w:tl2br w:val="nil"/>
                    <w:tr2bl w:val="nil"/>
                  </w:tcBorders>
                  <w:vAlign w:val="center"/>
                </w:tcPr>
                <w:p w14:paraId="35F41AF0">
                  <w:pPr>
                    <w:spacing w:line="240" w:lineRule="exact"/>
                    <w:jc w:val="center"/>
                    <w:rPr>
                      <w:rFonts w:eastAsiaTheme="minorEastAsia"/>
                      <w:sz w:val="15"/>
                      <w:szCs w:val="15"/>
                    </w:rPr>
                  </w:pPr>
                </w:p>
              </w:tc>
              <w:tc>
                <w:tcPr>
                  <w:tcW w:w="245" w:type="pct"/>
                  <w:tcBorders>
                    <w:tl2br w:val="nil"/>
                    <w:tr2bl w:val="nil"/>
                  </w:tcBorders>
                  <w:vAlign w:val="center"/>
                </w:tcPr>
                <w:p w14:paraId="0BEEB6AE">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二氧化硫</w:t>
                  </w:r>
                </w:p>
              </w:tc>
              <w:tc>
                <w:tcPr>
                  <w:tcW w:w="376" w:type="pct"/>
                  <w:vMerge w:val="continue"/>
                  <w:tcBorders>
                    <w:tl2br w:val="nil"/>
                    <w:tr2bl w:val="nil"/>
                  </w:tcBorders>
                  <w:vAlign w:val="center"/>
                </w:tcPr>
                <w:p w14:paraId="24889946">
                  <w:pPr>
                    <w:spacing w:line="240" w:lineRule="exact"/>
                    <w:jc w:val="center"/>
                    <w:rPr>
                      <w:rFonts w:eastAsiaTheme="minorEastAsia"/>
                      <w:sz w:val="15"/>
                      <w:szCs w:val="15"/>
                    </w:rPr>
                  </w:pPr>
                </w:p>
              </w:tc>
              <w:tc>
                <w:tcPr>
                  <w:tcW w:w="434" w:type="pct"/>
                  <w:tcBorders>
                    <w:tl2br w:val="nil"/>
                    <w:tr2bl w:val="nil"/>
                  </w:tcBorders>
                  <w:vAlign w:val="center"/>
                </w:tcPr>
                <w:p w14:paraId="52648D9B">
                  <w:pPr>
                    <w:widowControl/>
                    <w:jc w:val="center"/>
                    <w:rPr>
                      <w:rFonts w:hint="default" w:eastAsiaTheme="minorEastAsia"/>
                      <w:sz w:val="15"/>
                      <w:szCs w:val="15"/>
                      <w:lang w:val="en-US" w:eastAsia="zh-CN"/>
                    </w:rPr>
                  </w:pPr>
                  <w:r>
                    <w:rPr>
                      <w:rFonts w:hint="eastAsia" w:eastAsiaTheme="minorEastAsia"/>
                      <w:sz w:val="15"/>
                      <w:szCs w:val="15"/>
                      <w:lang w:val="en-US" w:eastAsia="zh-CN"/>
                    </w:rPr>
                    <w:t>0.0480</w:t>
                  </w:r>
                </w:p>
              </w:tc>
              <w:tc>
                <w:tcPr>
                  <w:tcW w:w="1253" w:type="pct"/>
                  <w:vMerge w:val="continue"/>
                  <w:tcBorders>
                    <w:tl2br w:val="nil"/>
                    <w:tr2bl w:val="nil"/>
                  </w:tcBorders>
                  <w:vAlign w:val="center"/>
                </w:tcPr>
                <w:p w14:paraId="34DA368C">
                  <w:pPr>
                    <w:spacing w:line="240" w:lineRule="exact"/>
                    <w:jc w:val="center"/>
                    <w:rPr>
                      <w:rFonts w:eastAsiaTheme="minorEastAsia"/>
                      <w:sz w:val="15"/>
                      <w:szCs w:val="15"/>
                    </w:rPr>
                  </w:pPr>
                </w:p>
              </w:tc>
              <w:tc>
                <w:tcPr>
                  <w:tcW w:w="593" w:type="pct"/>
                  <w:vMerge w:val="continue"/>
                  <w:tcBorders>
                    <w:tl2br w:val="nil"/>
                    <w:tr2bl w:val="nil"/>
                  </w:tcBorders>
                  <w:vAlign w:val="center"/>
                </w:tcPr>
                <w:p w14:paraId="79D55A14">
                  <w:pPr>
                    <w:spacing w:line="240" w:lineRule="exact"/>
                    <w:jc w:val="center"/>
                    <w:rPr>
                      <w:rFonts w:eastAsiaTheme="minorEastAsia"/>
                      <w:sz w:val="15"/>
                      <w:szCs w:val="15"/>
                    </w:rPr>
                  </w:pPr>
                </w:p>
              </w:tc>
              <w:tc>
                <w:tcPr>
                  <w:tcW w:w="406" w:type="pct"/>
                  <w:tcBorders>
                    <w:tl2br w:val="nil"/>
                    <w:tr2bl w:val="nil"/>
                  </w:tcBorders>
                  <w:vAlign w:val="center"/>
                </w:tcPr>
                <w:p w14:paraId="0F51101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3.99</w:t>
                  </w:r>
                </w:p>
              </w:tc>
              <w:tc>
                <w:tcPr>
                  <w:tcW w:w="421" w:type="pct"/>
                  <w:tcBorders>
                    <w:tl2br w:val="nil"/>
                    <w:tr2bl w:val="nil"/>
                  </w:tcBorders>
                  <w:vAlign w:val="center"/>
                </w:tcPr>
                <w:p w14:paraId="2EF5B60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0.007</w:t>
                  </w:r>
                </w:p>
              </w:tc>
              <w:tc>
                <w:tcPr>
                  <w:tcW w:w="401" w:type="pct"/>
                  <w:tcBorders>
                    <w:tl2br w:val="nil"/>
                    <w:tr2bl w:val="nil"/>
                  </w:tcBorders>
                  <w:vAlign w:val="center"/>
                </w:tcPr>
                <w:p w14:paraId="090DDA07">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0.0480</w:t>
                  </w:r>
                </w:p>
              </w:tc>
            </w:tr>
            <w:tr w14:paraId="0CAA0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5264DCD4">
                  <w:pPr>
                    <w:spacing w:line="240" w:lineRule="exact"/>
                    <w:jc w:val="center"/>
                    <w:rPr>
                      <w:rFonts w:hAnsiTheme="minorEastAsia" w:eastAsiaTheme="minorEastAsia"/>
                      <w:sz w:val="15"/>
                      <w:szCs w:val="15"/>
                    </w:rPr>
                  </w:pPr>
                </w:p>
              </w:tc>
              <w:tc>
                <w:tcPr>
                  <w:tcW w:w="340" w:type="pct"/>
                  <w:vMerge w:val="continue"/>
                  <w:tcBorders>
                    <w:tl2br w:val="nil"/>
                    <w:tr2bl w:val="nil"/>
                  </w:tcBorders>
                  <w:vAlign w:val="center"/>
                </w:tcPr>
                <w:p w14:paraId="426D4310">
                  <w:pPr>
                    <w:spacing w:line="240" w:lineRule="exact"/>
                    <w:jc w:val="center"/>
                    <w:rPr>
                      <w:rFonts w:hAnsiTheme="minorEastAsia" w:eastAsiaTheme="minorEastAsia"/>
                      <w:sz w:val="15"/>
                      <w:szCs w:val="15"/>
                    </w:rPr>
                  </w:pPr>
                </w:p>
              </w:tc>
              <w:tc>
                <w:tcPr>
                  <w:tcW w:w="276" w:type="pct"/>
                  <w:vMerge w:val="continue"/>
                  <w:tcBorders>
                    <w:tl2br w:val="nil"/>
                    <w:tr2bl w:val="nil"/>
                  </w:tcBorders>
                  <w:vAlign w:val="center"/>
                </w:tcPr>
                <w:p w14:paraId="361D52E5">
                  <w:pPr>
                    <w:spacing w:line="240" w:lineRule="exact"/>
                    <w:jc w:val="center"/>
                    <w:rPr>
                      <w:rFonts w:eastAsiaTheme="minorEastAsia"/>
                      <w:sz w:val="15"/>
                      <w:szCs w:val="15"/>
                    </w:rPr>
                  </w:pPr>
                </w:p>
              </w:tc>
              <w:tc>
                <w:tcPr>
                  <w:tcW w:w="245" w:type="pct"/>
                  <w:tcBorders>
                    <w:tl2br w:val="nil"/>
                    <w:tr2bl w:val="nil"/>
                  </w:tcBorders>
                  <w:vAlign w:val="center"/>
                </w:tcPr>
                <w:p w14:paraId="609B4039">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氮氧化物</w:t>
                  </w:r>
                </w:p>
              </w:tc>
              <w:tc>
                <w:tcPr>
                  <w:tcW w:w="376" w:type="pct"/>
                  <w:vMerge w:val="continue"/>
                  <w:tcBorders>
                    <w:tl2br w:val="nil"/>
                    <w:tr2bl w:val="nil"/>
                  </w:tcBorders>
                  <w:vAlign w:val="center"/>
                </w:tcPr>
                <w:p w14:paraId="165B6303">
                  <w:pPr>
                    <w:spacing w:line="240" w:lineRule="exact"/>
                    <w:jc w:val="center"/>
                    <w:rPr>
                      <w:rFonts w:eastAsiaTheme="minorEastAsia"/>
                      <w:sz w:val="15"/>
                      <w:szCs w:val="15"/>
                    </w:rPr>
                  </w:pPr>
                </w:p>
              </w:tc>
              <w:tc>
                <w:tcPr>
                  <w:tcW w:w="434" w:type="pct"/>
                  <w:tcBorders>
                    <w:tl2br w:val="nil"/>
                    <w:tr2bl w:val="nil"/>
                  </w:tcBorders>
                  <w:vAlign w:val="center"/>
                </w:tcPr>
                <w:p w14:paraId="76367766">
                  <w:pPr>
                    <w:widowControl/>
                    <w:jc w:val="center"/>
                    <w:rPr>
                      <w:rFonts w:hint="default" w:eastAsiaTheme="minorEastAsia"/>
                      <w:sz w:val="15"/>
                      <w:szCs w:val="15"/>
                      <w:lang w:val="en-US" w:eastAsia="zh-CN"/>
                    </w:rPr>
                  </w:pPr>
                  <w:r>
                    <w:rPr>
                      <w:rFonts w:hint="eastAsia" w:eastAsiaTheme="minorEastAsia"/>
                      <w:sz w:val="15"/>
                      <w:szCs w:val="15"/>
                      <w:lang w:val="en-US" w:eastAsia="zh-CN"/>
                    </w:rPr>
                    <w:t>0.9030</w:t>
                  </w:r>
                </w:p>
              </w:tc>
              <w:tc>
                <w:tcPr>
                  <w:tcW w:w="1253" w:type="pct"/>
                  <w:vMerge w:val="continue"/>
                  <w:tcBorders>
                    <w:tl2br w:val="nil"/>
                    <w:tr2bl w:val="nil"/>
                  </w:tcBorders>
                  <w:vAlign w:val="center"/>
                </w:tcPr>
                <w:p w14:paraId="3B3ACA17">
                  <w:pPr>
                    <w:spacing w:line="240" w:lineRule="exact"/>
                    <w:jc w:val="center"/>
                    <w:rPr>
                      <w:rFonts w:eastAsiaTheme="minorEastAsia"/>
                      <w:sz w:val="15"/>
                      <w:szCs w:val="15"/>
                    </w:rPr>
                  </w:pPr>
                </w:p>
              </w:tc>
              <w:tc>
                <w:tcPr>
                  <w:tcW w:w="593" w:type="pct"/>
                  <w:vMerge w:val="continue"/>
                  <w:tcBorders>
                    <w:tl2br w:val="nil"/>
                    <w:tr2bl w:val="nil"/>
                  </w:tcBorders>
                  <w:vAlign w:val="center"/>
                </w:tcPr>
                <w:p w14:paraId="019315EE">
                  <w:pPr>
                    <w:spacing w:line="240" w:lineRule="exact"/>
                    <w:jc w:val="center"/>
                    <w:rPr>
                      <w:rFonts w:eastAsiaTheme="minorEastAsia"/>
                      <w:sz w:val="15"/>
                      <w:szCs w:val="15"/>
                    </w:rPr>
                  </w:pPr>
                </w:p>
              </w:tc>
              <w:tc>
                <w:tcPr>
                  <w:tcW w:w="406" w:type="pct"/>
                  <w:tcBorders>
                    <w:tl2br w:val="nil"/>
                    <w:tr2bl w:val="nil"/>
                  </w:tcBorders>
                  <w:vAlign w:val="center"/>
                </w:tcPr>
                <w:p w14:paraId="52602E3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50</w:t>
                  </w:r>
                </w:p>
              </w:tc>
              <w:tc>
                <w:tcPr>
                  <w:tcW w:w="421" w:type="pct"/>
                  <w:tcBorders>
                    <w:tl2br w:val="nil"/>
                    <w:tr2bl w:val="nil"/>
                  </w:tcBorders>
                  <w:vAlign w:val="center"/>
                </w:tcPr>
                <w:p w14:paraId="36082AE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0.087</w:t>
                  </w:r>
                </w:p>
              </w:tc>
              <w:tc>
                <w:tcPr>
                  <w:tcW w:w="401" w:type="pct"/>
                  <w:tcBorders>
                    <w:tl2br w:val="nil"/>
                    <w:tr2bl w:val="nil"/>
                  </w:tcBorders>
                  <w:vAlign w:val="center"/>
                </w:tcPr>
                <w:p w14:paraId="64F5BCA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0.6020</w:t>
                  </w:r>
                </w:p>
              </w:tc>
            </w:tr>
            <w:tr w14:paraId="1F6DA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restart"/>
                  <w:tcBorders>
                    <w:tl2br w:val="nil"/>
                    <w:tr2bl w:val="nil"/>
                  </w:tcBorders>
                  <w:vAlign w:val="center"/>
                </w:tcPr>
                <w:p w14:paraId="79AE3FB1">
                  <w:pPr>
                    <w:spacing w:line="240" w:lineRule="exact"/>
                    <w:jc w:val="center"/>
                    <w:rPr>
                      <w:rFonts w:hint="default" w:hAnsiTheme="minorEastAsia" w:eastAsiaTheme="minorEastAsia"/>
                      <w:sz w:val="15"/>
                      <w:szCs w:val="15"/>
                      <w:lang w:val="en-US"/>
                    </w:rPr>
                  </w:pPr>
                  <w:r>
                    <w:rPr>
                      <w:rFonts w:hint="eastAsia" w:hAnsiTheme="minorEastAsia" w:eastAsiaTheme="minorEastAsia"/>
                      <w:sz w:val="15"/>
                      <w:szCs w:val="15"/>
                      <w:lang w:val="en-US" w:eastAsia="zh-CN"/>
                    </w:rPr>
                    <w:t>G7</w:t>
                  </w:r>
                </w:p>
              </w:tc>
              <w:tc>
                <w:tcPr>
                  <w:tcW w:w="340" w:type="pct"/>
                  <w:vMerge w:val="restart"/>
                  <w:tcBorders>
                    <w:tl2br w:val="nil"/>
                    <w:tr2bl w:val="nil"/>
                  </w:tcBorders>
                  <w:vAlign w:val="center"/>
                </w:tcPr>
                <w:p w14:paraId="4C651B2A">
                  <w:pPr>
                    <w:spacing w:line="240" w:lineRule="exact"/>
                    <w:jc w:val="center"/>
                    <w:rPr>
                      <w:rFonts w:hint="eastAsia" w:hAnsiTheme="minorEastAsia" w:eastAsiaTheme="minorEastAsia"/>
                      <w:sz w:val="15"/>
                      <w:szCs w:val="15"/>
                      <w:lang w:val="en-US" w:eastAsia="zh-CN"/>
                    </w:rPr>
                  </w:pPr>
                  <w:r>
                    <w:rPr>
                      <w:rFonts w:hint="eastAsia" w:hAnsiTheme="minorEastAsia" w:eastAsiaTheme="minorEastAsia"/>
                      <w:sz w:val="15"/>
                      <w:szCs w:val="15"/>
                      <w:lang w:val="en-US" w:eastAsia="zh-CN"/>
                    </w:rPr>
                    <w:t>隧道窑</w:t>
                  </w:r>
                </w:p>
              </w:tc>
              <w:tc>
                <w:tcPr>
                  <w:tcW w:w="276" w:type="pct"/>
                  <w:vMerge w:val="restart"/>
                  <w:tcBorders>
                    <w:tl2br w:val="nil"/>
                    <w:tr2bl w:val="nil"/>
                  </w:tcBorders>
                  <w:vAlign w:val="center"/>
                </w:tcPr>
                <w:p w14:paraId="6410AFA2">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烧制</w:t>
                  </w:r>
                </w:p>
              </w:tc>
              <w:tc>
                <w:tcPr>
                  <w:tcW w:w="245" w:type="pct"/>
                  <w:tcBorders>
                    <w:tl2br w:val="nil"/>
                    <w:tr2bl w:val="nil"/>
                  </w:tcBorders>
                  <w:vAlign w:val="center"/>
                </w:tcPr>
                <w:p w14:paraId="4606D356">
                  <w:pPr>
                    <w:spacing w:line="240" w:lineRule="exact"/>
                    <w:jc w:val="center"/>
                    <w:rPr>
                      <w:rFonts w:eastAsiaTheme="minorEastAsia"/>
                      <w:sz w:val="15"/>
                      <w:szCs w:val="15"/>
                    </w:rPr>
                  </w:pPr>
                  <w:r>
                    <w:rPr>
                      <w:rFonts w:hint="eastAsia" w:eastAsiaTheme="minorEastAsia"/>
                      <w:sz w:val="15"/>
                      <w:szCs w:val="15"/>
                      <w:lang w:val="en-US" w:eastAsia="zh-CN"/>
                    </w:rPr>
                    <w:t>颗粒物</w:t>
                  </w:r>
                </w:p>
              </w:tc>
              <w:tc>
                <w:tcPr>
                  <w:tcW w:w="376" w:type="pct"/>
                  <w:vMerge w:val="restart"/>
                  <w:tcBorders>
                    <w:tl2br w:val="nil"/>
                    <w:tr2bl w:val="nil"/>
                  </w:tcBorders>
                  <w:vAlign w:val="center"/>
                </w:tcPr>
                <w:p w14:paraId="61812477">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8000</w:t>
                  </w:r>
                </w:p>
              </w:tc>
              <w:tc>
                <w:tcPr>
                  <w:tcW w:w="434" w:type="pct"/>
                  <w:tcBorders>
                    <w:tl2br w:val="nil"/>
                    <w:tr2bl w:val="nil"/>
                  </w:tcBorders>
                  <w:vAlign w:val="center"/>
                </w:tcPr>
                <w:p w14:paraId="64801355">
                  <w:pPr>
                    <w:widowControl/>
                    <w:jc w:val="center"/>
                    <w:rPr>
                      <w:rFonts w:hint="default" w:eastAsiaTheme="minorEastAsia"/>
                      <w:sz w:val="15"/>
                      <w:szCs w:val="15"/>
                      <w:lang w:val="en-US" w:eastAsia="zh-CN"/>
                    </w:rPr>
                  </w:pPr>
                  <w:r>
                    <w:rPr>
                      <w:rFonts w:hint="eastAsia" w:eastAsiaTheme="minorEastAsia"/>
                      <w:sz w:val="15"/>
                      <w:szCs w:val="15"/>
                      <w:lang w:val="en-US" w:eastAsia="zh-CN"/>
                    </w:rPr>
                    <w:t>0.1697</w:t>
                  </w:r>
                </w:p>
              </w:tc>
              <w:tc>
                <w:tcPr>
                  <w:tcW w:w="1253" w:type="pct"/>
                  <w:vMerge w:val="restart"/>
                  <w:tcBorders>
                    <w:tl2br w:val="nil"/>
                    <w:tr2bl w:val="nil"/>
                  </w:tcBorders>
                  <w:vAlign w:val="center"/>
                </w:tcPr>
                <w:p w14:paraId="29C9CE69">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低氮燃烧器，烟气经DA005排放</w:t>
                  </w:r>
                </w:p>
              </w:tc>
              <w:tc>
                <w:tcPr>
                  <w:tcW w:w="593" w:type="pct"/>
                  <w:vMerge w:val="restart"/>
                  <w:tcBorders>
                    <w:tl2br w:val="nil"/>
                    <w:tr2bl w:val="nil"/>
                  </w:tcBorders>
                  <w:vAlign w:val="center"/>
                </w:tcPr>
                <w:p w14:paraId="63D9E6E8">
                  <w:pPr>
                    <w:spacing w:line="240" w:lineRule="exact"/>
                    <w:jc w:val="center"/>
                    <w:rPr>
                      <w:rFonts w:eastAsiaTheme="minorEastAsia"/>
                      <w:sz w:val="15"/>
                      <w:szCs w:val="15"/>
                    </w:rPr>
                  </w:pPr>
                  <w:r>
                    <w:rPr>
                      <w:rFonts w:hint="eastAsia" w:eastAsiaTheme="minorEastAsia"/>
                      <w:sz w:val="15"/>
                      <w:szCs w:val="15"/>
                    </w:rPr>
                    <w:t>DA00</w:t>
                  </w:r>
                  <w:r>
                    <w:rPr>
                      <w:rFonts w:hint="eastAsia" w:eastAsiaTheme="minorEastAsia"/>
                      <w:sz w:val="15"/>
                      <w:szCs w:val="15"/>
                      <w:lang w:val="en-US" w:eastAsia="zh-CN"/>
                    </w:rPr>
                    <w:t>5</w:t>
                  </w:r>
                  <w:r>
                    <w:rPr>
                      <w:rFonts w:hint="eastAsia" w:eastAsiaTheme="minorEastAsia"/>
                      <w:sz w:val="15"/>
                      <w:szCs w:val="15"/>
                    </w:rPr>
                    <w:t>（H</w:t>
                  </w:r>
                  <w:r>
                    <w:rPr>
                      <w:rFonts w:hint="eastAsia" w:eastAsiaTheme="minorEastAsia"/>
                      <w:sz w:val="15"/>
                      <w:szCs w:val="15"/>
                      <w:lang w:val="en-US" w:eastAsia="zh-CN"/>
                    </w:rPr>
                    <w:t>15</w:t>
                  </w:r>
                  <w:r>
                    <w:rPr>
                      <w:rFonts w:hint="eastAsia" w:eastAsiaTheme="minorEastAsia"/>
                      <w:sz w:val="15"/>
                      <w:szCs w:val="15"/>
                    </w:rPr>
                    <w:t>m，φ0.</w:t>
                  </w:r>
                  <w:r>
                    <w:rPr>
                      <w:rFonts w:hint="eastAsia" w:eastAsiaTheme="minorEastAsia"/>
                      <w:sz w:val="15"/>
                      <w:szCs w:val="15"/>
                      <w:lang w:val="en-US" w:eastAsia="zh-CN"/>
                    </w:rPr>
                    <w:t>5</w:t>
                  </w:r>
                  <w:r>
                    <w:rPr>
                      <w:rFonts w:hint="eastAsia" w:eastAsiaTheme="minorEastAsia"/>
                      <w:sz w:val="15"/>
                      <w:szCs w:val="15"/>
                    </w:rPr>
                    <w:t>m）</w:t>
                  </w:r>
                </w:p>
              </w:tc>
              <w:tc>
                <w:tcPr>
                  <w:tcW w:w="406" w:type="pct"/>
                  <w:tcBorders>
                    <w:tl2br w:val="nil"/>
                    <w:tr2bl w:val="nil"/>
                  </w:tcBorders>
                  <w:vAlign w:val="center"/>
                </w:tcPr>
                <w:p w14:paraId="5F2A1500">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2.36</w:t>
                  </w:r>
                </w:p>
              </w:tc>
              <w:tc>
                <w:tcPr>
                  <w:tcW w:w="421" w:type="pct"/>
                  <w:tcBorders>
                    <w:tl2br w:val="nil"/>
                    <w:tr2bl w:val="nil"/>
                  </w:tcBorders>
                  <w:vAlign w:val="center"/>
                </w:tcPr>
                <w:p w14:paraId="1AB8A4F4">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0.024</w:t>
                  </w:r>
                </w:p>
              </w:tc>
              <w:tc>
                <w:tcPr>
                  <w:tcW w:w="401" w:type="pct"/>
                  <w:tcBorders>
                    <w:tl2br w:val="nil"/>
                    <w:tr2bl w:val="nil"/>
                  </w:tcBorders>
                  <w:vAlign w:val="center"/>
                </w:tcPr>
                <w:p w14:paraId="00581B07">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0.1697</w:t>
                  </w:r>
                </w:p>
              </w:tc>
            </w:tr>
            <w:tr w14:paraId="3DB4A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4AC0F7BD">
                  <w:pPr>
                    <w:spacing w:line="240" w:lineRule="exact"/>
                    <w:jc w:val="center"/>
                    <w:rPr>
                      <w:rFonts w:hAnsiTheme="minorEastAsia" w:eastAsiaTheme="minorEastAsia"/>
                      <w:sz w:val="15"/>
                      <w:szCs w:val="15"/>
                    </w:rPr>
                  </w:pPr>
                </w:p>
              </w:tc>
              <w:tc>
                <w:tcPr>
                  <w:tcW w:w="340" w:type="pct"/>
                  <w:vMerge w:val="continue"/>
                  <w:tcBorders>
                    <w:tl2br w:val="nil"/>
                    <w:tr2bl w:val="nil"/>
                  </w:tcBorders>
                  <w:vAlign w:val="center"/>
                </w:tcPr>
                <w:p w14:paraId="7CC735D6">
                  <w:pPr>
                    <w:spacing w:line="240" w:lineRule="exact"/>
                    <w:jc w:val="center"/>
                    <w:rPr>
                      <w:rFonts w:hAnsiTheme="minorEastAsia" w:eastAsiaTheme="minorEastAsia"/>
                      <w:sz w:val="15"/>
                      <w:szCs w:val="15"/>
                    </w:rPr>
                  </w:pPr>
                </w:p>
              </w:tc>
              <w:tc>
                <w:tcPr>
                  <w:tcW w:w="276" w:type="pct"/>
                  <w:vMerge w:val="continue"/>
                  <w:tcBorders>
                    <w:tl2br w:val="nil"/>
                    <w:tr2bl w:val="nil"/>
                  </w:tcBorders>
                  <w:vAlign w:val="center"/>
                </w:tcPr>
                <w:p w14:paraId="195A7F21">
                  <w:pPr>
                    <w:spacing w:line="240" w:lineRule="exact"/>
                    <w:jc w:val="center"/>
                    <w:rPr>
                      <w:rFonts w:eastAsiaTheme="minorEastAsia"/>
                      <w:sz w:val="15"/>
                      <w:szCs w:val="15"/>
                    </w:rPr>
                  </w:pPr>
                </w:p>
              </w:tc>
              <w:tc>
                <w:tcPr>
                  <w:tcW w:w="245" w:type="pct"/>
                  <w:tcBorders>
                    <w:tl2br w:val="nil"/>
                    <w:tr2bl w:val="nil"/>
                  </w:tcBorders>
                  <w:vAlign w:val="center"/>
                </w:tcPr>
                <w:p w14:paraId="7E04329D">
                  <w:pPr>
                    <w:spacing w:line="240" w:lineRule="exact"/>
                    <w:jc w:val="center"/>
                    <w:rPr>
                      <w:rFonts w:eastAsiaTheme="minorEastAsia"/>
                      <w:sz w:val="15"/>
                      <w:szCs w:val="15"/>
                    </w:rPr>
                  </w:pPr>
                  <w:r>
                    <w:rPr>
                      <w:rFonts w:hint="eastAsia" w:eastAsiaTheme="minorEastAsia"/>
                      <w:sz w:val="15"/>
                      <w:szCs w:val="15"/>
                      <w:lang w:val="en-US" w:eastAsia="zh-CN"/>
                    </w:rPr>
                    <w:t>二氧化硫</w:t>
                  </w:r>
                </w:p>
              </w:tc>
              <w:tc>
                <w:tcPr>
                  <w:tcW w:w="376" w:type="pct"/>
                  <w:vMerge w:val="continue"/>
                  <w:tcBorders>
                    <w:tl2br w:val="nil"/>
                    <w:tr2bl w:val="nil"/>
                  </w:tcBorders>
                  <w:vAlign w:val="center"/>
                </w:tcPr>
                <w:p w14:paraId="2AA13702">
                  <w:pPr>
                    <w:spacing w:line="240" w:lineRule="exact"/>
                    <w:jc w:val="center"/>
                    <w:rPr>
                      <w:rFonts w:eastAsiaTheme="minorEastAsia"/>
                      <w:sz w:val="15"/>
                      <w:szCs w:val="15"/>
                    </w:rPr>
                  </w:pPr>
                </w:p>
              </w:tc>
              <w:tc>
                <w:tcPr>
                  <w:tcW w:w="434" w:type="pct"/>
                  <w:tcBorders>
                    <w:tl2br w:val="nil"/>
                    <w:tr2bl w:val="nil"/>
                  </w:tcBorders>
                  <w:vAlign w:val="center"/>
                </w:tcPr>
                <w:p w14:paraId="67364221">
                  <w:pPr>
                    <w:widowControl/>
                    <w:jc w:val="center"/>
                    <w:rPr>
                      <w:rFonts w:hint="default" w:eastAsiaTheme="minorEastAsia"/>
                      <w:sz w:val="15"/>
                      <w:szCs w:val="15"/>
                      <w:lang w:val="en-US" w:eastAsia="zh-CN"/>
                    </w:rPr>
                  </w:pPr>
                  <w:r>
                    <w:rPr>
                      <w:rFonts w:hint="eastAsia" w:eastAsiaTheme="minorEastAsia"/>
                      <w:sz w:val="15"/>
                      <w:szCs w:val="15"/>
                      <w:lang w:val="en-US" w:eastAsia="zh-CN"/>
                    </w:rPr>
                    <w:t>0.1697</w:t>
                  </w:r>
                </w:p>
              </w:tc>
              <w:tc>
                <w:tcPr>
                  <w:tcW w:w="1253" w:type="pct"/>
                  <w:vMerge w:val="continue"/>
                  <w:tcBorders>
                    <w:tl2br w:val="nil"/>
                    <w:tr2bl w:val="nil"/>
                  </w:tcBorders>
                  <w:vAlign w:val="center"/>
                </w:tcPr>
                <w:p w14:paraId="229DCFF3">
                  <w:pPr>
                    <w:spacing w:line="240" w:lineRule="exact"/>
                    <w:jc w:val="center"/>
                    <w:rPr>
                      <w:rFonts w:eastAsiaTheme="minorEastAsia"/>
                      <w:sz w:val="15"/>
                      <w:szCs w:val="15"/>
                    </w:rPr>
                  </w:pPr>
                </w:p>
              </w:tc>
              <w:tc>
                <w:tcPr>
                  <w:tcW w:w="593" w:type="pct"/>
                  <w:vMerge w:val="continue"/>
                  <w:tcBorders>
                    <w:tl2br w:val="nil"/>
                    <w:tr2bl w:val="nil"/>
                  </w:tcBorders>
                  <w:vAlign w:val="center"/>
                </w:tcPr>
                <w:p w14:paraId="1807DED9">
                  <w:pPr>
                    <w:spacing w:line="240" w:lineRule="exact"/>
                    <w:jc w:val="center"/>
                    <w:rPr>
                      <w:rFonts w:eastAsiaTheme="minorEastAsia"/>
                      <w:sz w:val="15"/>
                      <w:szCs w:val="15"/>
                    </w:rPr>
                  </w:pPr>
                </w:p>
              </w:tc>
              <w:tc>
                <w:tcPr>
                  <w:tcW w:w="406" w:type="pct"/>
                  <w:tcBorders>
                    <w:tl2br w:val="nil"/>
                    <w:tr2bl w:val="nil"/>
                  </w:tcBorders>
                  <w:shd w:val="clear" w:color="auto" w:fill="auto"/>
                  <w:vAlign w:val="center"/>
                </w:tcPr>
                <w:p w14:paraId="28D1526B">
                  <w:pPr>
                    <w:spacing w:line="240" w:lineRule="exact"/>
                    <w:jc w:val="center"/>
                    <w:rPr>
                      <w:rFonts w:hint="default"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2.36</w:t>
                  </w:r>
                </w:p>
              </w:tc>
              <w:tc>
                <w:tcPr>
                  <w:tcW w:w="421" w:type="pct"/>
                  <w:tcBorders>
                    <w:tl2br w:val="nil"/>
                    <w:tr2bl w:val="nil"/>
                  </w:tcBorders>
                  <w:vAlign w:val="center"/>
                </w:tcPr>
                <w:p w14:paraId="15EFF7C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0.024</w:t>
                  </w:r>
                </w:p>
              </w:tc>
              <w:tc>
                <w:tcPr>
                  <w:tcW w:w="401" w:type="pct"/>
                  <w:tcBorders>
                    <w:tl2br w:val="nil"/>
                    <w:tr2bl w:val="nil"/>
                  </w:tcBorders>
                  <w:vAlign w:val="center"/>
                </w:tcPr>
                <w:p w14:paraId="16CD754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0.1697</w:t>
                  </w:r>
                </w:p>
              </w:tc>
            </w:tr>
            <w:tr w14:paraId="08423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49" w:type="pct"/>
                  <w:vMerge w:val="continue"/>
                  <w:tcBorders>
                    <w:tl2br w:val="nil"/>
                    <w:tr2bl w:val="nil"/>
                  </w:tcBorders>
                  <w:vAlign w:val="center"/>
                </w:tcPr>
                <w:p w14:paraId="599A14A6">
                  <w:pPr>
                    <w:spacing w:line="240" w:lineRule="exact"/>
                    <w:jc w:val="center"/>
                    <w:rPr>
                      <w:rFonts w:hAnsiTheme="minorEastAsia" w:eastAsiaTheme="minorEastAsia"/>
                      <w:sz w:val="15"/>
                      <w:szCs w:val="15"/>
                    </w:rPr>
                  </w:pPr>
                </w:p>
              </w:tc>
              <w:tc>
                <w:tcPr>
                  <w:tcW w:w="340" w:type="pct"/>
                  <w:vMerge w:val="continue"/>
                  <w:tcBorders>
                    <w:tl2br w:val="nil"/>
                    <w:tr2bl w:val="nil"/>
                  </w:tcBorders>
                  <w:vAlign w:val="center"/>
                </w:tcPr>
                <w:p w14:paraId="3AB2F1C9">
                  <w:pPr>
                    <w:spacing w:line="240" w:lineRule="exact"/>
                    <w:jc w:val="center"/>
                    <w:rPr>
                      <w:rFonts w:hAnsiTheme="minorEastAsia" w:eastAsiaTheme="minorEastAsia"/>
                      <w:sz w:val="15"/>
                      <w:szCs w:val="15"/>
                    </w:rPr>
                  </w:pPr>
                </w:p>
              </w:tc>
              <w:tc>
                <w:tcPr>
                  <w:tcW w:w="276" w:type="pct"/>
                  <w:vMerge w:val="continue"/>
                  <w:tcBorders>
                    <w:tl2br w:val="nil"/>
                    <w:tr2bl w:val="nil"/>
                  </w:tcBorders>
                  <w:vAlign w:val="center"/>
                </w:tcPr>
                <w:p w14:paraId="371F7A9E">
                  <w:pPr>
                    <w:spacing w:line="240" w:lineRule="exact"/>
                    <w:jc w:val="center"/>
                    <w:rPr>
                      <w:rFonts w:eastAsiaTheme="minorEastAsia"/>
                      <w:sz w:val="15"/>
                      <w:szCs w:val="15"/>
                    </w:rPr>
                  </w:pPr>
                </w:p>
              </w:tc>
              <w:tc>
                <w:tcPr>
                  <w:tcW w:w="245" w:type="pct"/>
                  <w:tcBorders>
                    <w:tl2br w:val="nil"/>
                    <w:tr2bl w:val="nil"/>
                  </w:tcBorders>
                  <w:vAlign w:val="center"/>
                </w:tcPr>
                <w:p w14:paraId="5EDBAA0B">
                  <w:pPr>
                    <w:spacing w:line="240" w:lineRule="exact"/>
                    <w:jc w:val="center"/>
                    <w:rPr>
                      <w:rFonts w:eastAsiaTheme="minorEastAsia"/>
                      <w:sz w:val="15"/>
                      <w:szCs w:val="15"/>
                    </w:rPr>
                  </w:pPr>
                  <w:r>
                    <w:rPr>
                      <w:rFonts w:hint="eastAsia" w:eastAsiaTheme="minorEastAsia"/>
                      <w:sz w:val="15"/>
                      <w:szCs w:val="15"/>
                      <w:lang w:val="en-US" w:eastAsia="zh-CN"/>
                    </w:rPr>
                    <w:t>氮氧化物</w:t>
                  </w:r>
                </w:p>
              </w:tc>
              <w:tc>
                <w:tcPr>
                  <w:tcW w:w="376" w:type="pct"/>
                  <w:vMerge w:val="continue"/>
                  <w:tcBorders>
                    <w:tl2br w:val="nil"/>
                    <w:tr2bl w:val="nil"/>
                  </w:tcBorders>
                  <w:vAlign w:val="center"/>
                </w:tcPr>
                <w:p w14:paraId="6702F437">
                  <w:pPr>
                    <w:spacing w:line="240" w:lineRule="exact"/>
                    <w:jc w:val="center"/>
                    <w:rPr>
                      <w:rFonts w:eastAsiaTheme="minorEastAsia"/>
                      <w:sz w:val="15"/>
                      <w:szCs w:val="15"/>
                    </w:rPr>
                  </w:pPr>
                </w:p>
              </w:tc>
              <w:tc>
                <w:tcPr>
                  <w:tcW w:w="434" w:type="pct"/>
                  <w:tcBorders>
                    <w:tl2br w:val="nil"/>
                    <w:tr2bl w:val="nil"/>
                  </w:tcBorders>
                  <w:vAlign w:val="center"/>
                </w:tcPr>
                <w:p w14:paraId="4A485B56">
                  <w:pPr>
                    <w:widowControl/>
                    <w:jc w:val="center"/>
                    <w:rPr>
                      <w:rFonts w:hint="default" w:eastAsiaTheme="minorEastAsia"/>
                      <w:sz w:val="15"/>
                      <w:szCs w:val="15"/>
                      <w:lang w:val="en-US" w:eastAsia="zh-CN"/>
                    </w:rPr>
                  </w:pPr>
                  <w:r>
                    <w:rPr>
                      <w:rFonts w:hint="eastAsia" w:eastAsiaTheme="minorEastAsia"/>
                      <w:sz w:val="15"/>
                      <w:szCs w:val="15"/>
                      <w:lang w:val="en-US" w:eastAsia="zh-CN"/>
                    </w:rPr>
                    <w:t>2.5531</w:t>
                  </w:r>
                </w:p>
              </w:tc>
              <w:tc>
                <w:tcPr>
                  <w:tcW w:w="1253" w:type="pct"/>
                  <w:vMerge w:val="continue"/>
                  <w:tcBorders>
                    <w:tl2br w:val="nil"/>
                    <w:tr2bl w:val="nil"/>
                  </w:tcBorders>
                  <w:vAlign w:val="center"/>
                </w:tcPr>
                <w:p w14:paraId="01E423C6">
                  <w:pPr>
                    <w:spacing w:line="240" w:lineRule="exact"/>
                    <w:jc w:val="center"/>
                    <w:rPr>
                      <w:rFonts w:eastAsiaTheme="minorEastAsia"/>
                      <w:sz w:val="15"/>
                      <w:szCs w:val="15"/>
                    </w:rPr>
                  </w:pPr>
                </w:p>
              </w:tc>
              <w:tc>
                <w:tcPr>
                  <w:tcW w:w="593" w:type="pct"/>
                  <w:vMerge w:val="continue"/>
                  <w:tcBorders>
                    <w:tl2br w:val="nil"/>
                    <w:tr2bl w:val="nil"/>
                  </w:tcBorders>
                  <w:vAlign w:val="center"/>
                </w:tcPr>
                <w:p w14:paraId="310ED08E">
                  <w:pPr>
                    <w:spacing w:line="240" w:lineRule="exact"/>
                    <w:jc w:val="center"/>
                    <w:rPr>
                      <w:rFonts w:eastAsiaTheme="minorEastAsia"/>
                      <w:sz w:val="15"/>
                      <w:szCs w:val="15"/>
                    </w:rPr>
                  </w:pPr>
                </w:p>
              </w:tc>
              <w:tc>
                <w:tcPr>
                  <w:tcW w:w="406" w:type="pct"/>
                  <w:tcBorders>
                    <w:tl2br w:val="nil"/>
                    <w:tr2bl w:val="nil"/>
                  </w:tcBorders>
                  <w:vAlign w:val="center"/>
                </w:tcPr>
                <w:p w14:paraId="10F1D8C2">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22.16</w:t>
                  </w:r>
                </w:p>
              </w:tc>
              <w:tc>
                <w:tcPr>
                  <w:tcW w:w="421" w:type="pct"/>
                  <w:tcBorders>
                    <w:tl2br w:val="nil"/>
                    <w:tr2bl w:val="nil"/>
                  </w:tcBorders>
                  <w:vAlign w:val="center"/>
                </w:tcPr>
                <w:p w14:paraId="18AABB4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0.355</w:t>
                  </w:r>
                </w:p>
              </w:tc>
              <w:tc>
                <w:tcPr>
                  <w:tcW w:w="401" w:type="pct"/>
                  <w:tcBorders>
                    <w:tl2br w:val="nil"/>
                    <w:tr2bl w:val="nil"/>
                  </w:tcBorders>
                  <w:vAlign w:val="center"/>
                </w:tcPr>
                <w:p w14:paraId="7E79DD4F">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1.2766</w:t>
                  </w:r>
                </w:p>
              </w:tc>
            </w:tr>
            <w:tr w14:paraId="62676B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249" w:type="pct"/>
                  <w:tcBorders>
                    <w:tl2br w:val="nil"/>
                    <w:tr2bl w:val="nil"/>
                  </w:tcBorders>
                  <w:vAlign w:val="center"/>
                </w:tcPr>
                <w:p w14:paraId="374D4B87">
                  <w:pPr>
                    <w:spacing w:line="240" w:lineRule="exact"/>
                    <w:jc w:val="center"/>
                    <w:rPr>
                      <w:rFonts w:hint="eastAsia" w:eastAsiaTheme="minorEastAsia"/>
                      <w:sz w:val="15"/>
                      <w:szCs w:val="15"/>
                      <w:lang w:val="en-US" w:eastAsia="zh-CN"/>
                    </w:rPr>
                  </w:pPr>
                  <w:r>
                    <w:rPr>
                      <w:rFonts w:hint="eastAsia" w:hAnsiTheme="minorEastAsia" w:eastAsiaTheme="minorEastAsia"/>
                      <w:sz w:val="15"/>
                      <w:szCs w:val="15"/>
                    </w:rPr>
                    <w:t>G</w:t>
                  </w:r>
                  <w:r>
                    <w:rPr>
                      <w:rFonts w:hint="eastAsia" w:hAnsiTheme="minorEastAsia" w:eastAsiaTheme="minorEastAsia"/>
                      <w:sz w:val="15"/>
                      <w:szCs w:val="15"/>
                      <w:lang w:val="en-US" w:eastAsia="zh-CN"/>
                    </w:rPr>
                    <w:t>8</w:t>
                  </w:r>
                </w:p>
              </w:tc>
              <w:tc>
                <w:tcPr>
                  <w:tcW w:w="340" w:type="pct"/>
                  <w:tcBorders>
                    <w:tl2br w:val="nil"/>
                    <w:tr2bl w:val="nil"/>
                  </w:tcBorders>
                  <w:vAlign w:val="center"/>
                </w:tcPr>
                <w:p w14:paraId="75D265B7">
                  <w:pPr>
                    <w:spacing w:line="240" w:lineRule="exact"/>
                    <w:jc w:val="center"/>
                    <w:rPr>
                      <w:rFonts w:eastAsiaTheme="minorEastAsia"/>
                      <w:sz w:val="15"/>
                      <w:szCs w:val="15"/>
                    </w:rPr>
                  </w:pPr>
                  <w:r>
                    <w:rPr>
                      <w:rFonts w:hint="eastAsia" w:eastAsiaTheme="minorEastAsia"/>
                      <w:sz w:val="15"/>
                      <w:szCs w:val="15"/>
                      <w:lang w:val="en-US" w:eastAsia="zh-CN"/>
                    </w:rPr>
                    <w:t>综合</w:t>
                  </w:r>
                  <w:r>
                    <w:rPr>
                      <w:rFonts w:hint="eastAsia" w:eastAsiaTheme="minorEastAsia"/>
                      <w:sz w:val="15"/>
                      <w:szCs w:val="15"/>
                    </w:rPr>
                    <w:t>楼食堂</w:t>
                  </w:r>
                </w:p>
              </w:tc>
              <w:tc>
                <w:tcPr>
                  <w:tcW w:w="276" w:type="pct"/>
                  <w:tcBorders>
                    <w:tl2br w:val="nil"/>
                    <w:tr2bl w:val="nil"/>
                  </w:tcBorders>
                  <w:vAlign w:val="center"/>
                </w:tcPr>
                <w:p w14:paraId="1B66EA1D">
                  <w:pPr>
                    <w:spacing w:line="240" w:lineRule="exact"/>
                    <w:jc w:val="center"/>
                    <w:rPr>
                      <w:rFonts w:eastAsiaTheme="minorEastAsia"/>
                      <w:sz w:val="15"/>
                      <w:szCs w:val="15"/>
                    </w:rPr>
                  </w:pPr>
                  <w:r>
                    <w:rPr>
                      <w:rFonts w:eastAsiaTheme="minorEastAsia"/>
                      <w:sz w:val="15"/>
                      <w:szCs w:val="15"/>
                    </w:rPr>
                    <w:t>餐饮</w:t>
                  </w:r>
                </w:p>
              </w:tc>
              <w:tc>
                <w:tcPr>
                  <w:tcW w:w="245" w:type="pct"/>
                  <w:tcBorders>
                    <w:tl2br w:val="nil"/>
                    <w:tr2bl w:val="nil"/>
                  </w:tcBorders>
                  <w:vAlign w:val="center"/>
                </w:tcPr>
                <w:p w14:paraId="00116905">
                  <w:pPr>
                    <w:spacing w:line="240" w:lineRule="exact"/>
                    <w:jc w:val="center"/>
                    <w:rPr>
                      <w:rFonts w:eastAsiaTheme="minorEastAsia"/>
                      <w:sz w:val="15"/>
                      <w:szCs w:val="15"/>
                    </w:rPr>
                  </w:pPr>
                  <w:r>
                    <w:rPr>
                      <w:rFonts w:eastAsiaTheme="minorEastAsia"/>
                      <w:sz w:val="15"/>
                      <w:szCs w:val="15"/>
                    </w:rPr>
                    <w:t>油烟</w:t>
                  </w:r>
                </w:p>
              </w:tc>
              <w:tc>
                <w:tcPr>
                  <w:tcW w:w="376" w:type="pct"/>
                  <w:tcBorders>
                    <w:tl2br w:val="nil"/>
                    <w:tr2bl w:val="nil"/>
                  </w:tcBorders>
                  <w:vAlign w:val="center"/>
                </w:tcPr>
                <w:p w14:paraId="7E918DE4">
                  <w:pPr>
                    <w:spacing w:line="240" w:lineRule="exact"/>
                    <w:jc w:val="center"/>
                    <w:rPr>
                      <w:rFonts w:eastAsiaTheme="minorEastAsia"/>
                      <w:sz w:val="15"/>
                      <w:szCs w:val="15"/>
                    </w:rPr>
                  </w:pPr>
                  <w:r>
                    <w:rPr>
                      <w:rFonts w:hint="eastAsia" w:eastAsiaTheme="minorEastAsia"/>
                      <w:sz w:val="15"/>
                      <w:szCs w:val="15"/>
                    </w:rPr>
                    <w:t>5000</w:t>
                  </w:r>
                </w:p>
              </w:tc>
              <w:tc>
                <w:tcPr>
                  <w:tcW w:w="434" w:type="pct"/>
                  <w:tcBorders>
                    <w:tl2br w:val="nil"/>
                    <w:tr2bl w:val="nil"/>
                  </w:tcBorders>
                  <w:vAlign w:val="center"/>
                </w:tcPr>
                <w:p w14:paraId="373942E2">
                  <w:pPr>
                    <w:spacing w:line="240" w:lineRule="exact"/>
                    <w:jc w:val="center"/>
                    <w:rPr>
                      <w:rFonts w:eastAsiaTheme="minorEastAsia"/>
                      <w:sz w:val="15"/>
                      <w:szCs w:val="15"/>
                    </w:rPr>
                  </w:pPr>
                  <w:r>
                    <w:rPr>
                      <w:rFonts w:hint="eastAsia" w:eastAsiaTheme="minorEastAsia"/>
                      <w:sz w:val="15"/>
                      <w:szCs w:val="15"/>
                    </w:rPr>
                    <w:t>0.01125</w:t>
                  </w:r>
                </w:p>
              </w:tc>
              <w:tc>
                <w:tcPr>
                  <w:tcW w:w="1253" w:type="pct"/>
                  <w:tcBorders>
                    <w:tl2br w:val="nil"/>
                    <w:tr2bl w:val="nil"/>
                  </w:tcBorders>
                  <w:vAlign w:val="center"/>
                </w:tcPr>
                <w:p w14:paraId="4B76DB89">
                  <w:pPr>
                    <w:spacing w:line="240" w:lineRule="exact"/>
                    <w:jc w:val="center"/>
                    <w:rPr>
                      <w:rFonts w:eastAsiaTheme="minorEastAsia"/>
                      <w:sz w:val="15"/>
                      <w:szCs w:val="15"/>
                    </w:rPr>
                  </w:pPr>
                  <w:r>
                    <w:rPr>
                      <w:rFonts w:hint="eastAsia" w:eastAsiaTheme="minorEastAsia"/>
                      <w:sz w:val="15"/>
                      <w:szCs w:val="15"/>
                    </w:rPr>
                    <w:t>设置油烟净化设施，净化效率85%</w:t>
                  </w:r>
                </w:p>
              </w:tc>
              <w:tc>
                <w:tcPr>
                  <w:tcW w:w="593" w:type="pct"/>
                  <w:tcBorders>
                    <w:tl2br w:val="nil"/>
                    <w:tr2bl w:val="nil"/>
                  </w:tcBorders>
                  <w:vAlign w:val="center"/>
                </w:tcPr>
                <w:p w14:paraId="6F3733DF">
                  <w:pPr>
                    <w:spacing w:line="240" w:lineRule="exact"/>
                    <w:jc w:val="center"/>
                    <w:rPr>
                      <w:rFonts w:eastAsiaTheme="minorEastAsia"/>
                      <w:sz w:val="15"/>
                      <w:szCs w:val="15"/>
                    </w:rPr>
                  </w:pPr>
                  <w:r>
                    <w:rPr>
                      <w:rFonts w:eastAsiaTheme="minorEastAsia"/>
                      <w:sz w:val="15"/>
                      <w:szCs w:val="15"/>
                    </w:rPr>
                    <w:t>高于屋顶</w:t>
                  </w:r>
                </w:p>
              </w:tc>
              <w:tc>
                <w:tcPr>
                  <w:tcW w:w="406" w:type="pct"/>
                  <w:tcBorders>
                    <w:tl2br w:val="nil"/>
                    <w:tr2bl w:val="nil"/>
                  </w:tcBorders>
                  <w:vAlign w:val="center"/>
                </w:tcPr>
                <w:p w14:paraId="512A8C4A">
                  <w:pPr>
                    <w:spacing w:line="240" w:lineRule="exact"/>
                    <w:jc w:val="center"/>
                    <w:rPr>
                      <w:rFonts w:eastAsiaTheme="minorEastAsia"/>
                      <w:sz w:val="15"/>
                      <w:szCs w:val="15"/>
                    </w:rPr>
                  </w:pPr>
                  <w:r>
                    <w:rPr>
                      <w:rFonts w:hint="eastAsia" w:eastAsiaTheme="minorEastAsia"/>
                      <w:sz w:val="15"/>
                      <w:szCs w:val="15"/>
                    </w:rPr>
                    <w:t>0.375</w:t>
                  </w:r>
                </w:p>
              </w:tc>
              <w:tc>
                <w:tcPr>
                  <w:tcW w:w="421" w:type="pct"/>
                  <w:tcBorders>
                    <w:tl2br w:val="nil"/>
                    <w:tr2bl w:val="nil"/>
                  </w:tcBorders>
                  <w:vAlign w:val="center"/>
                </w:tcPr>
                <w:p w14:paraId="04F4EA37">
                  <w:pPr>
                    <w:spacing w:line="240" w:lineRule="exact"/>
                    <w:jc w:val="center"/>
                    <w:rPr>
                      <w:rFonts w:eastAsiaTheme="minorEastAsia"/>
                      <w:sz w:val="15"/>
                      <w:szCs w:val="15"/>
                    </w:rPr>
                  </w:pPr>
                  <w:r>
                    <w:rPr>
                      <w:rFonts w:hint="eastAsia" w:eastAsiaTheme="minorEastAsia"/>
                      <w:sz w:val="15"/>
                      <w:szCs w:val="15"/>
                    </w:rPr>
                    <w:t>0.0019</w:t>
                  </w:r>
                </w:p>
              </w:tc>
              <w:tc>
                <w:tcPr>
                  <w:tcW w:w="401" w:type="pct"/>
                  <w:tcBorders>
                    <w:tl2br w:val="nil"/>
                    <w:tr2bl w:val="nil"/>
                  </w:tcBorders>
                  <w:vAlign w:val="center"/>
                </w:tcPr>
                <w:p w14:paraId="72FD24D7">
                  <w:pPr>
                    <w:spacing w:line="240" w:lineRule="exact"/>
                    <w:jc w:val="center"/>
                    <w:rPr>
                      <w:rFonts w:eastAsiaTheme="minorEastAsia"/>
                      <w:sz w:val="15"/>
                      <w:szCs w:val="15"/>
                    </w:rPr>
                  </w:pPr>
                  <w:r>
                    <w:rPr>
                      <w:rFonts w:hint="eastAsia" w:eastAsiaTheme="minorEastAsia"/>
                      <w:sz w:val="15"/>
                      <w:szCs w:val="15"/>
                    </w:rPr>
                    <w:t>0.0017</w:t>
                  </w:r>
                </w:p>
              </w:tc>
            </w:tr>
            <w:tr w14:paraId="7AD0C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restart"/>
                  <w:tcBorders>
                    <w:tl2br w:val="nil"/>
                    <w:tr2bl w:val="nil"/>
                  </w:tcBorders>
                  <w:vAlign w:val="center"/>
                </w:tcPr>
                <w:p w14:paraId="51A3D7E3">
                  <w:pPr>
                    <w:spacing w:line="240" w:lineRule="exact"/>
                    <w:jc w:val="center"/>
                    <w:rPr>
                      <w:rFonts w:eastAsiaTheme="minorEastAsia"/>
                      <w:sz w:val="15"/>
                      <w:szCs w:val="15"/>
                    </w:rPr>
                  </w:pPr>
                  <w:r>
                    <w:rPr>
                      <w:rFonts w:hint="eastAsia" w:hAnsiTheme="minorEastAsia" w:eastAsiaTheme="minorEastAsia"/>
                      <w:sz w:val="15"/>
                      <w:szCs w:val="15"/>
                      <w:lang w:val="en-US" w:eastAsia="zh-CN"/>
                    </w:rPr>
                    <w:t>合计</w:t>
                  </w:r>
                </w:p>
              </w:tc>
              <w:tc>
                <w:tcPr>
                  <w:tcW w:w="376" w:type="pct"/>
                  <w:vMerge w:val="restart"/>
                  <w:tcBorders>
                    <w:tl2br w:val="nil"/>
                    <w:tr2bl w:val="nil"/>
                  </w:tcBorders>
                  <w:vAlign w:val="center"/>
                </w:tcPr>
                <w:p w14:paraId="56699D4E">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有组织</w:t>
                  </w:r>
                </w:p>
              </w:tc>
              <w:tc>
                <w:tcPr>
                  <w:tcW w:w="3109" w:type="pct"/>
                  <w:gridSpan w:val="5"/>
                  <w:tcBorders>
                    <w:tl2br w:val="nil"/>
                    <w:tr2bl w:val="nil"/>
                  </w:tcBorders>
                  <w:shd w:val="clear" w:color="auto" w:fill="auto"/>
                  <w:vAlign w:val="center"/>
                </w:tcPr>
                <w:p w14:paraId="76C0BA4C">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颗粒物</w:t>
                  </w:r>
                </w:p>
              </w:tc>
              <w:tc>
                <w:tcPr>
                  <w:tcW w:w="401" w:type="pct"/>
                  <w:tcBorders>
                    <w:tl2br w:val="nil"/>
                    <w:tr2bl w:val="nil"/>
                  </w:tcBorders>
                  <w:vAlign w:val="center"/>
                </w:tcPr>
                <w:p w14:paraId="62FE9AEA">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1.8590</w:t>
                  </w:r>
                </w:p>
              </w:tc>
            </w:tr>
            <w:tr w14:paraId="6FE138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continue"/>
                  <w:tcBorders>
                    <w:tl2br w:val="nil"/>
                    <w:tr2bl w:val="nil"/>
                  </w:tcBorders>
                  <w:vAlign w:val="center"/>
                </w:tcPr>
                <w:p w14:paraId="29E8D591">
                  <w:pPr>
                    <w:spacing w:line="240" w:lineRule="exact"/>
                    <w:jc w:val="center"/>
                    <w:rPr>
                      <w:rFonts w:eastAsiaTheme="minorEastAsia"/>
                      <w:sz w:val="15"/>
                      <w:szCs w:val="15"/>
                    </w:rPr>
                  </w:pPr>
                </w:p>
              </w:tc>
              <w:tc>
                <w:tcPr>
                  <w:tcW w:w="376" w:type="pct"/>
                  <w:vMerge w:val="continue"/>
                  <w:tcBorders>
                    <w:tl2br w:val="nil"/>
                    <w:tr2bl w:val="nil"/>
                  </w:tcBorders>
                  <w:vAlign w:val="center"/>
                </w:tcPr>
                <w:p w14:paraId="57676990">
                  <w:pPr>
                    <w:spacing w:line="240" w:lineRule="exact"/>
                    <w:jc w:val="center"/>
                    <w:rPr>
                      <w:rFonts w:hint="eastAsia" w:eastAsiaTheme="minorEastAsia"/>
                      <w:sz w:val="15"/>
                      <w:szCs w:val="15"/>
                    </w:rPr>
                  </w:pPr>
                </w:p>
              </w:tc>
              <w:tc>
                <w:tcPr>
                  <w:tcW w:w="3109" w:type="pct"/>
                  <w:gridSpan w:val="5"/>
                  <w:tcBorders>
                    <w:tl2br w:val="nil"/>
                    <w:tr2bl w:val="nil"/>
                  </w:tcBorders>
                  <w:shd w:val="clear" w:color="auto" w:fill="auto"/>
                  <w:vAlign w:val="center"/>
                </w:tcPr>
                <w:p w14:paraId="6A5D23F4">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二氧化硫</w:t>
                  </w:r>
                </w:p>
              </w:tc>
              <w:tc>
                <w:tcPr>
                  <w:tcW w:w="401" w:type="pct"/>
                  <w:tcBorders>
                    <w:tl2br w:val="nil"/>
                    <w:tr2bl w:val="nil"/>
                  </w:tcBorders>
                  <w:vAlign w:val="center"/>
                </w:tcPr>
                <w:p w14:paraId="3D752196">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0.2177</w:t>
                  </w:r>
                </w:p>
              </w:tc>
            </w:tr>
            <w:tr w14:paraId="41398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continue"/>
                  <w:tcBorders>
                    <w:tl2br w:val="nil"/>
                    <w:tr2bl w:val="nil"/>
                  </w:tcBorders>
                  <w:vAlign w:val="center"/>
                </w:tcPr>
                <w:p w14:paraId="45376F3E">
                  <w:pPr>
                    <w:spacing w:line="240" w:lineRule="exact"/>
                    <w:jc w:val="center"/>
                    <w:rPr>
                      <w:rFonts w:eastAsiaTheme="minorEastAsia"/>
                      <w:sz w:val="15"/>
                      <w:szCs w:val="15"/>
                    </w:rPr>
                  </w:pPr>
                </w:p>
              </w:tc>
              <w:tc>
                <w:tcPr>
                  <w:tcW w:w="376" w:type="pct"/>
                  <w:vMerge w:val="continue"/>
                  <w:tcBorders>
                    <w:tl2br w:val="nil"/>
                    <w:tr2bl w:val="nil"/>
                  </w:tcBorders>
                  <w:vAlign w:val="center"/>
                </w:tcPr>
                <w:p w14:paraId="145983D1">
                  <w:pPr>
                    <w:spacing w:line="240" w:lineRule="exact"/>
                    <w:jc w:val="center"/>
                    <w:rPr>
                      <w:rFonts w:hint="eastAsia" w:eastAsiaTheme="minorEastAsia"/>
                      <w:sz w:val="15"/>
                      <w:szCs w:val="15"/>
                    </w:rPr>
                  </w:pPr>
                </w:p>
              </w:tc>
              <w:tc>
                <w:tcPr>
                  <w:tcW w:w="3109" w:type="pct"/>
                  <w:gridSpan w:val="5"/>
                  <w:tcBorders>
                    <w:tl2br w:val="nil"/>
                    <w:tr2bl w:val="nil"/>
                  </w:tcBorders>
                  <w:shd w:val="clear" w:color="auto" w:fill="auto"/>
                  <w:vAlign w:val="center"/>
                </w:tcPr>
                <w:p w14:paraId="26DC8889">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氮氧化物</w:t>
                  </w:r>
                </w:p>
              </w:tc>
              <w:tc>
                <w:tcPr>
                  <w:tcW w:w="401" w:type="pct"/>
                  <w:tcBorders>
                    <w:tl2br w:val="nil"/>
                    <w:tr2bl w:val="nil"/>
                  </w:tcBorders>
                  <w:vAlign w:val="center"/>
                </w:tcPr>
                <w:p w14:paraId="1D1C8128">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1.8786</w:t>
                  </w:r>
                </w:p>
              </w:tc>
            </w:tr>
            <w:tr w14:paraId="5AA3B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continue"/>
                  <w:tcBorders>
                    <w:tl2br w:val="nil"/>
                    <w:tr2bl w:val="nil"/>
                  </w:tcBorders>
                  <w:vAlign w:val="center"/>
                </w:tcPr>
                <w:p w14:paraId="4470D989">
                  <w:pPr>
                    <w:spacing w:line="240" w:lineRule="exact"/>
                    <w:jc w:val="center"/>
                    <w:rPr>
                      <w:rFonts w:hint="default" w:eastAsiaTheme="minorEastAsia"/>
                      <w:sz w:val="15"/>
                      <w:szCs w:val="15"/>
                      <w:lang w:val="en-US" w:eastAsia="zh-CN"/>
                    </w:rPr>
                  </w:pPr>
                </w:p>
              </w:tc>
              <w:tc>
                <w:tcPr>
                  <w:tcW w:w="376" w:type="pct"/>
                  <w:vMerge w:val="continue"/>
                  <w:tcBorders>
                    <w:tl2br w:val="nil"/>
                    <w:tr2bl w:val="nil"/>
                  </w:tcBorders>
                  <w:vAlign w:val="center"/>
                </w:tcPr>
                <w:p w14:paraId="3E73D51A">
                  <w:pPr>
                    <w:spacing w:line="240" w:lineRule="exact"/>
                    <w:jc w:val="center"/>
                    <w:rPr>
                      <w:rFonts w:hint="eastAsia" w:eastAsiaTheme="minorEastAsia"/>
                      <w:sz w:val="15"/>
                      <w:szCs w:val="15"/>
                    </w:rPr>
                  </w:pPr>
                </w:p>
              </w:tc>
              <w:tc>
                <w:tcPr>
                  <w:tcW w:w="3109" w:type="pct"/>
                  <w:gridSpan w:val="5"/>
                  <w:tcBorders>
                    <w:tl2br w:val="nil"/>
                    <w:tr2bl w:val="nil"/>
                  </w:tcBorders>
                  <w:shd w:val="clear" w:color="auto" w:fill="auto"/>
                  <w:vAlign w:val="center"/>
                </w:tcPr>
                <w:p w14:paraId="7E48319D">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非甲烷总烃</w:t>
                  </w:r>
                </w:p>
              </w:tc>
              <w:tc>
                <w:tcPr>
                  <w:tcW w:w="401" w:type="pct"/>
                  <w:tcBorders>
                    <w:tl2br w:val="nil"/>
                    <w:tr2bl w:val="nil"/>
                  </w:tcBorders>
                  <w:vAlign w:val="center"/>
                </w:tcPr>
                <w:p w14:paraId="5A416B7E">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0.2711</w:t>
                  </w:r>
                </w:p>
              </w:tc>
            </w:tr>
            <w:tr w14:paraId="490B4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continue"/>
                  <w:tcBorders>
                    <w:tl2br w:val="nil"/>
                    <w:tr2bl w:val="nil"/>
                  </w:tcBorders>
                  <w:vAlign w:val="center"/>
                </w:tcPr>
                <w:p w14:paraId="24641138">
                  <w:pPr>
                    <w:spacing w:line="240" w:lineRule="exact"/>
                    <w:jc w:val="center"/>
                    <w:rPr>
                      <w:rFonts w:hint="eastAsia" w:eastAsiaTheme="minorEastAsia"/>
                      <w:sz w:val="15"/>
                      <w:szCs w:val="15"/>
                      <w:lang w:val="en-US" w:eastAsia="zh-CN"/>
                    </w:rPr>
                  </w:pPr>
                </w:p>
              </w:tc>
              <w:tc>
                <w:tcPr>
                  <w:tcW w:w="376" w:type="pct"/>
                  <w:vMerge w:val="restart"/>
                  <w:tcBorders>
                    <w:tl2br w:val="nil"/>
                    <w:tr2bl w:val="nil"/>
                  </w:tcBorders>
                  <w:vAlign w:val="center"/>
                </w:tcPr>
                <w:p w14:paraId="320E3549">
                  <w:pPr>
                    <w:spacing w:line="240" w:lineRule="exact"/>
                    <w:jc w:val="center"/>
                    <w:rPr>
                      <w:rFonts w:hint="eastAsia" w:eastAsiaTheme="minorEastAsia"/>
                      <w:sz w:val="15"/>
                      <w:szCs w:val="15"/>
                      <w:lang w:val="en-US" w:eastAsia="zh-CN"/>
                    </w:rPr>
                  </w:pPr>
                  <w:r>
                    <w:rPr>
                      <w:rFonts w:hint="eastAsia" w:eastAsiaTheme="minorEastAsia"/>
                      <w:sz w:val="15"/>
                      <w:szCs w:val="15"/>
                      <w:lang w:val="en-US" w:eastAsia="zh-CN"/>
                    </w:rPr>
                    <w:t>无组织</w:t>
                  </w:r>
                </w:p>
              </w:tc>
              <w:tc>
                <w:tcPr>
                  <w:tcW w:w="3109" w:type="pct"/>
                  <w:gridSpan w:val="5"/>
                  <w:tcBorders>
                    <w:tl2br w:val="nil"/>
                    <w:tr2bl w:val="nil"/>
                  </w:tcBorders>
                  <w:shd w:val="clear" w:color="auto" w:fill="auto"/>
                  <w:vAlign w:val="center"/>
                </w:tcPr>
                <w:p w14:paraId="712A6F53">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颗粒物</w:t>
                  </w:r>
                </w:p>
              </w:tc>
              <w:tc>
                <w:tcPr>
                  <w:tcW w:w="401" w:type="pct"/>
                  <w:tcBorders>
                    <w:tl2br w:val="nil"/>
                    <w:tr2bl w:val="nil"/>
                  </w:tcBorders>
                  <w:vAlign w:val="center"/>
                </w:tcPr>
                <w:p w14:paraId="0F94829E">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0.1725</w:t>
                  </w:r>
                </w:p>
              </w:tc>
            </w:tr>
            <w:tr w14:paraId="7B905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2" w:type="pct"/>
                  <w:gridSpan w:val="4"/>
                  <w:vMerge w:val="continue"/>
                  <w:tcBorders>
                    <w:tl2br w:val="nil"/>
                    <w:tr2bl w:val="nil"/>
                  </w:tcBorders>
                  <w:vAlign w:val="center"/>
                </w:tcPr>
                <w:p w14:paraId="72EC17A3">
                  <w:pPr>
                    <w:spacing w:line="240" w:lineRule="exact"/>
                    <w:jc w:val="center"/>
                    <w:rPr>
                      <w:rFonts w:hint="eastAsia" w:eastAsiaTheme="minorEastAsia"/>
                      <w:sz w:val="15"/>
                      <w:szCs w:val="15"/>
                      <w:lang w:val="en-US" w:eastAsia="zh-CN"/>
                    </w:rPr>
                  </w:pPr>
                </w:p>
              </w:tc>
              <w:tc>
                <w:tcPr>
                  <w:tcW w:w="376" w:type="pct"/>
                  <w:vMerge w:val="continue"/>
                  <w:tcBorders>
                    <w:tl2br w:val="nil"/>
                    <w:tr2bl w:val="nil"/>
                  </w:tcBorders>
                  <w:vAlign w:val="center"/>
                </w:tcPr>
                <w:p w14:paraId="2356FE09">
                  <w:pPr>
                    <w:spacing w:line="240" w:lineRule="exact"/>
                    <w:jc w:val="center"/>
                    <w:rPr>
                      <w:rFonts w:hint="eastAsia" w:eastAsiaTheme="minorEastAsia"/>
                      <w:sz w:val="15"/>
                      <w:szCs w:val="15"/>
                    </w:rPr>
                  </w:pPr>
                </w:p>
              </w:tc>
              <w:tc>
                <w:tcPr>
                  <w:tcW w:w="3109" w:type="pct"/>
                  <w:gridSpan w:val="5"/>
                  <w:tcBorders>
                    <w:tl2br w:val="nil"/>
                    <w:tr2bl w:val="nil"/>
                  </w:tcBorders>
                  <w:shd w:val="clear" w:color="auto" w:fill="auto"/>
                  <w:vAlign w:val="center"/>
                </w:tcPr>
                <w:p w14:paraId="28394AC1">
                  <w:pPr>
                    <w:spacing w:line="240" w:lineRule="exact"/>
                    <w:jc w:val="center"/>
                    <w:rPr>
                      <w:rFonts w:hint="eastAsia" w:ascii="Times New Roman" w:hAnsi="Times New Roman" w:cs="Times New Roman" w:eastAsiaTheme="minorEastAsia"/>
                      <w:kern w:val="2"/>
                      <w:sz w:val="15"/>
                      <w:szCs w:val="15"/>
                      <w:lang w:val="en-US" w:eastAsia="zh-CN" w:bidi="ar-SA"/>
                    </w:rPr>
                  </w:pPr>
                  <w:r>
                    <w:rPr>
                      <w:rFonts w:hint="eastAsia" w:eastAsiaTheme="minorEastAsia"/>
                      <w:sz w:val="15"/>
                      <w:szCs w:val="15"/>
                      <w:lang w:val="en-US" w:eastAsia="zh-CN"/>
                    </w:rPr>
                    <w:t>非甲烷总烃</w:t>
                  </w:r>
                </w:p>
              </w:tc>
              <w:tc>
                <w:tcPr>
                  <w:tcW w:w="401" w:type="pct"/>
                  <w:tcBorders>
                    <w:tl2br w:val="nil"/>
                    <w:tr2bl w:val="nil"/>
                  </w:tcBorders>
                  <w:vAlign w:val="center"/>
                </w:tcPr>
                <w:p w14:paraId="02A70200">
                  <w:pPr>
                    <w:spacing w:line="240" w:lineRule="exact"/>
                    <w:jc w:val="center"/>
                    <w:rPr>
                      <w:rFonts w:hint="default" w:eastAsiaTheme="minorEastAsia"/>
                      <w:sz w:val="15"/>
                      <w:szCs w:val="15"/>
                      <w:lang w:val="en-US" w:eastAsia="zh-CN"/>
                    </w:rPr>
                  </w:pPr>
                  <w:r>
                    <w:rPr>
                      <w:rFonts w:hint="eastAsia" w:eastAsiaTheme="minorEastAsia"/>
                      <w:sz w:val="15"/>
                      <w:szCs w:val="15"/>
                      <w:lang w:val="en-US" w:eastAsia="zh-CN"/>
                    </w:rPr>
                    <w:t>0.3012</w:t>
                  </w:r>
                </w:p>
              </w:tc>
            </w:tr>
          </w:tbl>
          <w:p w14:paraId="1887556C">
            <w:pPr>
              <w:spacing w:line="360" w:lineRule="auto"/>
              <w:ind w:left="108" w:firstLine="422" w:firstLineChars="200"/>
              <w:rPr>
                <w:b/>
                <w:szCs w:val="21"/>
              </w:rPr>
            </w:pPr>
            <w:r>
              <w:rPr>
                <w:rFonts w:hint="eastAsia"/>
                <w:b/>
                <w:bCs/>
                <w:szCs w:val="21"/>
                <w:lang w:val="en-US" w:eastAsia="zh-CN"/>
              </w:rPr>
              <w:t>4.1.2</w:t>
            </w:r>
            <w:r>
              <w:rPr>
                <w:rFonts w:hint="eastAsia"/>
                <w:b/>
                <w:szCs w:val="21"/>
              </w:rPr>
              <w:t>防治措施可行性分析</w:t>
            </w:r>
          </w:p>
          <w:p w14:paraId="378239DC">
            <w:pPr>
              <w:spacing w:line="360" w:lineRule="auto"/>
              <w:ind w:firstLine="417" w:firstLineChars="195"/>
              <w:rPr>
                <w:spacing w:val="2"/>
                <w:szCs w:val="21"/>
              </w:rPr>
            </w:pPr>
            <w:r>
              <w:rPr>
                <w:spacing w:val="2"/>
                <w:szCs w:val="21"/>
              </w:rPr>
              <w:t>（1）收集措施</w:t>
            </w:r>
          </w:p>
          <w:p w14:paraId="152C76A6">
            <w:pPr>
              <w:spacing w:line="360" w:lineRule="auto"/>
              <w:ind w:firstLine="417" w:firstLineChars="195"/>
              <w:rPr>
                <w:spacing w:val="2"/>
                <w:szCs w:val="21"/>
              </w:rPr>
            </w:pPr>
            <w:r>
              <w:rPr>
                <w:spacing w:val="2"/>
                <w:szCs w:val="21"/>
              </w:rPr>
              <w:t>项目收集措施均采用集气罩，方式为外部型集气罩，其工作原理是通过罩的抽吸作用，在污染源附近把污染物吸收起来，集气罩覆盖整个产尘点，通过风机保证集气罩内整体呈负压，废气通过集气罩抽到废气处理设施，该收集措施已经广泛进行了应用。根据项目设备及废气排放特点，集气罩尺寸设计应委托专业环保设备公司进行设计施工，收集效率可达到9</w:t>
            </w:r>
            <w:r>
              <w:rPr>
                <w:rFonts w:hint="eastAsia"/>
                <w:spacing w:val="2"/>
                <w:szCs w:val="21"/>
                <w:lang w:val="en-US" w:eastAsia="zh-CN"/>
              </w:rPr>
              <w:t>5</w:t>
            </w:r>
            <w:r>
              <w:rPr>
                <w:spacing w:val="2"/>
                <w:szCs w:val="21"/>
              </w:rPr>
              <w:t>%以上；因此，评价认为本项目采用该收集措施可行。</w:t>
            </w:r>
          </w:p>
          <w:p w14:paraId="32644388">
            <w:pPr>
              <w:spacing w:line="360" w:lineRule="auto"/>
              <w:ind w:firstLine="417" w:firstLineChars="195"/>
              <w:rPr>
                <w:spacing w:val="2"/>
                <w:szCs w:val="21"/>
              </w:rPr>
            </w:pPr>
            <w:r>
              <w:rPr>
                <w:spacing w:val="2"/>
                <w:szCs w:val="21"/>
              </w:rPr>
              <w:t>（2）布袋除尘器</w:t>
            </w:r>
            <w:r>
              <w:rPr>
                <w:rFonts w:hint="eastAsia"/>
                <w:spacing w:val="2"/>
                <w:szCs w:val="21"/>
              </w:rPr>
              <w:t>可行性</w:t>
            </w:r>
          </w:p>
          <w:p w14:paraId="033E3550">
            <w:pPr>
              <w:spacing w:line="360" w:lineRule="auto"/>
              <w:ind w:left="108" w:firstLine="420" w:firstLineChars="200"/>
              <w:rPr>
                <w:szCs w:val="21"/>
              </w:rPr>
            </w:pPr>
            <w:r>
              <w:rPr>
                <w:rFonts w:hint="eastAsia"/>
                <w:szCs w:val="21"/>
              </w:rPr>
              <w:t>参照《排污许可证申请与核发技术规范 家具制造工业》（HJ 1027-2019）中“木工车间”生产设施颗粒物污染防治设施中推荐的“袋式除尘”，本项目选用的布袋除尘器属于可行技术。</w:t>
            </w:r>
          </w:p>
          <w:p w14:paraId="09385433">
            <w:pPr>
              <w:spacing w:line="360" w:lineRule="auto"/>
              <w:ind w:left="108" w:firstLine="420" w:firstLineChars="200"/>
              <w:rPr>
                <w:szCs w:val="21"/>
              </w:rPr>
            </w:pPr>
            <w:r>
              <w:rPr>
                <w:szCs w:val="21"/>
              </w:rPr>
              <w:t>布袋除尘器是通过滤袋滤除含尘气体中粉尘粒子的分离净化装置，是一种干式高效过滤除尘器。布袋除尘器的工作原理是通过滤袋</w:t>
            </w:r>
            <w:r>
              <w:rPr>
                <w:rFonts w:hint="eastAsia"/>
                <w:szCs w:val="21"/>
              </w:rPr>
              <w:t>的</w:t>
            </w:r>
            <w:r>
              <w:rPr>
                <w:szCs w:val="21"/>
              </w:rPr>
              <w:t>过滤作用而阻挡粉尘，当滤袋上的粉尘沉积到一定程度时，通过外力作用使滤袋抖动并变形，沉积的粉尘落入集灰斗。正常工作时含尘气体从除尘器的底部进入，均匀的进入各室的每个滤袋，此时由于气体速度迅速降低，气体中较大颗粒的粉尘首先沉降下来，含尘气体经滤袋时粉尘被阻挡在滤袋的外表面，净化后的气体从袋内内腔进入上部的净气室，然后经提升阀排出，当某个室要进行清灰时，首先要关闭这个室的气力提升阀，待切断通过这个室的含尘气流后，随即脉冲阀开启，向滤袋内喷入压缩空气，以清除滤袋外表面的粉尘，每个除尘室的脉冲喷吹宽度和清灰周期均由专门的清灰程度控制器控制，自动连续进行。</w:t>
            </w:r>
          </w:p>
          <w:p w14:paraId="659D6D5A">
            <w:pPr>
              <w:spacing w:line="360" w:lineRule="auto"/>
              <w:ind w:left="108" w:firstLine="420" w:firstLineChars="200"/>
              <w:rPr>
                <w:szCs w:val="21"/>
              </w:rPr>
            </w:pPr>
            <w:r>
              <w:rPr>
                <w:szCs w:val="21"/>
              </w:rPr>
              <w:t>布袋除尘器主要特点如下：</w:t>
            </w:r>
          </w:p>
          <w:p w14:paraId="5F0DFD9D">
            <w:pPr>
              <w:spacing w:line="360" w:lineRule="auto"/>
              <w:ind w:left="108" w:firstLine="420" w:firstLineChars="200"/>
              <w:rPr>
                <w:szCs w:val="21"/>
              </w:rPr>
            </w:pPr>
            <w:r>
              <w:rPr>
                <w:szCs w:val="21"/>
              </w:rPr>
              <w:t>①布袋除尘器对净化含微米或亚微米数量级粉尘粒子的气体效率较高，能有效去除废气中PM</w:t>
            </w:r>
            <w:r>
              <w:rPr>
                <w:szCs w:val="21"/>
                <w:vertAlign w:val="subscript"/>
              </w:rPr>
              <w:t>10</w:t>
            </w:r>
            <w:r>
              <w:rPr>
                <w:szCs w:val="21"/>
              </w:rPr>
              <w:t>微细粉尘。</w:t>
            </w:r>
          </w:p>
          <w:p w14:paraId="78761CFD">
            <w:pPr>
              <w:spacing w:line="360" w:lineRule="auto"/>
              <w:ind w:left="108" w:firstLine="420" w:firstLineChars="200"/>
              <w:rPr>
                <w:szCs w:val="21"/>
              </w:rPr>
            </w:pPr>
            <w:r>
              <w:rPr>
                <w:szCs w:val="21"/>
              </w:rPr>
              <w:t>②除尘效率不受粉尘比电阻、浓度、粒度等性质的影响，负荷变化、废气量波动对袋式除尘器出口排放浓度的影响较小。</w:t>
            </w:r>
          </w:p>
          <w:p w14:paraId="66E31FAF">
            <w:pPr>
              <w:spacing w:line="360" w:lineRule="auto"/>
              <w:ind w:left="108" w:firstLine="420" w:firstLineChars="200"/>
              <w:rPr>
                <w:szCs w:val="21"/>
              </w:rPr>
            </w:pPr>
            <w:r>
              <w:rPr>
                <w:szCs w:val="21"/>
              </w:rPr>
              <w:t>③袋式除尘器采用分室结构后，布袋可轮换检修而不影响除尘系统的运行。</w:t>
            </w:r>
          </w:p>
          <w:p w14:paraId="586AFDBC">
            <w:pPr>
              <w:spacing w:line="360" w:lineRule="auto"/>
              <w:ind w:left="108" w:firstLine="420" w:firstLineChars="200"/>
              <w:rPr>
                <w:szCs w:val="21"/>
              </w:rPr>
            </w:pPr>
            <w:r>
              <w:rPr>
                <w:szCs w:val="21"/>
              </w:rPr>
              <w:t>④袋式除尘器结构和维修均较简单。</w:t>
            </w:r>
          </w:p>
          <w:p w14:paraId="6C9FFC79">
            <w:pPr>
              <w:spacing w:line="360" w:lineRule="auto"/>
              <w:ind w:left="108" w:firstLine="420" w:firstLineChars="200"/>
              <w:rPr>
                <w:szCs w:val="21"/>
              </w:rPr>
            </w:pPr>
            <w:r>
              <w:rPr>
                <w:szCs w:val="21"/>
              </w:rPr>
              <w:t>⑤作为袋式除尘器的关键问题—滤料材质目前已获得突破，使用寿命一般在2年以上，有的可达4-6年。</w:t>
            </w:r>
          </w:p>
          <w:p w14:paraId="70B9259B">
            <w:pPr>
              <w:spacing w:line="360" w:lineRule="auto"/>
              <w:ind w:left="108" w:firstLine="420" w:firstLineChars="200"/>
              <w:rPr>
                <w:szCs w:val="21"/>
              </w:rPr>
            </w:pPr>
            <w:r>
              <w:rPr>
                <w:szCs w:val="21"/>
              </w:rPr>
              <w:t>布袋除尘器为高效除尘器，属于颗粒物去除可行措施。</w:t>
            </w:r>
          </w:p>
          <w:p w14:paraId="7DE50675">
            <w:pPr>
              <w:spacing w:line="360" w:lineRule="auto"/>
              <w:ind w:left="108" w:firstLine="420" w:firstLineChars="200"/>
              <w:rPr>
                <w:szCs w:val="21"/>
              </w:rPr>
            </w:pPr>
            <w:r>
              <w:rPr>
                <w:rFonts w:hint="eastAsia"/>
                <w:szCs w:val="21"/>
              </w:rPr>
              <w:t>（3）有机废气</w:t>
            </w:r>
          </w:p>
          <w:p w14:paraId="09854839">
            <w:pPr>
              <w:spacing w:line="360" w:lineRule="auto"/>
              <w:ind w:left="108" w:firstLine="420" w:firstLineChars="200"/>
              <w:rPr>
                <w:szCs w:val="21"/>
              </w:rPr>
            </w:pPr>
            <w:r>
              <w:rPr>
                <w:rFonts w:hint="eastAsia"/>
                <w:szCs w:val="21"/>
              </w:rPr>
              <w:t>参照《排污许可证申请与核发技术规范 家具制造工业》（HJ 1027-2019）中排污单位“施胶车间施胶废气-挥发性有机物”和“涂装车间喷漆废气-挥发性有机物”污染防治推荐可行技术：“集气设施或密闭车间、干式过滤棉/过滤箱、旋风除尘、活性炭吸附、浓缩+燃烧/催化氧化、其他”。本项目封闭胶粘工序中的对接机和拼板机，设置密闭喷漆房，喷漆过程中对喷漆废气负压收集，收集后送1套“</w:t>
            </w:r>
            <w:r>
              <w:rPr>
                <w:rFonts w:hint="eastAsia"/>
                <w:szCs w:val="21"/>
                <w:lang w:eastAsia="zh-CN"/>
              </w:rPr>
              <w:t>干式过滤+活性炭吸附+CO催化燃烧</w:t>
            </w:r>
            <w:r>
              <w:rPr>
                <w:rFonts w:hint="eastAsia"/>
                <w:szCs w:val="21"/>
              </w:rPr>
              <w:t>”，最终由1根15m高排气筒有组织达标排放，属于推荐的可行技术。</w:t>
            </w:r>
          </w:p>
          <w:p w14:paraId="2A492CA2">
            <w:pPr>
              <w:spacing w:line="360" w:lineRule="auto"/>
              <w:ind w:left="108" w:firstLine="420" w:firstLineChars="200"/>
              <w:rPr>
                <w:szCs w:val="21"/>
              </w:rPr>
            </w:pPr>
            <w:r>
              <w:rPr>
                <w:rFonts w:hint="eastAsia"/>
                <w:szCs w:val="21"/>
              </w:rPr>
              <w:t>项目设1座喷漆</w:t>
            </w:r>
            <w:r>
              <w:rPr>
                <w:rFonts w:hint="eastAsia"/>
                <w:szCs w:val="21"/>
                <w:lang w:val="en-US" w:eastAsia="zh-CN"/>
              </w:rPr>
              <w:t>柜</w:t>
            </w:r>
            <w:r>
              <w:rPr>
                <w:rFonts w:hint="eastAsia"/>
                <w:szCs w:val="21"/>
              </w:rPr>
              <w:t>，底漆喷漆和面漆喷漆、晾干共用1座喷漆房。喷漆房房为全封闭，采用上进风，下排风的方式对废气收集，喷漆房设置引风机，收集的废气送1套“</w:t>
            </w:r>
            <w:r>
              <w:rPr>
                <w:rFonts w:hint="eastAsia"/>
                <w:szCs w:val="21"/>
                <w:lang w:eastAsia="zh-CN"/>
              </w:rPr>
              <w:t>干式过滤+活性炭吸附+CO催化燃烧</w:t>
            </w:r>
            <w:r>
              <w:rPr>
                <w:rFonts w:hint="eastAsia"/>
                <w:szCs w:val="21"/>
              </w:rPr>
              <w:t>”处理后，最终经一根15m高排气筒排放。“</w:t>
            </w:r>
            <w:r>
              <w:rPr>
                <w:rFonts w:hint="eastAsia"/>
                <w:szCs w:val="21"/>
                <w:lang w:eastAsia="zh-CN"/>
              </w:rPr>
              <w:t>干式过滤+活性炭吸附+CO催化燃烧</w:t>
            </w:r>
            <w:r>
              <w:rPr>
                <w:rFonts w:hint="eastAsia"/>
                <w:szCs w:val="21"/>
              </w:rPr>
              <w:t>”工艺流程见下图。</w:t>
            </w:r>
          </w:p>
          <w:p w14:paraId="244374C3">
            <w:pPr>
              <w:spacing w:line="360" w:lineRule="auto"/>
              <w:jc w:val="center"/>
              <w:rPr>
                <w:szCs w:val="21"/>
              </w:rPr>
            </w:pPr>
            <w:r>
              <w:rPr>
                <w:rFonts w:hint="eastAsia"/>
                <w:szCs w:val="21"/>
              </w:rPr>
              <w:drawing>
                <wp:inline distT="0" distB="0" distL="0" distR="0">
                  <wp:extent cx="4107815" cy="3669030"/>
                  <wp:effectExtent l="0" t="0" r="698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srcRect/>
                          <a:stretch>
                            <a:fillRect/>
                          </a:stretch>
                        </pic:blipFill>
                        <pic:spPr>
                          <a:xfrm>
                            <a:off x="0" y="0"/>
                            <a:ext cx="4108218" cy="3669629"/>
                          </a:xfrm>
                          <a:prstGeom prst="rect">
                            <a:avLst/>
                          </a:prstGeom>
                          <a:noFill/>
                          <a:ln w="9525">
                            <a:noFill/>
                            <a:miter lim="800000"/>
                            <a:headEnd/>
                            <a:tailEnd/>
                          </a:ln>
                        </pic:spPr>
                      </pic:pic>
                    </a:graphicData>
                  </a:graphic>
                </wp:inline>
              </w:drawing>
            </w:r>
          </w:p>
          <w:p w14:paraId="35FA5C28">
            <w:pPr>
              <w:spacing w:line="360" w:lineRule="auto"/>
              <w:ind w:left="108" w:firstLine="420" w:firstLineChars="200"/>
              <w:rPr>
                <w:szCs w:val="21"/>
              </w:rPr>
            </w:pPr>
            <w:r>
              <w:rPr>
                <w:rFonts w:hint="eastAsia"/>
                <w:szCs w:val="21"/>
              </w:rPr>
              <w:t>有机废气治理工程工艺流程主要包括三部分：干式漆雾过滤器、吸附气体流程、脱附气体流程，详见上图的工艺流程图。</w:t>
            </w:r>
          </w:p>
          <w:p w14:paraId="7A191828">
            <w:pPr>
              <w:spacing w:line="360" w:lineRule="auto"/>
              <w:ind w:left="108" w:firstLine="420" w:firstLineChars="200"/>
              <w:rPr>
                <w:szCs w:val="21"/>
              </w:rPr>
            </w:pPr>
            <w:r>
              <w:rPr>
                <w:rFonts w:hint="eastAsia"/>
                <w:szCs w:val="21"/>
              </w:rPr>
              <w:t>干式漆雾过滤器：喷漆产生的有机废气在离心风机的作用下首先进入干式漆雾过滤器装置，本装置采用三级过滤方式，主要是去除废气中的漆雾、颗粒物等杂质，防止对活性炭损坏，降低活性炭寿命。</w:t>
            </w:r>
          </w:p>
          <w:p w14:paraId="01644C62">
            <w:pPr>
              <w:spacing w:line="360" w:lineRule="auto"/>
              <w:ind w:left="108" w:firstLine="420" w:firstLineChars="200"/>
              <w:rPr>
                <w:szCs w:val="21"/>
              </w:rPr>
            </w:pPr>
            <w:r>
              <w:rPr>
                <w:rFonts w:hint="eastAsia"/>
                <w:szCs w:val="21"/>
              </w:rPr>
              <w:t>吸附气体流程：干式漆雾过滤器后的废气通入放置有蜂窝状活性炭的吸附床，与蜂窝状活性炭充分接触，利用活性炭对有机物质的强吸附性将气体净化，净化后的气体再通过风机排向大气。活性炭吸附脱附箱</w:t>
            </w:r>
            <w:r>
              <w:rPr>
                <w:szCs w:val="21"/>
              </w:rPr>
              <w:t>900</w:t>
            </w:r>
            <w:r>
              <w:rPr>
                <w:rFonts w:hint="eastAsia"/>
                <w:szCs w:val="21"/>
              </w:rPr>
              <w:t>×</w:t>
            </w:r>
            <w:r>
              <w:rPr>
                <w:szCs w:val="21"/>
              </w:rPr>
              <w:t>900</w:t>
            </w:r>
            <w:r>
              <w:rPr>
                <w:rFonts w:hint="eastAsia"/>
                <w:szCs w:val="21"/>
              </w:rPr>
              <w:t>×</w:t>
            </w:r>
            <w:r>
              <w:rPr>
                <w:szCs w:val="21"/>
              </w:rPr>
              <w:t>1100mm</w:t>
            </w:r>
            <w:r>
              <w:rPr>
                <w:rFonts w:hint="eastAsia"/>
                <w:szCs w:val="21"/>
              </w:rPr>
              <w:t>；活性炭共设</w:t>
            </w:r>
            <w:r>
              <w:rPr>
                <w:szCs w:val="21"/>
              </w:rPr>
              <w:t>2</w:t>
            </w:r>
            <w:r>
              <w:rPr>
                <w:rFonts w:hint="eastAsia"/>
                <w:szCs w:val="21"/>
              </w:rPr>
              <w:t>个仓，单个仓填充量为</w:t>
            </w:r>
            <w:r>
              <w:rPr>
                <w:szCs w:val="21"/>
              </w:rPr>
              <w:t>0.5m</w:t>
            </w:r>
            <w:r>
              <w:rPr>
                <w:szCs w:val="21"/>
                <w:vertAlign w:val="superscript"/>
              </w:rPr>
              <w:t>3</w:t>
            </w:r>
            <w:r>
              <w:rPr>
                <w:rFonts w:hint="eastAsia"/>
                <w:szCs w:val="21"/>
              </w:rPr>
              <w:t>，总填充量为</w:t>
            </w:r>
            <w:r>
              <w:rPr>
                <w:szCs w:val="21"/>
              </w:rPr>
              <w:t>1m</w:t>
            </w:r>
            <w:r>
              <w:rPr>
                <w:szCs w:val="21"/>
                <w:vertAlign w:val="superscript"/>
              </w:rPr>
              <w:t>3</w:t>
            </w:r>
            <w:r>
              <w:rPr>
                <w:rFonts w:hint="eastAsia"/>
                <w:szCs w:val="21"/>
              </w:rPr>
              <w:t>，设计吸附脱附次数</w:t>
            </w:r>
            <w:r>
              <w:rPr>
                <w:szCs w:val="21"/>
              </w:rPr>
              <w:t>20</w:t>
            </w:r>
            <w:r>
              <w:rPr>
                <w:rFonts w:hint="eastAsia"/>
                <w:szCs w:val="21"/>
              </w:rPr>
              <w:t>次。废气停留时间</w:t>
            </w:r>
            <w:r>
              <w:rPr>
                <w:szCs w:val="21"/>
              </w:rPr>
              <w:t>2s</w:t>
            </w:r>
            <w:r>
              <w:rPr>
                <w:rFonts w:hint="eastAsia"/>
                <w:szCs w:val="21"/>
              </w:rPr>
              <w:t>，活性炭碘值</w:t>
            </w:r>
            <w:r>
              <w:rPr>
                <w:szCs w:val="21"/>
              </w:rPr>
              <w:t>800mg/g</w:t>
            </w:r>
            <w:r>
              <w:rPr>
                <w:rFonts w:hint="eastAsia"/>
                <w:szCs w:val="21"/>
              </w:rPr>
              <w:t>，功率</w:t>
            </w:r>
            <w:r>
              <w:rPr>
                <w:szCs w:val="21"/>
              </w:rPr>
              <w:t>120kw</w:t>
            </w:r>
            <w:r>
              <w:rPr>
                <w:rFonts w:hint="eastAsia"/>
                <w:szCs w:val="21"/>
              </w:rPr>
              <w:t>，风阻</w:t>
            </w:r>
            <w:r>
              <w:rPr>
                <w:szCs w:val="21"/>
              </w:rPr>
              <w:t>800Pa</w:t>
            </w:r>
            <w:r>
              <w:rPr>
                <w:rFonts w:hint="eastAsia"/>
                <w:szCs w:val="21"/>
              </w:rPr>
              <w:t>。</w:t>
            </w:r>
          </w:p>
          <w:p w14:paraId="15762851">
            <w:pPr>
              <w:spacing w:line="360" w:lineRule="auto"/>
              <w:ind w:left="108" w:firstLine="420" w:firstLineChars="200"/>
              <w:rPr>
                <w:szCs w:val="21"/>
              </w:rPr>
            </w:pPr>
            <w:r>
              <w:rPr>
                <w:rFonts w:hint="eastAsia"/>
                <w:szCs w:val="21"/>
              </w:rPr>
              <w:t>脱附气体流程：活性炭吸附箱放置的活性炭时间较多，能够吸附足够量的有机废气，定期关闭该吸附箱吸附进出口阀门，同时开启脱附进出口阀门。启动脱附风机及催化燃烧装置对该吸附床脱附，脱附气体首先经过催化床中的换热器初步预热，催化剂床层设计空速为</w:t>
            </w:r>
            <w:r>
              <w:rPr>
                <w:szCs w:val="21"/>
              </w:rPr>
              <w:t>3000h</w:t>
            </w:r>
            <w:r>
              <w:rPr>
                <w:szCs w:val="21"/>
                <w:vertAlign w:val="superscript"/>
              </w:rPr>
              <w:t>-1</w:t>
            </w:r>
            <w:r>
              <w:rPr>
                <w:rFonts w:hint="eastAsia"/>
                <w:szCs w:val="21"/>
              </w:rPr>
              <w:t>，然后进入催化床中的加热器，在加热器的作用下，使气体温度提高到</w:t>
            </w:r>
            <w:r>
              <w:rPr>
                <w:szCs w:val="21"/>
              </w:rPr>
              <w:t>250~300</w:t>
            </w:r>
            <w:r>
              <w:rPr>
                <w:rFonts w:hint="eastAsia"/>
                <w:szCs w:val="21"/>
              </w:rPr>
              <w:t>℃左右，再通过催化剂，有机物质在催化剂的作用下氧化，被分解为</w:t>
            </w:r>
            <w:r>
              <w:rPr>
                <w:szCs w:val="21"/>
              </w:rPr>
              <w:t>CO</w:t>
            </w:r>
            <w:r>
              <w:rPr>
                <w:szCs w:val="21"/>
                <w:vertAlign w:val="subscript"/>
              </w:rPr>
              <w:t>2</w:t>
            </w:r>
            <w:r>
              <w:rPr>
                <w:rFonts w:hint="eastAsia"/>
                <w:szCs w:val="21"/>
              </w:rPr>
              <w:t>和</w:t>
            </w:r>
            <w:r>
              <w:rPr>
                <w:szCs w:val="21"/>
              </w:rPr>
              <w:t>H</w:t>
            </w:r>
            <w:r>
              <w:rPr>
                <w:szCs w:val="21"/>
                <w:vertAlign w:val="subscript"/>
              </w:rPr>
              <w:t>2</w:t>
            </w:r>
            <w:r>
              <w:rPr>
                <w:szCs w:val="21"/>
              </w:rPr>
              <w:t>O</w:t>
            </w:r>
            <w:r>
              <w:rPr>
                <w:rFonts w:hint="eastAsia"/>
                <w:szCs w:val="21"/>
              </w:rPr>
              <w:t>，同时放出大量的热，气体温度进一部提高，该高温气体再次通过换热器，与进来的冷风换热，回收一部分热量。从换热器出来的气体分两部分：一部分直接排空；另一部分进入吸附床对活性炭进行脱附，活性炭吸附箱的温度控制在</w:t>
            </w:r>
            <w:r>
              <w:rPr>
                <w:szCs w:val="21"/>
              </w:rPr>
              <w:t>100</w:t>
            </w:r>
            <w:r>
              <w:rPr>
                <w:rFonts w:hint="eastAsia"/>
                <w:szCs w:val="21"/>
              </w:rPr>
              <w:t>℃左右，当脱附温度过高时可开启补冷风阀进行补冷，使脱附气体温度稳定在一个合适的范围内。</w:t>
            </w:r>
          </w:p>
          <w:p w14:paraId="0AABACAD">
            <w:pPr>
              <w:spacing w:line="360" w:lineRule="auto"/>
              <w:ind w:left="108" w:firstLine="420" w:firstLineChars="200"/>
              <w:rPr>
                <w:szCs w:val="21"/>
              </w:rPr>
            </w:pPr>
            <w:r>
              <w:rPr>
                <w:rFonts w:hint="eastAsia"/>
                <w:szCs w:val="21"/>
              </w:rPr>
              <w:t>控制系统：控制系统对系统中的风机、加热器、温度、电动阀门进行控制。</w:t>
            </w:r>
          </w:p>
          <w:p w14:paraId="11C58153">
            <w:pPr>
              <w:spacing w:line="360" w:lineRule="auto"/>
              <w:ind w:firstLine="420" w:firstLineChars="200"/>
              <w:rPr>
                <w:rFonts w:hint="eastAsia"/>
                <w:szCs w:val="21"/>
              </w:rPr>
            </w:pPr>
            <w:r>
              <w:rPr>
                <w:rFonts w:hint="eastAsia"/>
                <w:szCs w:val="21"/>
              </w:rPr>
              <w:t>当系统温度达到预定的催化温度时，系统自动停止预热器的加热，当温度不够时，系统又重新启动预热器，使催化温度维持在一个适当的范围；当催化床的温度过高时，开启补冷风阀，向催化床系统内补充新鲜空气，可有效地控制催化床的温度，防止催化床的温度过高，此外，系统中还有防火阀，可有效地防止火焰回串。</w:t>
            </w:r>
          </w:p>
          <w:p w14:paraId="7F154509">
            <w:pPr>
              <w:spacing w:line="360" w:lineRule="auto"/>
              <w:ind w:firstLine="420" w:firstLineChars="200"/>
              <w:rPr>
                <w:rFonts w:hint="eastAsia"/>
                <w:bCs/>
                <w:szCs w:val="21"/>
                <w:lang w:val="en-US" w:eastAsia="zh-CN"/>
              </w:rPr>
            </w:pPr>
            <w:r>
              <w:rPr>
                <w:rFonts w:hint="eastAsia"/>
                <w:bCs/>
                <w:szCs w:val="21"/>
                <w:lang w:eastAsia="zh-CN"/>
              </w:rPr>
              <w:t>（</w:t>
            </w:r>
            <w:r>
              <w:rPr>
                <w:rFonts w:hint="eastAsia"/>
                <w:bCs/>
                <w:szCs w:val="21"/>
                <w:lang w:val="en-US" w:eastAsia="zh-CN"/>
              </w:rPr>
              <w:t>4）低氮燃烧</w:t>
            </w:r>
          </w:p>
          <w:p w14:paraId="2B58E9E4">
            <w:pPr>
              <w:widowControl/>
              <w:snapToGrid w:val="0"/>
              <w:spacing w:line="360" w:lineRule="auto"/>
              <w:ind w:firstLine="420" w:firstLineChars="200"/>
              <w:rPr>
                <w:rFonts w:hint="eastAsia"/>
                <w:color w:val="auto"/>
                <w:szCs w:val="21"/>
                <w:lang w:val="en-US" w:eastAsia="zh-CN"/>
              </w:rPr>
            </w:pPr>
            <w:r>
              <w:rPr>
                <w:rFonts w:hint="eastAsia"/>
                <w:color w:val="auto"/>
                <w:szCs w:val="21"/>
                <w:lang w:eastAsia="zh-CN"/>
              </w:rPr>
              <w:t>燃烧器采用低氮燃烧技术，对烟气中氮氧化物的产生源头进行降低。低氮燃烧器采用降低燃烧火焰温度和降低氧含量，根据分级燃烧原理设计的阶段式燃烧器，使燃料与空气分段混合燃烧，由于燃烧偏离理论当量比，故可以降低氮氧化物的生成。另外导热油炉采用烟气再循环技术降低氮氧化物的产生，原理是通过燃烧产生的烟气重新引入燃烧区域，实现对燃烧温度氮氧化物浓度的控制，从而实现降低污染物排放效果，高温条件下，由空气中的氮经过氧化而生产</w:t>
            </w:r>
            <w:r>
              <w:rPr>
                <w:rFonts w:hint="eastAsia"/>
                <w:color w:val="auto"/>
                <w:szCs w:val="21"/>
                <w:lang w:val="en-US" w:eastAsia="zh-CN"/>
              </w:rPr>
              <w:t>NO和N，再由N和OH生产NO和H，热力型NOx形成的主要控制因素是温度，烟气再循环技术降低了火焰区域的最高温度，降低火焰就可以降低氮氧化物的形成。同时烟气再循环还降低了氧和氮的浓度，技术中高温烟气对氧化剂和燃料起到预热作用，有明显节能效果。采用的低氮燃烧+烟气再循环技术属于</w:t>
            </w:r>
            <w:r>
              <w:rPr>
                <w:rFonts w:hint="eastAsia"/>
                <w:color w:val="auto"/>
                <w:szCs w:val="21"/>
              </w:rPr>
              <w:t>《排污许可证申领与核发技术规范  锅炉》（HJ953-2018）</w:t>
            </w:r>
            <w:r>
              <w:rPr>
                <w:rFonts w:hint="eastAsia"/>
                <w:color w:val="auto"/>
                <w:szCs w:val="21"/>
                <w:lang w:eastAsia="zh-CN"/>
              </w:rPr>
              <w:t>表</w:t>
            </w:r>
            <w:r>
              <w:rPr>
                <w:rFonts w:hint="eastAsia"/>
                <w:color w:val="auto"/>
                <w:szCs w:val="21"/>
                <w:lang w:val="en-US" w:eastAsia="zh-CN"/>
              </w:rPr>
              <w:t>3中的可行技术（低氮燃烧）、《工业锅炉污染防治可行技术指南》（HJ1178-2021）表1 中的可行技术。</w:t>
            </w:r>
          </w:p>
          <w:p w14:paraId="37917A77">
            <w:pPr>
              <w:widowControl/>
              <w:snapToGrid w:val="0"/>
              <w:spacing w:line="360" w:lineRule="auto"/>
              <w:ind w:firstLine="420" w:firstLineChars="200"/>
              <w:rPr>
                <w:rFonts w:hint="default"/>
                <w:color w:val="auto"/>
                <w:szCs w:val="21"/>
                <w:lang w:val="en-US" w:eastAsia="zh-CN"/>
              </w:rPr>
            </w:pPr>
            <w:r>
              <w:rPr>
                <w:rFonts w:hint="eastAsia"/>
                <w:color w:val="auto"/>
                <w:szCs w:val="21"/>
                <w:lang w:val="en-US" w:eastAsia="zh-CN"/>
              </w:rPr>
              <w:t>本项目锅炉和隧道窑采用低氮燃烧技术，是一种低氮预燃室燃烧器，预燃室由一次风、二次风和燃料喷射系统组成，燃料和一次风快速混合，在预燃室内一次燃烧区形成富燃料混合物，由于缺氧，只是部分燃料进行燃烧，燃料在贫氧和火焰温度较低的一次火焰区内析出挥发分，因此减少了氮氧化物的产生。采用的低氮燃烧技术属于《</w:t>
            </w:r>
            <w:r>
              <w:rPr>
                <w:rFonts w:hint="eastAsia"/>
                <w:color w:val="auto"/>
                <w:szCs w:val="21"/>
              </w:rPr>
              <w:t>排污许可证申领与核发技术规范</w:t>
            </w:r>
            <w:r>
              <w:rPr>
                <w:rFonts w:hint="eastAsia"/>
                <w:color w:val="auto"/>
                <w:szCs w:val="21"/>
                <w:lang w:val="en-US" w:eastAsia="zh-CN"/>
              </w:rPr>
              <w:t xml:space="preserve">  工业炉窑》（HJ1121-2020）表14中的可行技术（低氮燃烧）。</w:t>
            </w:r>
          </w:p>
          <w:p w14:paraId="57227455">
            <w:pPr>
              <w:widowControl/>
              <w:snapToGrid w:val="0"/>
              <w:spacing w:line="360" w:lineRule="auto"/>
              <w:ind w:firstLine="420" w:firstLineChars="200"/>
              <w:rPr>
                <w:b/>
                <w:color w:val="auto"/>
                <w:szCs w:val="21"/>
              </w:rPr>
            </w:pPr>
            <w:r>
              <w:rPr>
                <w:rFonts w:hint="eastAsia"/>
                <w:color w:val="auto"/>
                <w:szCs w:val="21"/>
              </w:rPr>
              <w:t>综上所</w:t>
            </w:r>
            <w:r>
              <w:rPr>
                <w:rFonts w:hint="eastAsia"/>
                <w:color w:val="auto"/>
                <w:szCs w:val="21"/>
                <w:lang w:val="en-US" w:eastAsia="zh-CN"/>
              </w:rPr>
              <w:t>述</w:t>
            </w:r>
            <w:r>
              <w:rPr>
                <w:rFonts w:hint="eastAsia"/>
                <w:color w:val="auto"/>
                <w:szCs w:val="21"/>
              </w:rPr>
              <w:t>，本项目拟选废气污染防治措施可行。</w:t>
            </w:r>
          </w:p>
          <w:p w14:paraId="4907AE52">
            <w:pPr>
              <w:spacing w:line="360" w:lineRule="auto"/>
              <w:ind w:firstLine="420" w:firstLineChars="200"/>
              <w:rPr>
                <w:rFonts w:hint="default"/>
                <w:szCs w:val="21"/>
                <w:lang w:val="en-US" w:eastAsia="zh-CN"/>
              </w:rPr>
            </w:pPr>
            <w:r>
              <w:rPr>
                <w:rFonts w:hint="eastAsia"/>
                <w:bCs/>
                <w:szCs w:val="21"/>
              </w:rPr>
              <w:t>经分析，项目采取环评提出的措施后，废气能够达标排放，粉尘排放量较小，对环境空气影响较小。</w:t>
            </w:r>
          </w:p>
          <w:p w14:paraId="2E2E53C6">
            <w:pPr>
              <w:spacing w:line="360" w:lineRule="auto"/>
              <w:ind w:firstLine="422" w:firstLineChars="200"/>
              <w:rPr>
                <w:rFonts w:hint="default"/>
                <w:b/>
                <w:color w:val="auto"/>
                <w:szCs w:val="21"/>
                <w:lang w:val="en-US" w:eastAsia="zh-CN"/>
              </w:rPr>
            </w:pPr>
            <w:r>
              <w:rPr>
                <w:rFonts w:hint="eastAsia"/>
                <w:b/>
                <w:color w:val="auto"/>
                <w:szCs w:val="21"/>
                <w:lang w:val="en-US" w:eastAsia="zh-CN"/>
              </w:rPr>
              <w:t>4.2废水</w:t>
            </w:r>
          </w:p>
          <w:p w14:paraId="1BEA088B">
            <w:pPr>
              <w:adjustRightInd w:val="0"/>
              <w:snapToGrid w:val="0"/>
              <w:spacing w:line="360" w:lineRule="auto"/>
              <w:ind w:firstLine="482"/>
              <w:rPr>
                <w:bCs/>
                <w:kern w:val="0"/>
                <w:szCs w:val="21"/>
              </w:rPr>
            </w:pPr>
            <w:r>
              <w:rPr>
                <w:rFonts w:hint="eastAsia"/>
                <w:bCs/>
                <w:kern w:val="0"/>
                <w:szCs w:val="21"/>
              </w:rPr>
              <w:t>（1）废水量</w:t>
            </w:r>
          </w:p>
          <w:p w14:paraId="2564865F">
            <w:pPr>
              <w:spacing w:line="360" w:lineRule="auto"/>
              <w:ind w:firstLine="420" w:firstLineChars="200"/>
              <w:rPr>
                <w:spacing w:val="-4"/>
                <w:szCs w:val="21"/>
              </w:rPr>
            </w:pPr>
            <w:r>
              <w:rPr>
                <w:rFonts w:ascii="宋体"/>
                <w:bCs/>
                <w:szCs w:val="21"/>
              </w:rPr>
              <w:t>①</w:t>
            </w:r>
            <w:r>
              <w:rPr>
                <w:rFonts w:hint="eastAsia"/>
                <w:bCs/>
                <w:szCs w:val="21"/>
              </w:rPr>
              <w:t>办公生活</w:t>
            </w:r>
            <w:r>
              <w:rPr>
                <w:bCs/>
                <w:szCs w:val="21"/>
              </w:rPr>
              <w:t>：</w:t>
            </w:r>
            <w:r>
              <w:rPr>
                <w:rFonts w:hint="eastAsia"/>
                <w:bCs/>
                <w:szCs w:val="21"/>
              </w:rPr>
              <w:t>本项目劳动定员共50人，用水定额按100L/p·d计，办公生活用水量约为5.0m</w:t>
            </w:r>
            <w:r>
              <w:rPr>
                <w:rFonts w:hint="eastAsia"/>
                <w:bCs/>
                <w:szCs w:val="21"/>
                <w:vertAlign w:val="superscript"/>
              </w:rPr>
              <w:t>3</w:t>
            </w:r>
            <w:r>
              <w:rPr>
                <w:rFonts w:hint="eastAsia"/>
                <w:bCs/>
                <w:szCs w:val="21"/>
              </w:rPr>
              <w:t>/d；排水系数按0.8计，</w:t>
            </w:r>
            <w:r>
              <w:rPr>
                <w:bCs/>
                <w:szCs w:val="21"/>
              </w:rPr>
              <w:t>生活污水产生量约为</w:t>
            </w:r>
            <w:r>
              <w:rPr>
                <w:rFonts w:hint="eastAsia"/>
                <w:bCs/>
                <w:szCs w:val="21"/>
              </w:rPr>
              <w:t>4.0m</w:t>
            </w:r>
            <w:r>
              <w:rPr>
                <w:rFonts w:hint="eastAsia"/>
                <w:bCs/>
                <w:szCs w:val="21"/>
                <w:vertAlign w:val="superscript"/>
              </w:rPr>
              <w:t>3</w:t>
            </w:r>
            <w:r>
              <w:rPr>
                <w:rFonts w:hint="eastAsia"/>
                <w:bCs/>
                <w:szCs w:val="21"/>
              </w:rPr>
              <w:t>/d</w:t>
            </w:r>
            <w:r>
              <w:rPr>
                <w:bCs/>
                <w:szCs w:val="21"/>
              </w:rPr>
              <w:t>；</w:t>
            </w:r>
          </w:p>
          <w:p w14:paraId="41350C3A">
            <w:pPr>
              <w:spacing w:line="360" w:lineRule="auto"/>
              <w:ind w:firstLine="420" w:firstLineChars="200"/>
              <w:rPr>
                <w:bCs/>
                <w:szCs w:val="21"/>
              </w:rPr>
            </w:pPr>
            <w:r>
              <w:rPr>
                <w:rFonts w:ascii="宋体"/>
                <w:bCs/>
                <w:szCs w:val="21"/>
              </w:rPr>
              <w:t>②</w:t>
            </w:r>
            <w:r>
              <w:rPr>
                <w:rFonts w:hint="eastAsia"/>
                <w:spacing w:val="-4"/>
                <w:szCs w:val="21"/>
              </w:rPr>
              <w:t>车间地面冲洗</w:t>
            </w:r>
            <w:r>
              <w:rPr>
                <w:spacing w:val="-4"/>
                <w:szCs w:val="21"/>
              </w:rPr>
              <w:t>：</w:t>
            </w:r>
            <w:r>
              <w:rPr>
                <w:rFonts w:hint="eastAsia"/>
                <w:spacing w:val="-4"/>
                <w:szCs w:val="21"/>
              </w:rPr>
              <w:t>本项目设置有多个生产加工车间，定期进行冲洗，用水量按0.2L/m</w:t>
            </w:r>
            <w:r>
              <w:rPr>
                <w:rFonts w:hint="eastAsia"/>
                <w:spacing w:val="-4"/>
                <w:szCs w:val="21"/>
                <w:vertAlign w:val="superscript"/>
              </w:rPr>
              <w:t>2</w:t>
            </w:r>
            <w:r>
              <w:rPr>
                <w:rFonts w:hint="eastAsia"/>
                <w:spacing w:val="-4"/>
                <w:szCs w:val="21"/>
              </w:rPr>
              <w:t>·次计，每天冲洗1次，车间地面总面积约27260m</w:t>
            </w:r>
            <w:r>
              <w:rPr>
                <w:rFonts w:hint="eastAsia"/>
                <w:spacing w:val="-4"/>
                <w:szCs w:val="21"/>
                <w:vertAlign w:val="superscript"/>
              </w:rPr>
              <w:t>2</w:t>
            </w:r>
            <w:r>
              <w:rPr>
                <w:rFonts w:hint="eastAsia"/>
                <w:spacing w:val="-4"/>
                <w:szCs w:val="21"/>
              </w:rPr>
              <w:t>，则此部分</w:t>
            </w:r>
            <w:r>
              <w:rPr>
                <w:spacing w:val="-4"/>
                <w:szCs w:val="21"/>
              </w:rPr>
              <w:t>水量约为</w:t>
            </w:r>
            <w:r>
              <w:rPr>
                <w:rFonts w:hint="eastAsia"/>
                <w:spacing w:val="-4"/>
                <w:szCs w:val="21"/>
              </w:rPr>
              <w:t>5.45</w:t>
            </w:r>
            <w:r>
              <w:rPr>
                <w:spacing w:val="-4"/>
                <w:szCs w:val="21"/>
              </w:rPr>
              <w:t>m</w:t>
            </w:r>
            <w:r>
              <w:rPr>
                <w:spacing w:val="-4"/>
                <w:szCs w:val="21"/>
                <w:vertAlign w:val="superscript"/>
              </w:rPr>
              <w:t>3</w:t>
            </w:r>
            <w:r>
              <w:rPr>
                <w:spacing w:val="-4"/>
                <w:szCs w:val="21"/>
              </w:rPr>
              <w:t>/d</w:t>
            </w:r>
            <w:r>
              <w:rPr>
                <w:rFonts w:hint="eastAsia"/>
                <w:spacing w:val="-4"/>
                <w:szCs w:val="21"/>
              </w:rPr>
              <w:t>；</w:t>
            </w:r>
            <w:r>
              <w:rPr>
                <w:rFonts w:hint="eastAsia"/>
                <w:bCs/>
                <w:szCs w:val="21"/>
              </w:rPr>
              <w:t>排水系数按0.8计，废</w:t>
            </w:r>
            <w:r>
              <w:rPr>
                <w:bCs/>
                <w:szCs w:val="21"/>
              </w:rPr>
              <w:t>水产生量约为</w:t>
            </w:r>
            <w:r>
              <w:rPr>
                <w:rFonts w:hint="eastAsia"/>
                <w:bCs/>
                <w:szCs w:val="21"/>
              </w:rPr>
              <w:t>4.36m</w:t>
            </w:r>
            <w:r>
              <w:rPr>
                <w:rFonts w:hint="eastAsia"/>
                <w:bCs/>
                <w:szCs w:val="21"/>
                <w:vertAlign w:val="superscript"/>
              </w:rPr>
              <w:t>3</w:t>
            </w:r>
            <w:r>
              <w:rPr>
                <w:rFonts w:hint="eastAsia"/>
                <w:bCs/>
                <w:szCs w:val="21"/>
              </w:rPr>
              <w:t>/d</w:t>
            </w:r>
            <w:r>
              <w:rPr>
                <w:bCs/>
                <w:szCs w:val="21"/>
              </w:rPr>
              <w:t>；</w:t>
            </w:r>
          </w:p>
          <w:p w14:paraId="2504DCAC">
            <w:pPr>
              <w:spacing w:line="360" w:lineRule="auto"/>
              <w:ind w:firstLine="420" w:firstLineChars="200"/>
              <w:rPr>
                <w:bCs/>
                <w:szCs w:val="21"/>
              </w:rPr>
            </w:pPr>
            <w:r>
              <w:rPr>
                <w:rFonts w:hint="eastAsia"/>
                <w:bCs/>
                <w:szCs w:val="21"/>
              </w:rPr>
              <w:t>③水性漆稀释：本项目木门窗、木屋产品装饰工序中包含喷漆作业，使用水性漆，稀释剂为水，根据水性漆使用情况及表2-5的计算结果可知，本项目水性底漆/水</w:t>
            </w:r>
            <w:r>
              <w:rPr>
                <w:bCs/>
                <w:szCs w:val="21"/>
              </w:rPr>
              <w:t>=10</w:t>
            </w:r>
            <w:r>
              <w:rPr>
                <w:rFonts w:hint="eastAsia"/>
                <w:bCs/>
                <w:szCs w:val="21"/>
              </w:rPr>
              <w:t>/</w:t>
            </w:r>
            <w:r>
              <w:rPr>
                <w:bCs/>
                <w:szCs w:val="21"/>
              </w:rPr>
              <w:t>1</w:t>
            </w:r>
            <w:r>
              <w:rPr>
                <w:rFonts w:hint="eastAsia"/>
                <w:bCs/>
                <w:szCs w:val="21"/>
              </w:rPr>
              <w:t>，</w:t>
            </w:r>
            <w:r>
              <w:rPr>
                <w:bCs/>
                <w:szCs w:val="21"/>
              </w:rPr>
              <w:t>水性面漆</w:t>
            </w:r>
            <w:r>
              <w:rPr>
                <w:rFonts w:hint="eastAsia"/>
                <w:bCs/>
                <w:szCs w:val="21"/>
              </w:rPr>
              <w:t>/水</w:t>
            </w:r>
            <w:r>
              <w:rPr>
                <w:bCs/>
                <w:szCs w:val="21"/>
              </w:rPr>
              <w:t>=10</w:t>
            </w:r>
            <w:r>
              <w:rPr>
                <w:rFonts w:hint="eastAsia"/>
                <w:bCs/>
                <w:szCs w:val="21"/>
              </w:rPr>
              <w:t>/</w:t>
            </w:r>
            <w:r>
              <w:rPr>
                <w:bCs/>
                <w:szCs w:val="21"/>
              </w:rPr>
              <w:t>1.</w:t>
            </w:r>
            <w:r>
              <w:rPr>
                <w:rFonts w:hint="eastAsia"/>
                <w:bCs/>
                <w:szCs w:val="21"/>
              </w:rPr>
              <w:t>2，则此部分工序使用水量约为1.98m</w:t>
            </w:r>
            <w:r>
              <w:rPr>
                <w:rFonts w:hint="eastAsia"/>
                <w:bCs/>
                <w:szCs w:val="21"/>
                <w:vertAlign w:val="superscript"/>
              </w:rPr>
              <w:t>3</w:t>
            </w:r>
            <w:r>
              <w:rPr>
                <w:rFonts w:hint="eastAsia"/>
                <w:bCs/>
                <w:szCs w:val="21"/>
              </w:rPr>
              <w:t>/a（0.0066m</w:t>
            </w:r>
            <w:r>
              <w:rPr>
                <w:rFonts w:hint="eastAsia"/>
                <w:bCs/>
                <w:szCs w:val="21"/>
                <w:vertAlign w:val="superscript"/>
              </w:rPr>
              <w:t>3</w:t>
            </w:r>
            <w:r>
              <w:rPr>
                <w:rFonts w:hint="eastAsia"/>
                <w:bCs/>
                <w:szCs w:val="21"/>
              </w:rPr>
              <w:t>/d）。此工序无废水产生。</w:t>
            </w:r>
          </w:p>
          <w:p w14:paraId="73272541">
            <w:pPr>
              <w:spacing w:line="360" w:lineRule="auto"/>
              <w:ind w:firstLine="420" w:firstLineChars="200"/>
              <w:rPr>
                <w:bCs/>
                <w:kern w:val="0"/>
                <w:szCs w:val="21"/>
              </w:rPr>
            </w:pPr>
            <w:r>
              <w:rPr>
                <w:rFonts w:hint="eastAsia"/>
                <w:bCs/>
                <w:kern w:val="0"/>
                <w:szCs w:val="21"/>
              </w:rPr>
              <w:t>（</w:t>
            </w:r>
            <w:r>
              <w:rPr>
                <w:bCs/>
                <w:kern w:val="0"/>
                <w:szCs w:val="21"/>
              </w:rPr>
              <w:t>2）废水收集系统</w:t>
            </w:r>
          </w:p>
          <w:p w14:paraId="2594C45C">
            <w:pPr>
              <w:spacing w:line="360" w:lineRule="auto"/>
              <w:ind w:firstLine="420" w:firstLineChars="200"/>
              <w:rPr>
                <w:szCs w:val="21"/>
              </w:rPr>
            </w:pPr>
            <w:r>
              <w:rPr>
                <w:rFonts w:ascii="宋体"/>
                <w:bCs/>
                <w:szCs w:val="21"/>
              </w:rPr>
              <w:t>本项目厂区实行雨污分流制</w:t>
            </w:r>
            <w:r>
              <w:rPr>
                <w:rFonts w:hint="eastAsia" w:ascii="宋体"/>
                <w:bCs/>
                <w:szCs w:val="21"/>
              </w:rPr>
              <w:t>；</w:t>
            </w:r>
            <w:r>
              <w:rPr>
                <w:rFonts w:ascii="宋体"/>
                <w:bCs/>
                <w:szCs w:val="21"/>
              </w:rPr>
              <w:t>职工生活污</w:t>
            </w:r>
            <w:r>
              <w:rPr>
                <w:bCs/>
                <w:szCs w:val="21"/>
              </w:rPr>
              <w:t>水进入厂区化粪池（2座50m</w:t>
            </w:r>
            <w:r>
              <w:rPr>
                <w:bCs/>
                <w:szCs w:val="21"/>
                <w:vertAlign w:val="superscript"/>
              </w:rPr>
              <w:t>3</w:t>
            </w:r>
            <w:r>
              <w:rPr>
                <w:bCs/>
                <w:szCs w:val="21"/>
              </w:rPr>
              <w:t>），之后通入污水管网，最终进入大同市御东污水处理厂；雨水经厂区雨水管道进入园区雨水管道。</w:t>
            </w:r>
          </w:p>
          <w:p w14:paraId="140DB9CA">
            <w:pPr>
              <w:spacing w:line="360" w:lineRule="auto"/>
              <w:ind w:firstLine="420" w:firstLineChars="200"/>
              <w:rPr>
                <w:rFonts w:hint="default"/>
                <w:b w:val="0"/>
                <w:bCs/>
                <w:color w:val="auto"/>
                <w:szCs w:val="21"/>
                <w:lang w:val="en-US" w:eastAsia="zh-CN"/>
              </w:rPr>
            </w:pPr>
            <w:r>
              <w:rPr>
                <w:rFonts w:hint="eastAsia"/>
                <w:b w:val="0"/>
                <w:bCs/>
                <w:color w:val="auto"/>
                <w:szCs w:val="21"/>
                <w:lang w:val="en-US" w:eastAsia="zh-CN"/>
              </w:rPr>
              <w:t>砖石加工位于一车间和二车间内，2座车间内的砖石加工采用湿式加工，在进行切割、雕刻、打磨等工序均设置有喷水、喷雾湿式作业，砖石加工产生的颗粒物和水雾形成泥浆，经车间地面收集灌渠，进入沉淀池，经沉淀后循环使用。沉淀池设置为三级沉淀，容积30m</w:t>
            </w:r>
            <w:r>
              <w:rPr>
                <w:rFonts w:hint="eastAsia"/>
                <w:b w:val="0"/>
                <w:bCs/>
                <w:color w:val="auto"/>
                <w:szCs w:val="21"/>
                <w:vertAlign w:val="superscript"/>
                <w:lang w:val="en-US" w:eastAsia="zh-CN"/>
              </w:rPr>
              <w:t>3</w:t>
            </w:r>
            <w:r>
              <w:rPr>
                <w:rFonts w:hint="eastAsia"/>
                <w:b w:val="0"/>
                <w:bCs/>
                <w:color w:val="auto"/>
                <w:szCs w:val="21"/>
                <w:lang w:val="en-US" w:eastAsia="zh-CN"/>
              </w:rPr>
              <w:t>，位于地下。</w:t>
            </w:r>
          </w:p>
          <w:p w14:paraId="25595241">
            <w:pPr>
              <w:spacing w:line="360" w:lineRule="auto"/>
              <w:ind w:left="108" w:firstLine="420" w:firstLineChars="200"/>
              <w:rPr>
                <w:color w:val="auto"/>
                <w:szCs w:val="21"/>
              </w:rPr>
            </w:pPr>
            <w:r>
              <w:rPr>
                <w:rFonts w:hint="eastAsia"/>
                <w:bCs/>
                <w:color w:val="auto"/>
                <w:szCs w:val="21"/>
                <w:lang w:val="en-US" w:eastAsia="zh-CN"/>
              </w:rPr>
              <w:t>初期雨水：</w:t>
            </w:r>
            <w:r>
              <w:rPr>
                <w:rFonts w:hint="eastAsia"/>
                <w:color w:val="auto"/>
                <w:szCs w:val="21"/>
              </w:rPr>
              <w:t>结合本项目厂区布置、运输道路布置</w:t>
            </w:r>
            <w:r>
              <w:rPr>
                <w:rFonts w:hint="eastAsia"/>
                <w:color w:val="auto"/>
                <w:szCs w:val="21"/>
                <w:lang w:val="en-US" w:eastAsia="zh-CN"/>
              </w:rPr>
              <w:t>等</w:t>
            </w:r>
            <w:r>
              <w:rPr>
                <w:rFonts w:hint="eastAsia"/>
                <w:color w:val="auto"/>
                <w:szCs w:val="21"/>
              </w:rPr>
              <w:t>建设位置，确定本项目汇水面积。</w:t>
            </w:r>
          </w:p>
          <w:p w14:paraId="76113B43">
            <w:pPr>
              <w:spacing w:line="360" w:lineRule="auto"/>
              <w:ind w:left="108" w:firstLine="420" w:firstLineChars="200"/>
              <w:rPr>
                <w:color w:val="auto"/>
                <w:szCs w:val="21"/>
              </w:rPr>
            </w:pPr>
            <w:r>
              <w:rPr>
                <w:rFonts w:hint="eastAsia"/>
                <w:bCs/>
                <w:color w:val="auto"/>
                <w:szCs w:val="21"/>
                <w:lang w:val="en-US" w:eastAsia="zh-CN"/>
              </w:rPr>
              <w:t>参考《海绵城市建设技术标准》（DBJ04/344-2025），</w:t>
            </w:r>
            <w:r>
              <w:rPr>
                <w:rFonts w:hint="eastAsia"/>
                <w:color w:val="auto"/>
                <w:szCs w:val="21"/>
              </w:rPr>
              <w:t>结合本项目厂区布置、运输道路布置确定本项目汇水面积。暴雨强度计算公式采用</w:t>
            </w:r>
            <w:r>
              <w:rPr>
                <w:rFonts w:hint="eastAsia"/>
                <w:bCs/>
                <w:color w:val="auto"/>
                <w:szCs w:val="21"/>
                <w:lang w:val="en-US" w:eastAsia="zh-CN"/>
              </w:rPr>
              <w:t>DBJ04/344-2025</w:t>
            </w:r>
            <w:r>
              <w:rPr>
                <w:rFonts w:hint="eastAsia" w:cs="Times New Roman" w:eastAsiaTheme="minorEastAsia"/>
                <w:color w:val="auto"/>
                <w:sz w:val="21"/>
                <w:szCs w:val="21"/>
                <w:lang w:eastAsia="zh-CN" w:bidi="en-US"/>
              </w:rPr>
              <w:t>附录</w:t>
            </w:r>
            <w:r>
              <w:rPr>
                <w:rFonts w:hint="eastAsia"/>
                <w:bCs/>
                <w:color w:val="auto"/>
                <w:szCs w:val="21"/>
                <w:lang w:val="en-US" w:eastAsia="zh-CN"/>
              </w:rPr>
              <w:t>C</w:t>
            </w:r>
            <w:r>
              <w:rPr>
                <w:rFonts w:hint="eastAsia" w:cs="Times New Roman" w:eastAsiaTheme="minorEastAsia"/>
                <w:color w:val="auto"/>
                <w:sz w:val="21"/>
                <w:szCs w:val="21"/>
                <w:lang w:val="en-US" w:eastAsia="zh-CN" w:bidi="en-US"/>
              </w:rPr>
              <w:t>中的公示</w:t>
            </w:r>
            <w:r>
              <w:rPr>
                <w:rFonts w:hint="eastAsia"/>
                <w:color w:val="auto"/>
                <w:szCs w:val="21"/>
              </w:rPr>
              <w:t>大同市暴雨强度计算公式：</w:t>
            </w:r>
          </w:p>
          <w:p w14:paraId="0791C73E">
            <w:pPr>
              <w:spacing w:line="480" w:lineRule="exact"/>
              <w:ind w:firstLine="420" w:firstLineChars="200"/>
              <w:jc w:val="center"/>
              <w:rPr>
                <w:color w:val="auto"/>
              </w:rPr>
            </w:pPr>
            <w:r>
              <w:rPr>
                <w:color w:val="auto"/>
              </w:rPr>
              <w:drawing>
                <wp:anchor distT="0" distB="0" distL="114300" distR="114300" simplePos="0" relativeHeight="251663360" behindDoc="0" locked="0" layoutInCell="1" allowOverlap="1">
                  <wp:simplePos x="0" y="0"/>
                  <wp:positionH relativeFrom="column">
                    <wp:posOffset>1627505</wp:posOffset>
                  </wp:positionH>
                  <wp:positionV relativeFrom="paragraph">
                    <wp:posOffset>66040</wp:posOffset>
                  </wp:positionV>
                  <wp:extent cx="1913255" cy="406400"/>
                  <wp:effectExtent l="0" t="0" r="10795" b="12700"/>
                  <wp:wrapNone/>
                  <wp:docPr id="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
                          <pic:cNvPicPr>
                            <a:picLocks noChangeAspect="1"/>
                          </pic:cNvPicPr>
                        </pic:nvPicPr>
                        <pic:blipFill>
                          <a:blip r:embed="rId18"/>
                          <a:stretch>
                            <a:fillRect/>
                          </a:stretch>
                        </pic:blipFill>
                        <pic:spPr>
                          <a:xfrm>
                            <a:off x="0" y="0"/>
                            <a:ext cx="1913255" cy="406400"/>
                          </a:xfrm>
                          <a:prstGeom prst="rect">
                            <a:avLst/>
                          </a:prstGeom>
                          <a:noFill/>
                          <a:ln>
                            <a:noFill/>
                          </a:ln>
                        </pic:spPr>
                      </pic:pic>
                    </a:graphicData>
                  </a:graphic>
                </wp:anchor>
              </w:drawing>
            </w:r>
          </w:p>
          <w:p w14:paraId="3DB0DC67">
            <w:pPr>
              <w:spacing w:line="360" w:lineRule="auto"/>
              <w:ind w:left="108" w:firstLine="420" w:firstLineChars="200"/>
              <w:rPr>
                <w:rFonts w:hint="eastAsia"/>
                <w:color w:val="auto"/>
                <w:szCs w:val="21"/>
              </w:rPr>
            </w:pPr>
          </w:p>
          <w:p w14:paraId="76F94D14">
            <w:pPr>
              <w:spacing w:line="360" w:lineRule="auto"/>
              <w:ind w:left="108" w:firstLine="420" w:firstLineChars="200"/>
              <w:rPr>
                <w:rFonts w:hint="eastAsia"/>
                <w:color w:val="auto"/>
                <w:szCs w:val="21"/>
                <w:lang w:val="en-US" w:eastAsia="zh-CN"/>
              </w:rPr>
            </w:pPr>
            <w:r>
              <w:rPr>
                <w:rFonts w:hint="eastAsia"/>
                <w:color w:val="auto"/>
                <w:szCs w:val="21"/>
                <w:lang w:val="en-US" w:eastAsia="zh-CN"/>
              </w:rPr>
              <w:t>设计计算：</w:t>
            </w:r>
          </w:p>
          <w:p w14:paraId="747123D5">
            <w:pPr>
              <w:spacing w:line="360" w:lineRule="auto"/>
              <w:ind w:left="108" w:firstLine="420" w:firstLineChars="200"/>
              <w:rPr>
                <w:rFonts w:hint="eastAsia"/>
                <w:color w:val="auto"/>
                <w:szCs w:val="21"/>
                <w:lang w:val="en-US" w:eastAsia="zh-CN"/>
              </w:rPr>
            </w:pPr>
            <w:r>
              <w:rPr>
                <w:rFonts w:hint="eastAsia"/>
                <w:color w:val="auto"/>
                <w:szCs w:val="21"/>
                <w:lang w:val="en-US" w:eastAsia="zh-CN"/>
              </w:rPr>
              <w:t>设计调蓄容积公式：</w:t>
            </w:r>
          </w:p>
          <w:p w14:paraId="477744D5">
            <w:pPr>
              <w:spacing w:line="360" w:lineRule="auto"/>
              <w:ind w:left="108" w:firstLine="420" w:firstLineChars="200"/>
              <w:jc w:val="center"/>
              <w:rPr>
                <w:color w:val="auto"/>
              </w:rPr>
            </w:pPr>
            <w:r>
              <w:rPr>
                <w:color w:val="auto"/>
              </w:rPr>
              <w:drawing>
                <wp:inline distT="0" distB="0" distL="114300" distR="114300">
                  <wp:extent cx="942340" cy="633730"/>
                  <wp:effectExtent l="0" t="0" r="10160" b="13970"/>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pic:cNvPicPr>
                            <a:picLocks noChangeAspect="1"/>
                          </pic:cNvPicPr>
                        </pic:nvPicPr>
                        <pic:blipFill>
                          <a:blip r:embed="rId19"/>
                          <a:stretch>
                            <a:fillRect/>
                          </a:stretch>
                        </pic:blipFill>
                        <pic:spPr>
                          <a:xfrm>
                            <a:off x="0" y="0"/>
                            <a:ext cx="942340" cy="633730"/>
                          </a:xfrm>
                          <a:prstGeom prst="rect">
                            <a:avLst/>
                          </a:prstGeom>
                          <a:noFill/>
                          <a:ln>
                            <a:noFill/>
                          </a:ln>
                        </pic:spPr>
                      </pic:pic>
                    </a:graphicData>
                  </a:graphic>
                </wp:inline>
              </w:drawing>
            </w:r>
          </w:p>
          <w:p w14:paraId="3FFCD56D">
            <w:pPr>
              <w:spacing w:line="360" w:lineRule="auto"/>
              <w:ind w:left="108" w:firstLine="420" w:firstLineChars="200"/>
              <w:rPr>
                <w:rFonts w:hint="eastAsia"/>
                <w:color w:val="auto"/>
                <w:szCs w:val="21"/>
                <w:lang w:val="en-US" w:eastAsia="zh-CN"/>
              </w:rPr>
            </w:pPr>
            <w:r>
              <w:rPr>
                <w:rFonts w:hint="eastAsia"/>
                <w:color w:val="auto"/>
                <w:szCs w:val="21"/>
                <w:lang w:eastAsia="zh-CN"/>
              </w:rPr>
              <w:t>本项目径流系数硬屋面取</w:t>
            </w:r>
            <w:r>
              <w:rPr>
                <w:rFonts w:hint="eastAsia"/>
                <w:color w:val="auto"/>
                <w:szCs w:val="21"/>
                <w:lang w:val="en-US" w:eastAsia="zh-CN"/>
              </w:rPr>
              <w:t>0.8、路面取0.8，综合径流系数取值0.8；</w:t>
            </w:r>
          </w:p>
          <w:p w14:paraId="39977DE6">
            <w:pPr>
              <w:spacing w:line="360" w:lineRule="auto"/>
              <w:ind w:left="108" w:firstLine="420" w:firstLineChars="200"/>
              <w:rPr>
                <w:rFonts w:hint="eastAsia"/>
                <w:color w:val="auto"/>
                <w:szCs w:val="21"/>
              </w:rPr>
            </w:pPr>
            <w:r>
              <w:rPr>
                <w:rFonts w:hint="eastAsia"/>
                <w:color w:val="auto"/>
                <w:szCs w:val="21"/>
              </w:rPr>
              <w:t>根据上</w:t>
            </w:r>
            <w:r>
              <w:rPr>
                <w:rFonts w:hint="eastAsia"/>
                <w:color w:val="auto"/>
                <w:szCs w:val="21"/>
                <w:lang w:eastAsia="zh-CN"/>
              </w:rPr>
              <w:t>述公</w:t>
            </w:r>
            <w:r>
              <w:rPr>
                <w:rFonts w:hint="eastAsia"/>
                <w:color w:val="auto"/>
                <w:szCs w:val="21"/>
              </w:rPr>
              <w:t>式计算</w:t>
            </w:r>
            <w:r>
              <w:rPr>
                <w:rFonts w:hint="eastAsia"/>
                <w:color w:val="auto"/>
                <w:szCs w:val="21"/>
                <w:lang w:eastAsia="zh-CN"/>
              </w:rPr>
              <w:t>得出：</w:t>
            </w:r>
            <w:r>
              <w:rPr>
                <w:color w:val="auto"/>
                <w:szCs w:val="21"/>
              </w:rPr>
              <w:t>q=</w:t>
            </w:r>
            <w:r>
              <w:rPr>
                <w:rFonts w:hint="eastAsia"/>
                <w:color w:val="auto"/>
                <w:szCs w:val="21"/>
                <w:lang w:val="en-US" w:eastAsia="zh-CN"/>
              </w:rPr>
              <w:t>256.95</w:t>
            </w:r>
            <w:r>
              <w:rPr>
                <w:color w:val="auto"/>
                <w:szCs w:val="21"/>
              </w:rPr>
              <w:t>L/s</w:t>
            </w:r>
            <w:r>
              <w:rPr>
                <w:rFonts w:hint="eastAsia"/>
                <w:color w:val="auto"/>
                <w:szCs w:val="21"/>
              </w:rPr>
              <w:t>·</w:t>
            </w:r>
            <w:r>
              <w:rPr>
                <w:color w:val="auto"/>
                <w:szCs w:val="21"/>
              </w:rPr>
              <w:t>ha</w:t>
            </w:r>
            <w:r>
              <w:rPr>
                <w:rFonts w:hint="eastAsia"/>
                <w:color w:val="auto"/>
                <w:szCs w:val="21"/>
                <w:lang w:eastAsia="zh-CN"/>
              </w:rPr>
              <w:t>；</w:t>
            </w:r>
            <w:r>
              <w:rPr>
                <w:rFonts w:hint="eastAsia"/>
                <w:color w:val="auto"/>
                <w:szCs w:val="21"/>
                <w:lang w:val="en-US" w:eastAsia="zh-CN"/>
              </w:rPr>
              <w:t>W=81.88m</w:t>
            </w:r>
            <w:r>
              <w:rPr>
                <w:rFonts w:hint="eastAsia"/>
                <w:color w:val="auto"/>
                <w:szCs w:val="21"/>
                <w:vertAlign w:val="superscript"/>
                <w:lang w:val="en-US" w:eastAsia="zh-CN"/>
              </w:rPr>
              <w:t>3</w:t>
            </w:r>
            <w:r>
              <w:rPr>
                <w:rFonts w:hint="eastAsia"/>
                <w:color w:val="auto"/>
                <w:szCs w:val="21"/>
                <w:lang w:val="en-US" w:eastAsia="zh-CN"/>
              </w:rPr>
              <w:t>。</w:t>
            </w:r>
            <w:r>
              <w:rPr>
                <w:rFonts w:hint="eastAsia"/>
                <w:color w:val="auto"/>
                <w:szCs w:val="21"/>
              </w:rPr>
              <w:t>评价要求设置一座初期雨水收集池，雨水池位于厂区地势最低处，即厂区</w:t>
            </w:r>
            <w:r>
              <w:rPr>
                <w:rFonts w:hint="eastAsia"/>
                <w:color w:val="auto"/>
                <w:szCs w:val="21"/>
                <w:lang w:val="en-US" w:eastAsia="zh-CN"/>
              </w:rPr>
              <w:t>东南角处</w:t>
            </w:r>
            <w:r>
              <w:rPr>
                <w:rFonts w:hint="eastAsia"/>
                <w:color w:val="auto"/>
                <w:szCs w:val="21"/>
              </w:rPr>
              <w:t>，池体容积</w:t>
            </w:r>
            <w:r>
              <w:rPr>
                <w:rFonts w:hint="eastAsia"/>
                <w:color w:val="auto"/>
                <w:szCs w:val="21"/>
                <w:lang w:eastAsia="zh-CN"/>
              </w:rPr>
              <w:t>为</w:t>
            </w:r>
            <w:r>
              <w:rPr>
                <w:rFonts w:hint="eastAsia"/>
                <w:color w:val="auto"/>
                <w:szCs w:val="21"/>
                <w:lang w:val="en-US" w:eastAsia="zh-CN"/>
              </w:rPr>
              <w:t>100m</w:t>
            </w:r>
            <w:r>
              <w:rPr>
                <w:rFonts w:hint="eastAsia"/>
                <w:color w:val="auto"/>
                <w:szCs w:val="21"/>
                <w:vertAlign w:val="superscript"/>
                <w:lang w:val="en-US" w:eastAsia="zh-CN"/>
              </w:rPr>
              <w:t>3</w:t>
            </w:r>
            <w:r>
              <w:rPr>
                <w:rFonts w:hint="eastAsia"/>
                <w:color w:val="auto"/>
                <w:szCs w:val="21"/>
                <w:lang w:val="en-US" w:eastAsia="zh-CN"/>
              </w:rPr>
              <w:t>，</w:t>
            </w:r>
            <w:r>
              <w:rPr>
                <w:rFonts w:hint="eastAsia"/>
                <w:color w:val="auto"/>
                <w:szCs w:val="21"/>
              </w:rPr>
              <w:t>可满足本项目初期雨水收集量，收集后的雨水经沉淀后，</w:t>
            </w:r>
            <w:r>
              <w:rPr>
                <w:rFonts w:hint="eastAsia"/>
                <w:color w:val="auto"/>
                <w:szCs w:val="21"/>
                <w:lang w:val="en-US" w:eastAsia="zh-CN"/>
              </w:rPr>
              <w:t>可回用于厂区绿化，不外排</w:t>
            </w:r>
            <w:r>
              <w:rPr>
                <w:rFonts w:hint="eastAsia"/>
                <w:color w:val="auto"/>
                <w:szCs w:val="21"/>
              </w:rPr>
              <w:t>。</w:t>
            </w:r>
          </w:p>
          <w:p w14:paraId="614023AD">
            <w:pPr>
              <w:spacing w:line="360" w:lineRule="auto"/>
              <w:ind w:firstLine="420" w:firstLineChars="200"/>
              <w:rPr>
                <w:rFonts w:hint="default" w:eastAsia="宋体"/>
                <w:bCs/>
                <w:color w:val="auto"/>
                <w:szCs w:val="21"/>
                <w:lang w:val="en-US" w:eastAsia="zh-CN"/>
              </w:rPr>
            </w:pPr>
            <w:r>
              <w:rPr>
                <w:rFonts w:hint="eastAsia"/>
                <w:color w:val="auto"/>
                <w:szCs w:val="21"/>
              </w:rPr>
              <w:t>取以上措施后，本项目产生的废水对周围的环境影响很小</w:t>
            </w:r>
            <w:r>
              <w:rPr>
                <w:rFonts w:hint="eastAsia"/>
                <w:color w:val="auto"/>
                <w:sz w:val="24"/>
              </w:rPr>
              <w:t>。</w:t>
            </w:r>
          </w:p>
          <w:p w14:paraId="6948FB25">
            <w:pPr>
              <w:snapToGrid w:val="0"/>
              <w:spacing w:line="240" w:lineRule="exact"/>
              <w:ind w:firstLine="361" w:firstLineChars="200"/>
              <w:jc w:val="center"/>
              <w:rPr>
                <w:b/>
                <w:bCs/>
                <w:color w:val="auto"/>
                <w:sz w:val="18"/>
                <w:szCs w:val="18"/>
              </w:rPr>
            </w:pPr>
            <w:r>
              <w:rPr>
                <w:b/>
                <w:bCs/>
                <w:color w:val="auto"/>
                <w:sz w:val="18"/>
                <w:szCs w:val="18"/>
              </w:rPr>
              <w:t>表</w:t>
            </w:r>
            <w:r>
              <w:rPr>
                <w:rFonts w:hint="eastAsia"/>
                <w:b/>
                <w:bCs/>
                <w:color w:val="auto"/>
                <w:sz w:val="18"/>
                <w:szCs w:val="18"/>
              </w:rPr>
              <w:t>4</w:t>
            </w:r>
            <w:r>
              <w:rPr>
                <w:rFonts w:hint="eastAsia"/>
                <w:b/>
                <w:bCs/>
                <w:color w:val="auto"/>
                <w:sz w:val="18"/>
                <w:szCs w:val="18"/>
                <w:lang w:val="en-US" w:eastAsia="zh-CN"/>
              </w:rPr>
              <w:t>.2</w:t>
            </w:r>
            <w:r>
              <w:rPr>
                <w:rFonts w:hint="eastAsia"/>
                <w:b/>
                <w:bCs/>
                <w:color w:val="auto"/>
                <w:sz w:val="18"/>
                <w:szCs w:val="18"/>
              </w:rPr>
              <w:t>-</w:t>
            </w:r>
            <w:r>
              <w:rPr>
                <w:rFonts w:hint="eastAsia"/>
                <w:b/>
                <w:bCs/>
                <w:color w:val="auto"/>
                <w:sz w:val="18"/>
                <w:szCs w:val="18"/>
                <w:lang w:val="en-US" w:eastAsia="zh-CN"/>
              </w:rPr>
              <w:t>1</w:t>
            </w:r>
            <w:r>
              <w:rPr>
                <w:b/>
                <w:bCs/>
                <w:color w:val="auto"/>
                <w:sz w:val="18"/>
                <w:szCs w:val="18"/>
              </w:rPr>
              <w:t xml:space="preserve">    </w:t>
            </w:r>
            <w:r>
              <w:rPr>
                <w:rFonts w:hint="eastAsia"/>
                <w:b/>
                <w:bCs/>
                <w:color w:val="auto"/>
                <w:sz w:val="18"/>
                <w:szCs w:val="18"/>
                <w:lang w:val="en-US" w:eastAsia="zh-CN"/>
              </w:rPr>
              <w:t>废水污染源基本情况</w:t>
            </w:r>
            <w:r>
              <w:rPr>
                <w:b/>
                <w:bCs/>
                <w:color w:val="auto"/>
                <w:sz w:val="18"/>
                <w:szCs w:val="18"/>
              </w:rPr>
              <w:t>表</w:t>
            </w:r>
          </w:p>
          <w:tbl>
            <w:tblPr>
              <w:tblStyle w:val="4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0"/>
              <w:gridCol w:w="643"/>
              <w:gridCol w:w="1823"/>
              <w:gridCol w:w="1546"/>
              <w:gridCol w:w="1486"/>
              <w:gridCol w:w="1948"/>
            </w:tblGrid>
            <w:tr w14:paraId="3C156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7" w:type="pct"/>
                  <w:tcBorders>
                    <w:tl2br w:val="nil"/>
                    <w:tr2bl w:val="nil"/>
                  </w:tcBorders>
                  <w:vAlign w:val="center"/>
                </w:tcPr>
                <w:p w14:paraId="3C1B149E">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序号</w:t>
                  </w:r>
                </w:p>
              </w:tc>
              <w:tc>
                <w:tcPr>
                  <w:tcW w:w="1557" w:type="pct"/>
                  <w:gridSpan w:val="2"/>
                  <w:tcBorders>
                    <w:tl2br w:val="nil"/>
                    <w:tr2bl w:val="nil"/>
                  </w:tcBorders>
                  <w:vAlign w:val="center"/>
                </w:tcPr>
                <w:p w14:paraId="6E434739">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废水类别</w:t>
                  </w:r>
                </w:p>
                <w:p w14:paraId="04865A3F">
                  <w:pPr>
                    <w:adjustRightInd w:val="0"/>
                    <w:snapToGrid w:val="0"/>
                    <w:spacing w:line="280" w:lineRule="exact"/>
                    <w:contextualSpacing/>
                    <w:jc w:val="center"/>
                    <w:textAlignment w:val="baseline"/>
                    <w:rPr>
                      <w:rFonts w:hint="default"/>
                      <w:color w:val="auto"/>
                      <w:sz w:val="18"/>
                      <w:szCs w:val="18"/>
                      <w:lang w:val="en-US" w:eastAsia="zh-CN"/>
                    </w:rPr>
                  </w:pPr>
                </w:p>
              </w:tc>
              <w:tc>
                <w:tcPr>
                  <w:tcW w:w="976" w:type="pct"/>
                  <w:tcBorders>
                    <w:tl2br w:val="nil"/>
                    <w:tr2bl w:val="nil"/>
                  </w:tcBorders>
                  <w:vAlign w:val="center"/>
                </w:tcPr>
                <w:p w14:paraId="1FF07B1E">
                  <w:pPr>
                    <w:adjustRightInd w:val="0"/>
                    <w:snapToGrid w:val="0"/>
                    <w:spacing w:line="280" w:lineRule="exact"/>
                    <w:contextualSpacing/>
                    <w:jc w:val="center"/>
                    <w:textAlignment w:val="baseline"/>
                    <w:rPr>
                      <w:rFonts w:hint="eastAsia"/>
                      <w:color w:val="auto"/>
                      <w:sz w:val="18"/>
                      <w:szCs w:val="18"/>
                      <w:lang w:val="en-US" w:eastAsia="zh-CN"/>
                    </w:rPr>
                  </w:pPr>
                  <w:r>
                    <w:rPr>
                      <w:rFonts w:hint="eastAsia"/>
                      <w:color w:val="auto"/>
                      <w:sz w:val="18"/>
                      <w:szCs w:val="18"/>
                      <w:lang w:val="en-US" w:eastAsia="zh-CN"/>
                    </w:rPr>
                    <w:t>污染物种类</w:t>
                  </w:r>
                </w:p>
              </w:tc>
              <w:tc>
                <w:tcPr>
                  <w:tcW w:w="938" w:type="pct"/>
                  <w:tcBorders>
                    <w:tl2br w:val="nil"/>
                    <w:tr2bl w:val="nil"/>
                  </w:tcBorders>
                  <w:vAlign w:val="center"/>
                </w:tcPr>
                <w:p w14:paraId="6B094BED">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污染治理措施</w:t>
                  </w:r>
                </w:p>
              </w:tc>
              <w:tc>
                <w:tcPr>
                  <w:tcW w:w="1230" w:type="pct"/>
                  <w:tcBorders>
                    <w:tl2br w:val="nil"/>
                    <w:tr2bl w:val="nil"/>
                  </w:tcBorders>
                  <w:vAlign w:val="center"/>
                </w:tcPr>
                <w:p w14:paraId="1A4BA62B">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去向</w:t>
                  </w:r>
                </w:p>
              </w:tc>
            </w:tr>
            <w:tr w14:paraId="212299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7" w:type="pct"/>
                  <w:tcBorders>
                    <w:tl2br w:val="nil"/>
                    <w:tr2bl w:val="nil"/>
                  </w:tcBorders>
                  <w:vAlign w:val="center"/>
                </w:tcPr>
                <w:p w14:paraId="4D366594">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1</w:t>
                  </w:r>
                </w:p>
              </w:tc>
              <w:tc>
                <w:tcPr>
                  <w:tcW w:w="406" w:type="pct"/>
                  <w:vMerge w:val="restart"/>
                  <w:tcBorders>
                    <w:tl2br w:val="nil"/>
                    <w:tr2bl w:val="nil"/>
                  </w:tcBorders>
                  <w:vAlign w:val="center"/>
                </w:tcPr>
                <w:p w14:paraId="2B19968E">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生产废水</w:t>
                  </w:r>
                </w:p>
              </w:tc>
              <w:tc>
                <w:tcPr>
                  <w:tcW w:w="1150" w:type="pct"/>
                  <w:tcBorders>
                    <w:tl2br w:val="nil"/>
                    <w:tr2bl w:val="nil"/>
                  </w:tcBorders>
                  <w:vAlign w:val="center"/>
                </w:tcPr>
                <w:p w14:paraId="7047D7BB">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车间地面冲洗废水</w:t>
                  </w:r>
                  <w:r>
                    <w:rPr>
                      <w:rFonts w:hint="eastAsia"/>
                      <w:bCs/>
                      <w:color w:val="auto"/>
                      <w:sz w:val="18"/>
                      <w:szCs w:val="18"/>
                      <w:lang w:val="en-US" w:eastAsia="zh-CN"/>
                    </w:rPr>
                    <w:t>1308m</w:t>
                  </w:r>
                  <w:r>
                    <w:rPr>
                      <w:rFonts w:hint="eastAsia"/>
                      <w:bCs/>
                      <w:color w:val="auto"/>
                      <w:sz w:val="18"/>
                      <w:szCs w:val="18"/>
                      <w:vertAlign w:val="superscript"/>
                      <w:lang w:val="en-US" w:eastAsia="zh-CN"/>
                    </w:rPr>
                    <w:t>3</w:t>
                  </w:r>
                  <w:r>
                    <w:rPr>
                      <w:rFonts w:hint="eastAsia"/>
                      <w:bCs/>
                      <w:color w:val="auto"/>
                      <w:sz w:val="18"/>
                      <w:szCs w:val="18"/>
                      <w:lang w:val="en-US" w:eastAsia="zh-CN"/>
                    </w:rPr>
                    <w:t>/a</w:t>
                  </w:r>
                </w:p>
              </w:tc>
              <w:tc>
                <w:tcPr>
                  <w:tcW w:w="976" w:type="pct"/>
                  <w:tcBorders>
                    <w:tl2br w:val="nil"/>
                    <w:tr2bl w:val="nil"/>
                  </w:tcBorders>
                  <w:vAlign w:val="center"/>
                </w:tcPr>
                <w:p w14:paraId="76C2AE25">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SS等</w:t>
                  </w:r>
                </w:p>
              </w:tc>
              <w:tc>
                <w:tcPr>
                  <w:tcW w:w="938" w:type="pct"/>
                  <w:vMerge w:val="restart"/>
                  <w:tcBorders>
                    <w:tl2br w:val="nil"/>
                    <w:tr2bl w:val="nil"/>
                  </w:tcBorders>
                  <w:shd w:val="clear" w:color="auto" w:fill="auto"/>
                  <w:vAlign w:val="center"/>
                </w:tcPr>
                <w:p w14:paraId="7BF55134">
                  <w:pPr>
                    <w:adjustRightInd w:val="0"/>
                    <w:snapToGrid w:val="0"/>
                    <w:spacing w:line="280" w:lineRule="exact"/>
                    <w:contextualSpacing/>
                    <w:jc w:val="center"/>
                    <w:textAlignment w:val="baseline"/>
                    <w:rPr>
                      <w:rFonts w:hint="eastAsia"/>
                      <w:color w:val="auto"/>
                      <w:sz w:val="18"/>
                      <w:szCs w:val="18"/>
                      <w:lang w:val="en-US" w:eastAsia="zh-CN"/>
                    </w:rPr>
                  </w:pPr>
                  <w:r>
                    <w:rPr>
                      <w:rFonts w:hint="eastAsia" w:cs="Times New Roman"/>
                      <w:color w:val="auto"/>
                      <w:kern w:val="2"/>
                      <w:sz w:val="18"/>
                      <w:szCs w:val="18"/>
                      <w:lang w:val="en-US" w:eastAsia="zh-CN" w:bidi="ar-SA"/>
                    </w:rPr>
                    <w:t>化粪池</w:t>
                  </w:r>
                </w:p>
              </w:tc>
              <w:tc>
                <w:tcPr>
                  <w:tcW w:w="1230" w:type="pct"/>
                  <w:vMerge w:val="restart"/>
                  <w:tcBorders>
                    <w:tl2br w:val="nil"/>
                    <w:tr2bl w:val="nil"/>
                  </w:tcBorders>
                  <w:shd w:val="clear" w:color="auto" w:fill="auto"/>
                  <w:vAlign w:val="center"/>
                </w:tcPr>
                <w:p w14:paraId="6442050A">
                  <w:pPr>
                    <w:adjustRightInd w:val="0"/>
                    <w:snapToGrid w:val="0"/>
                    <w:spacing w:line="280" w:lineRule="exact"/>
                    <w:contextualSpacing/>
                    <w:jc w:val="center"/>
                    <w:textAlignment w:val="baseline"/>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经各自排污管道收集后，排入收集池，作为补充水，不外排</w:t>
                  </w:r>
                </w:p>
              </w:tc>
            </w:tr>
            <w:tr w14:paraId="3A50B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7" w:type="pct"/>
                  <w:tcBorders>
                    <w:tl2br w:val="nil"/>
                    <w:tr2bl w:val="nil"/>
                  </w:tcBorders>
                  <w:vAlign w:val="center"/>
                </w:tcPr>
                <w:p w14:paraId="0C178DFC">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2</w:t>
                  </w:r>
                </w:p>
              </w:tc>
              <w:tc>
                <w:tcPr>
                  <w:tcW w:w="406" w:type="pct"/>
                  <w:vMerge w:val="continue"/>
                  <w:tcBorders>
                    <w:tl2br w:val="nil"/>
                    <w:tr2bl w:val="nil"/>
                  </w:tcBorders>
                  <w:vAlign w:val="center"/>
                </w:tcPr>
                <w:p w14:paraId="5A03DBFD">
                  <w:pPr>
                    <w:adjustRightInd w:val="0"/>
                    <w:snapToGrid w:val="0"/>
                    <w:spacing w:line="280" w:lineRule="exact"/>
                    <w:contextualSpacing/>
                    <w:jc w:val="center"/>
                    <w:textAlignment w:val="baseline"/>
                    <w:rPr>
                      <w:rFonts w:hint="eastAsia"/>
                      <w:color w:val="auto"/>
                      <w:sz w:val="18"/>
                      <w:szCs w:val="18"/>
                      <w:lang w:val="en-US" w:eastAsia="zh-CN"/>
                    </w:rPr>
                  </w:pPr>
                </w:p>
              </w:tc>
              <w:tc>
                <w:tcPr>
                  <w:tcW w:w="1150" w:type="pct"/>
                  <w:tcBorders>
                    <w:tl2br w:val="nil"/>
                    <w:tr2bl w:val="nil"/>
                  </w:tcBorders>
                  <w:vAlign w:val="center"/>
                </w:tcPr>
                <w:p w14:paraId="3058AB21">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软水制备排水2902.8m</w:t>
                  </w:r>
                  <w:r>
                    <w:rPr>
                      <w:rFonts w:hint="eastAsia"/>
                      <w:color w:val="auto"/>
                      <w:sz w:val="18"/>
                      <w:szCs w:val="18"/>
                      <w:vertAlign w:val="superscript"/>
                      <w:lang w:val="en-US" w:eastAsia="zh-CN"/>
                    </w:rPr>
                    <w:t>3</w:t>
                  </w:r>
                  <w:r>
                    <w:rPr>
                      <w:rFonts w:hint="eastAsia"/>
                      <w:color w:val="auto"/>
                      <w:sz w:val="18"/>
                      <w:szCs w:val="18"/>
                      <w:lang w:val="en-US" w:eastAsia="zh-CN"/>
                    </w:rPr>
                    <w:t>/a</w:t>
                  </w:r>
                </w:p>
              </w:tc>
              <w:tc>
                <w:tcPr>
                  <w:tcW w:w="976" w:type="pct"/>
                  <w:tcBorders>
                    <w:tl2br w:val="nil"/>
                    <w:tr2bl w:val="nil"/>
                  </w:tcBorders>
                  <w:vAlign w:val="center"/>
                </w:tcPr>
                <w:p w14:paraId="66CB5D5F">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SS等</w:t>
                  </w:r>
                </w:p>
              </w:tc>
              <w:tc>
                <w:tcPr>
                  <w:tcW w:w="938" w:type="pct"/>
                  <w:vMerge w:val="continue"/>
                  <w:tcBorders>
                    <w:tl2br w:val="nil"/>
                    <w:tr2bl w:val="nil"/>
                  </w:tcBorders>
                  <w:shd w:val="clear" w:color="auto" w:fill="auto"/>
                  <w:vAlign w:val="center"/>
                </w:tcPr>
                <w:p w14:paraId="4BAC2A3B">
                  <w:pPr>
                    <w:adjustRightInd w:val="0"/>
                    <w:snapToGrid w:val="0"/>
                    <w:spacing w:line="280" w:lineRule="exact"/>
                    <w:contextualSpacing/>
                    <w:jc w:val="center"/>
                    <w:textAlignment w:val="baseline"/>
                    <w:rPr>
                      <w:rFonts w:hint="eastAsia"/>
                      <w:color w:val="auto"/>
                      <w:sz w:val="18"/>
                      <w:szCs w:val="18"/>
                      <w:lang w:val="en-US" w:eastAsia="zh-CN"/>
                    </w:rPr>
                  </w:pPr>
                </w:p>
              </w:tc>
              <w:tc>
                <w:tcPr>
                  <w:tcW w:w="1230" w:type="pct"/>
                  <w:vMerge w:val="continue"/>
                  <w:tcBorders>
                    <w:tl2br w:val="nil"/>
                    <w:tr2bl w:val="nil"/>
                  </w:tcBorders>
                  <w:shd w:val="clear" w:color="auto" w:fill="auto"/>
                  <w:vAlign w:val="center"/>
                </w:tcPr>
                <w:p w14:paraId="212E5586">
                  <w:pPr>
                    <w:adjustRightInd w:val="0"/>
                    <w:snapToGrid w:val="0"/>
                    <w:spacing w:line="280" w:lineRule="exact"/>
                    <w:contextualSpacing/>
                    <w:jc w:val="center"/>
                    <w:textAlignment w:val="baseline"/>
                    <w:rPr>
                      <w:rFonts w:hint="eastAsia"/>
                      <w:color w:val="auto"/>
                      <w:sz w:val="18"/>
                      <w:szCs w:val="18"/>
                      <w:lang w:val="en-US" w:eastAsia="zh-CN"/>
                    </w:rPr>
                  </w:pPr>
                </w:p>
              </w:tc>
            </w:tr>
            <w:tr w14:paraId="535CA5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 w:type="pct"/>
                  <w:tcBorders>
                    <w:tl2br w:val="nil"/>
                    <w:tr2bl w:val="nil"/>
                  </w:tcBorders>
                  <w:shd w:val="clear" w:color="auto" w:fill="auto"/>
                  <w:vAlign w:val="center"/>
                </w:tcPr>
                <w:p w14:paraId="75C40573">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3</w:t>
                  </w:r>
                </w:p>
              </w:tc>
              <w:tc>
                <w:tcPr>
                  <w:tcW w:w="406" w:type="pct"/>
                  <w:vMerge w:val="continue"/>
                  <w:tcBorders>
                    <w:tl2br w:val="nil"/>
                    <w:tr2bl w:val="nil"/>
                  </w:tcBorders>
                  <w:vAlign w:val="center"/>
                </w:tcPr>
                <w:p w14:paraId="78C96AC5">
                  <w:pPr>
                    <w:adjustRightInd w:val="0"/>
                    <w:snapToGrid w:val="0"/>
                    <w:spacing w:line="280" w:lineRule="exact"/>
                    <w:contextualSpacing/>
                    <w:jc w:val="center"/>
                    <w:textAlignment w:val="baseline"/>
                    <w:rPr>
                      <w:rFonts w:hint="eastAsia"/>
                      <w:color w:val="auto"/>
                      <w:sz w:val="18"/>
                      <w:szCs w:val="18"/>
                      <w:lang w:val="en-US" w:eastAsia="zh-CN"/>
                    </w:rPr>
                  </w:pPr>
                </w:p>
              </w:tc>
              <w:tc>
                <w:tcPr>
                  <w:tcW w:w="1150" w:type="pct"/>
                  <w:tcBorders>
                    <w:tl2br w:val="nil"/>
                    <w:tr2bl w:val="nil"/>
                  </w:tcBorders>
                  <w:vAlign w:val="center"/>
                </w:tcPr>
                <w:p w14:paraId="02F503FE">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锅炉排水1183m</w:t>
                  </w:r>
                  <w:r>
                    <w:rPr>
                      <w:rFonts w:hint="eastAsia"/>
                      <w:color w:val="auto"/>
                      <w:sz w:val="18"/>
                      <w:szCs w:val="18"/>
                      <w:vertAlign w:val="superscript"/>
                      <w:lang w:val="en-US" w:eastAsia="zh-CN"/>
                    </w:rPr>
                    <w:t>3</w:t>
                  </w:r>
                  <w:r>
                    <w:rPr>
                      <w:rFonts w:hint="eastAsia"/>
                      <w:color w:val="auto"/>
                      <w:sz w:val="18"/>
                      <w:szCs w:val="18"/>
                      <w:lang w:val="en-US" w:eastAsia="zh-CN"/>
                    </w:rPr>
                    <w:t>/a</w:t>
                  </w:r>
                </w:p>
              </w:tc>
              <w:tc>
                <w:tcPr>
                  <w:tcW w:w="976" w:type="pct"/>
                  <w:tcBorders>
                    <w:tl2br w:val="nil"/>
                    <w:tr2bl w:val="nil"/>
                  </w:tcBorders>
                  <w:vAlign w:val="center"/>
                </w:tcPr>
                <w:p w14:paraId="6428F639">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盐类等</w:t>
                  </w:r>
                </w:p>
              </w:tc>
              <w:tc>
                <w:tcPr>
                  <w:tcW w:w="938" w:type="pct"/>
                  <w:vMerge w:val="continue"/>
                  <w:tcBorders>
                    <w:tl2br w:val="nil"/>
                    <w:tr2bl w:val="nil"/>
                  </w:tcBorders>
                  <w:shd w:val="clear" w:color="auto" w:fill="auto"/>
                  <w:vAlign w:val="center"/>
                </w:tcPr>
                <w:p w14:paraId="75CEEBC7">
                  <w:pPr>
                    <w:adjustRightInd w:val="0"/>
                    <w:snapToGrid w:val="0"/>
                    <w:spacing w:line="280" w:lineRule="exact"/>
                    <w:contextualSpacing/>
                    <w:jc w:val="center"/>
                    <w:textAlignment w:val="baseline"/>
                    <w:rPr>
                      <w:rFonts w:hint="eastAsia"/>
                      <w:color w:val="auto"/>
                      <w:sz w:val="18"/>
                      <w:szCs w:val="18"/>
                      <w:lang w:val="en-US" w:eastAsia="zh-CN"/>
                    </w:rPr>
                  </w:pPr>
                </w:p>
              </w:tc>
              <w:tc>
                <w:tcPr>
                  <w:tcW w:w="1230" w:type="pct"/>
                  <w:vMerge w:val="continue"/>
                  <w:tcBorders>
                    <w:tl2br w:val="nil"/>
                    <w:tr2bl w:val="nil"/>
                  </w:tcBorders>
                  <w:shd w:val="clear" w:color="auto" w:fill="auto"/>
                  <w:vAlign w:val="center"/>
                </w:tcPr>
                <w:p w14:paraId="782BBF81">
                  <w:pPr>
                    <w:adjustRightInd w:val="0"/>
                    <w:snapToGrid w:val="0"/>
                    <w:spacing w:line="280" w:lineRule="exact"/>
                    <w:contextualSpacing/>
                    <w:jc w:val="center"/>
                    <w:textAlignment w:val="baseline"/>
                    <w:rPr>
                      <w:rFonts w:hint="eastAsia"/>
                      <w:color w:val="auto"/>
                      <w:sz w:val="18"/>
                      <w:szCs w:val="18"/>
                      <w:lang w:val="en-US" w:eastAsia="zh-CN"/>
                    </w:rPr>
                  </w:pPr>
                </w:p>
              </w:tc>
            </w:tr>
            <w:tr w14:paraId="16CE0B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7" w:type="pct"/>
                  <w:tcBorders>
                    <w:tl2br w:val="nil"/>
                    <w:tr2bl w:val="nil"/>
                  </w:tcBorders>
                  <w:shd w:val="clear" w:color="auto" w:fill="auto"/>
                  <w:vAlign w:val="center"/>
                </w:tcPr>
                <w:p w14:paraId="39F9A48D">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w:t>
                  </w:r>
                </w:p>
              </w:tc>
              <w:tc>
                <w:tcPr>
                  <w:tcW w:w="406" w:type="pct"/>
                  <w:tcBorders>
                    <w:tl2br w:val="nil"/>
                    <w:tr2bl w:val="nil"/>
                  </w:tcBorders>
                  <w:vAlign w:val="center"/>
                </w:tcPr>
                <w:p w14:paraId="484A1B15">
                  <w:pPr>
                    <w:adjustRightInd w:val="0"/>
                    <w:snapToGrid w:val="0"/>
                    <w:spacing w:line="280" w:lineRule="exact"/>
                    <w:contextualSpacing/>
                    <w:jc w:val="center"/>
                    <w:textAlignment w:val="baseline"/>
                    <w:rPr>
                      <w:rFonts w:hint="eastAsia"/>
                      <w:color w:val="auto"/>
                      <w:sz w:val="18"/>
                      <w:szCs w:val="18"/>
                      <w:lang w:val="en-US" w:eastAsia="zh-CN"/>
                    </w:rPr>
                  </w:pPr>
                  <w:r>
                    <w:rPr>
                      <w:rFonts w:hint="eastAsia"/>
                      <w:color w:val="auto"/>
                      <w:sz w:val="18"/>
                      <w:szCs w:val="18"/>
                      <w:lang w:val="en-US" w:eastAsia="zh-CN"/>
                    </w:rPr>
                    <w:t>生活污水</w:t>
                  </w:r>
                </w:p>
              </w:tc>
              <w:tc>
                <w:tcPr>
                  <w:tcW w:w="1150" w:type="pct"/>
                  <w:tcBorders>
                    <w:tl2br w:val="nil"/>
                    <w:tr2bl w:val="nil"/>
                  </w:tcBorders>
                  <w:vAlign w:val="center"/>
                </w:tcPr>
                <w:p w14:paraId="7FC99329">
                  <w:pPr>
                    <w:adjustRightInd w:val="0"/>
                    <w:snapToGrid w:val="0"/>
                    <w:spacing w:line="280" w:lineRule="exact"/>
                    <w:contextualSpacing/>
                    <w:jc w:val="center"/>
                    <w:textAlignment w:val="baseline"/>
                    <w:rPr>
                      <w:rFonts w:hint="eastAsia"/>
                      <w:color w:val="auto"/>
                      <w:sz w:val="18"/>
                      <w:szCs w:val="18"/>
                      <w:lang w:val="en-US" w:eastAsia="zh-CN"/>
                    </w:rPr>
                  </w:pPr>
                  <w:r>
                    <w:rPr>
                      <w:rFonts w:hint="eastAsia"/>
                      <w:color w:val="auto"/>
                      <w:sz w:val="18"/>
                      <w:szCs w:val="18"/>
                      <w:lang w:val="en-US" w:eastAsia="zh-CN"/>
                    </w:rPr>
                    <w:t>生活污水1200m</w:t>
                  </w:r>
                  <w:r>
                    <w:rPr>
                      <w:rFonts w:hint="eastAsia"/>
                      <w:color w:val="auto"/>
                      <w:sz w:val="18"/>
                      <w:szCs w:val="18"/>
                      <w:vertAlign w:val="superscript"/>
                      <w:lang w:val="en-US" w:eastAsia="zh-CN"/>
                    </w:rPr>
                    <w:t>3</w:t>
                  </w:r>
                  <w:r>
                    <w:rPr>
                      <w:rFonts w:hint="eastAsia"/>
                      <w:color w:val="auto"/>
                      <w:sz w:val="18"/>
                      <w:szCs w:val="18"/>
                      <w:lang w:val="en-US" w:eastAsia="zh-CN"/>
                    </w:rPr>
                    <w:t>/a</w:t>
                  </w:r>
                </w:p>
              </w:tc>
              <w:tc>
                <w:tcPr>
                  <w:tcW w:w="976" w:type="pct"/>
                  <w:tcBorders>
                    <w:tl2br w:val="nil"/>
                    <w:tr2bl w:val="nil"/>
                  </w:tcBorders>
                  <w:vAlign w:val="center"/>
                </w:tcPr>
                <w:p w14:paraId="214CDBF0">
                  <w:pPr>
                    <w:adjustRightInd w:val="0"/>
                    <w:snapToGrid w:val="0"/>
                    <w:spacing w:line="280" w:lineRule="exact"/>
                    <w:contextualSpacing/>
                    <w:jc w:val="center"/>
                    <w:textAlignment w:val="baseline"/>
                    <w:rPr>
                      <w:rFonts w:hint="eastAsia"/>
                      <w:color w:val="auto"/>
                      <w:sz w:val="18"/>
                      <w:szCs w:val="18"/>
                      <w:lang w:val="en-US" w:eastAsia="zh-CN"/>
                    </w:rPr>
                  </w:pPr>
                  <w:r>
                    <w:rPr>
                      <w:rFonts w:hint="eastAsia"/>
                      <w:color w:val="auto"/>
                      <w:sz w:val="18"/>
                      <w:szCs w:val="18"/>
                      <w:lang w:val="en-US" w:eastAsia="zh-CN"/>
                    </w:rPr>
                    <w:t>氨氮、COD、BOD</w:t>
                  </w:r>
                  <w:r>
                    <w:rPr>
                      <w:rFonts w:hint="eastAsia"/>
                      <w:color w:val="auto"/>
                      <w:sz w:val="18"/>
                      <w:szCs w:val="18"/>
                      <w:vertAlign w:val="subscript"/>
                      <w:lang w:val="en-US" w:eastAsia="zh-CN"/>
                    </w:rPr>
                    <w:t>5</w:t>
                  </w:r>
                  <w:r>
                    <w:rPr>
                      <w:rFonts w:hint="eastAsia"/>
                      <w:color w:val="auto"/>
                      <w:sz w:val="18"/>
                      <w:szCs w:val="18"/>
                      <w:lang w:val="en-US" w:eastAsia="zh-CN"/>
                    </w:rPr>
                    <w:t>、SS等</w:t>
                  </w:r>
                </w:p>
              </w:tc>
              <w:tc>
                <w:tcPr>
                  <w:tcW w:w="938" w:type="pct"/>
                  <w:vMerge w:val="continue"/>
                  <w:tcBorders>
                    <w:tl2br w:val="nil"/>
                    <w:tr2bl w:val="nil"/>
                  </w:tcBorders>
                  <w:shd w:val="clear" w:color="auto" w:fill="auto"/>
                  <w:vAlign w:val="center"/>
                </w:tcPr>
                <w:p w14:paraId="0FCF307C">
                  <w:pPr>
                    <w:adjustRightInd w:val="0"/>
                    <w:snapToGrid w:val="0"/>
                    <w:spacing w:line="280" w:lineRule="exact"/>
                    <w:contextualSpacing/>
                    <w:jc w:val="center"/>
                    <w:textAlignment w:val="baseline"/>
                    <w:rPr>
                      <w:rFonts w:hint="eastAsia"/>
                      <w:color w:val="auto"/>
                      <w:sz w:val="18"/>
                      <w:szCs w:val="18"/>
                      <w:lang w:val="en-US" w:eastAsia="zh-CN"/>
                    </w:rPr>
                  </w:pPr>
                </w:p>
              </w:tc>
              <w:tc>
                <w:tcPr>
                  <w:tcW w:w="1230" w:type="pct"/>
                  <w:vMerge w:val="continue"/>
                  <w:tcBorders>
                    <w:tl2br w:val="nil"/>
                    <w:tr2bl w:val="nil"/>
                  </w:tcBorders>
                  <w:shd w:val="clear" w:color="auto" w:fill="auto"/>
                  <w:vAlign w:val="center"/>
                </w:tcPr>
                <w:p w14:paraId="1F82EBD6">
                  <w:pPr>
                    <w:adjustRightInd w:val="0"/>
                    <w:snapToGrid w:val="0"/>
                    <w:spacing w:line="280" w:lineRule="exact"/>
                    <w:contextualSpacing/>
                    <w:jc w:val="center"/>
                    <w:textAlignment w:val="baseline"/>
                    <w:rPr>
                      <w:rFonts w:hint="eastAsia"/>
                      <w:color w:val="auto"/>
                      <w:sz w:val="18"/>
                      <w:szCs w:val="18"/>
                      <w:lang w:val="en-US" w:eastAsia="zh-CN"/>
                    </w:rPr>
                  </w:pPr>
                </w:p>
              </w:tc>
            </w:tr>
            <w:tr w14:paraId="5A8F24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297" w:type="pct"/>
                  <w:tcBorders>
                    <w:tl2br w:val="nil"/>
                    <w:tr2bl w:val="nil"/>
                  </w:tcBorders>
                  <w:shd w:val="clear" w:color="auto" w:fill="auto"/>
                  <w:vAlign w:val="center"/>
                </w:tcPr>
                <w:p w14:paraId="697B57A6">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06" w:type="pct"/>
                  <w:tcBorders>
                    <w:tl2br w:val="nil"/>
                    <w:tr2bl w:val="nil"/>
                  </w:tcBorders>
                  <w:vAlign w:val="center"/>
                </w:tcPr>
                <w:p w14:paraId="4D33BC25">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食堂污水</w:t>
                  </w:r>
                </w:p>
              </w:tc>
              <w:tc>
                <w:tcPr>
                  <w:tcW w:w="1150" w:type="pct"/>
                  <w:tcBorders>
                    <w:tl2br w:val="nil"/>
                    <w:tr2bl w:val="nil"/>
                  </w:tcBorders>
                  <w:shd w:val="clear" w:color="auto" w:fill="auto"/>
                  <w:vAlign w:val="center"/>
                </w:tcPr>
                <w:p w14:paraId="69AFE50C">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食堂废水240m</w:t>
                  </w:r>
                  <w:r>
                    <w:rPr>
                      <w:rFonts w:hint="eastAsia"/>
                      <w:color w:val="auto"/>
                      <w:sz w:val="18"/>
                      <w:szCs w:val="18"/>
                      <w:vertAlign w:val="superscript"/>
                      <w:lang w:val="en-US" w:eastAsia="zh-CN"/>
                    </w:rPr>
                    <w:t>3</w:t>
                  </w:r>
                  <w:r>
                    <w:rPr>
                      <w:rFonts w:hint="eastAsia"/>
                      <w:color w:val="auto"/>
                      <w:sz w:val="18"/>
                      <w:szCs w:val="18"/>
                      <w:lang w:val="en-US" w:eastAsia="zh-CN"/>
                    </w:rPr>
                    <w:t>/a</w:t>
                  </w:r>
                </w:p>
              </w:tc>
              <w:tc>
                <w:tcPr>
                  <w:tcW w:w="976" w:type="pct"/>
                  <w:tcBorders>
                    <w:tl2br w:val="nil"/>
                    <w:tr2bl w:val="nil"/>
                  </w:tcBorders>
                  <w:shd w:val="clear" w:color="auto" w:fill="auto"/>
                  <w:vAlign w:val="center"/>
                </w:tcPr>
                <w:p w14:paraId="6EE67FE0">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动植物油、氨氮、COD、BOD</w:t>
                  </w:r>
                  <w:r>
                    <w:rPr>
                      <w:rFonts w:hint="eastAsia"/>
                      <w:color w:val="auto"/>
                      <w:sz w:val="18"/>
                      <w:szCs w:val="18"/>
                      <w:vertAlign w:val="subscript"/>
                      <w:lang w:val="en-US" w:eastAsia="zh-CN"/>
                    </w:rPr>
                    <w:t>5</w:t>
                  </w:r>
                  <w:r>
                    <w:rPr>
                      <w:rFonts w:hint="eastAsia"/>
                      <w:color w:val="auto"/>
                      <w:sz w:val="18"/>
                      <w:szCs w:val="18"/>
                      <w:lang w:val="en-US" w:eastAsia="zh-CN"/>
                    </w:rPr>
                    <w:t>、SS等</w:t>
                  </w:r>
                </w:p>
              </w:tc>
              <w:tc>
                <w:tcPr>
                  <w:tcW w:w="938" w:type="pct"/>
                  <w:tcBorders>
                    <w:tl2br w:val="nil"/>
                    <w:tr2bl w:val="nil"/>
                  </w:tcBorders>
                  <w:shd w:val="clear" w:color="auto" w:fill="auto"/>
                  <w:vAlign w:val="center"/>
                </w:tcPr>
                <w:p w14:paraId="3AD371C0">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隔油池、化粪池</w:t>
                  </w:r>
                </w:p>
              </w:tc>
              <w:tc>
                <w:tcPr>
                  <w:tcW w:w="1230" w:type="pct"/>
                  <w:vMerge w:val="continue"/>
                  <w:tcBorders>
                    <w:tl2br w:val="nil"/>
                    <w:tr2bl w:val="nil"/>
                  </w:tcBorders>
                  <w:shd w:val="clear" w:color="auto" w:fill="auto"/>
                  <w:vAlign w:val="center"/>
                </w:tcPr>
                <w:p w14:paraId="2FF0DE39">
                  <w:pPr>
                    <w:adjustRightInd w:val="0"/>
                    <w:snapToGrid w:val="0"/>
                    <w:spacing w:line="280" w:lineRule="exact"/>
                    <w:contextualSpacing/>
                    <w:jc w:val="center"/>
                    <w:textAlignment w:val="baseline"/>
                    <w:rPr>
                      <w:rFonts w:hint="eastAsia" w:ascii="Times New Roman" w:hAnsi="Times New Roman" w:eastAsia="宋体" w:cs="Times New Roman"/>
                      <w:color w:val="auto"/>
                      <w:kern w:val="2"/>
                      <w:sz w:val="18"/>
                      <w:szCs w:val="18"/>
                      <w:lang w:val="en-US" w:eastAsia="zh-CN" w:bidi="ar-SA"/>
                    </w:rPr>
                  </w:pPr>
                </w:p>
              </w:tc>
            </w:tr>
            <w:tr w14:paraId="642D7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97" w:type="pct"/>
                  <w:tcBorders>
                    <w:tl2br w:val="nil"/>
                    <w:tr2bl w:val="nil"/>
                  </w:tcBorders>
                  <w:vAlign w:val="center"/>
                </w:tcPr>
                <w:p w14:paraId="3726BBE3">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6</w:t>
                  </w:r>
                </w:p>
              </w:tc>
              <w:tc>
                <w:tcPr>
                  <w:tcW w:w="406" w:type="pct"/>
                  <w:vMerge w:val="restart"/>
                  <w:tcBorders>
                    <w:tl2br w:val="nil"/>
                    <w:tr2bl w:val="nil"/>
                  </w:tcBorders>
                  <w:vAlign w:val="center"/>
                </w:tcPr>
                <w:p w14:paraId="14153FD5">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其他废水</w:t>
                  </w:r>
                </w:p>
              </w:tc>
              <w:tc>
                <w:tcPr>
                  <w:tcW w:w="1150" w:type="pct"/>
                  <w:tcBorders>
                    <w:tl2br w:val="nil"/>
                    <w:tr2bl w:val="nil"/>
                  </w:tcBorders>
                  <w:vAlign w:val="center"/>
                </w:tcPr>
                <w:p w14:paraId="0138D892">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砖石加工除尘废水</w:t>
                  </w:r>
                </w:p>
              </w:tc>
              <w:tc>
                <w:tcPr>
                  <w:tcW w:w="976" w:type="pct"/>
                  <w:tcBorders>
                    <w:tl2br w:val="nil"/>
                    <w:tr2bl w:val="nil"/>
                  </w:tcBorders>
                  <w:vAlign w:val="center"/>
                </w:tcPr>
                <w:p w14:paraId="786BB5DF">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SS等</w:t>
                  </w:r>
                </w:p>
              </w:tc>
              <w:tc>
                <w:tcPr>
                  <w:tcW w:w="938" w:type="pct"/>
                  <w:tcBorders>
                    <w:tl2br w:val="nil"/>
                    <w:tr2bl w:val="nil"/>
                  </w:tcBorders>
                  <w:shd w:val="clear" w:color="auto" w:fill="auto"/>
                  <w:vAlign w:val="center"/>
                </w:tcPr>
                <w:p w14:paraId="01AE1E23">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沉淀池</w:t>
                  </w:r>
                </w:p>
              </w:tc>
              <w:tc>
                <w:tcPr>
                  <w:tcW w:w="1230" w:type="pct"/>
                  <w:tcBorders>
                    <w:tl2br w:val="nil"/>
                    <w:tr2bl w:val="nil"/>
                  </w:tcBorders>
                  <w:shd w:val="clear" w:color="auto" w:fill="auto"/>
                  <w:vAlign w:val="center"/>
                </w:tcPr>
                <w:p w14:paraId="77EDBCD0">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经沉淀后循环使用，不外排</w:t>
                  </w:r>
                </w:p>
              </w:tc>
            </w:tr>
            <w:tr w14:paraId="69D7B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97" w:type="pct"/>
                  <w:tcBorders>
                    <w:tl2br w:val="nil"/>
                    <w:tr2bl w:val="nil"/>
                  </w:tcBorders>
                  <w:vAlign w:val="center"/>
                </w:tcPr>
                <w:p w14:paraId="01EB2F5B">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7</w:t>
                  </w:r>
                </w:p>
              </w:tc>
              <w:tc>
                <w:tcPr>
                  <w:tcW w:w="406" w:type="pct"/>
                  <w:vMerge w:val="continue"/>
                  <w:tcBorders>
                    <w:tl2br w:val="nil"/>
                    <w:tr2bl w:val="nil"/>
                  </w:tcBorders>
                  <w:vAlign w:val="center"/>
                </w:tcPr>
                <w:p w14:paraId="49F3F818">
                  <w:pPr>
                    <w:adjustRightInd w:val="0"/>
                    <w:snapToGrid w:val="0"/>
                    <w:spacing w:line="280" w:lineRule="exact"/>
                    <w:contextualSpacing/>
                    <w:jc w:val="center"/>
                    <w:textAlignment w:val="baseline"/>
                    <w:rPr>
                      <w:rFonts w:hint="eastAsia"/>
                      <w:color w:val="auto"/>
                      <w:sz w:val="18"/>
                      <w:szCs w:val="18"/>
                      <w:lang w:val="en-US" w:eastAsia="zh-CN"/>
                    </w:rPr>
                  </w:pPr>
                </w:p>
              </w:tc>
              <w:tc>
                <w:tcPr>
                  <w:tcW w:w="1150" w:type="pct"/>
                  <w:tcBorders>
                    <w:tl2br w:val="nil"/>
                    <w:tr2bl w:val="nil"/>
                  </w:tcBorders>
                  <w:vAlign w:val="center"/>
                </w:tcPr>
                <w:p w14:paraId="5DD77E47">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初期雨水</w:t>
                  </w:r>
                </w:p>
              </w:tc>
              <w:tc>
                <w:tcPr>
                  <w:tcW w:w="976" w:type="pct"/>
                  <w:tcBorders>
                    <w:tl2br w:val="nil"/>
                    <w:tr2bl w:val="nil"/>
                  </w:tcBorders>
                  <w:vAlign w:val="center"/>
                </w:tcPr>
                <w:p w14:paraId="499859C1">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SS等</w:t>
                  </w:r>
                </w:p>
              </w:tc>
              <w:tc>
                <w:tcPr>
                  <w:tcW w:w="938" w:type="pct"/>
                  <w:tcBorders>
                    <w:tl2br w:val="nil"/>
                    <w:tr2bl w:val="nil"/>
                  </w:tcBorders>
                  <w:shd w:val="clear" w:color="auto" w:fill="auto"/>
                  <w:vAlign w:val="center"/>
                </w:tcPr>
                <w:p w14:paraId="0632B1FA">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初期雨水收集池</w:t>
                  </w:r>
                </w:p>
              </w:tc>
              <w:tc>
                <w:tcPr>
                  <w:tcW w:w="1230" w:type="pct"/>
                  <w:tcBorders>
                    <w:tl2br w:val="nil"/>
                    <w:tr2bl w:val="nil"/>
                  </w:tcBorders>
                  <w:shd w:val="clear" w:color="auto" w:fill="auto"/>
                  <w:vAlign w:val="center"/>
                </w:tcPr>
                <w:p w14:paraId="16780060">
                  <w:pPr>
                    <w:adjustRightInd w:val="0"/>
                    <w:snapToGrid w:val="0"/>
                    <w:spacing w:line="280" w:lineRule="exact"/>
                    <w:contextualSpacing/>
                    <w:jc w:val="center"/>
                    <w:textAlignment w:val="baseline"/>
                    <w:rPr>
                      <w:rFonts w:hint="default"/>
                      <w:color w:val="auto"/>
                      <w:sz w:val="18"/>
                      <w:szCs w:val="18"/>
                      <w:lang w:val="en-US" w:eastAsia="zh-CN"/>
                    </w:rPr>
                  </w:pPr>
                  <w:r>
                    <w:rPr>
                      <w:rFonts w:hint="eastAsia"/>
                      <w:color w:val="auto"/>
                      <w:sz w:val="18"/>
                      <w:szCs w:val="18"/>
                      <w:lang w:val="en-US" w:eastAsia="zh-CN"/>
                    </w:rPr>
                    <w:t>经沉淀后回用于厂区绿化，不外排</w:t>
                  </w:r>
                </w:p>
              </w:tc>
            </w:tr>
          </w:tbl>
          <w:p w14:paraId="2E38BE37">
            <w:pPr>
              <w:widowControl/>
              <w:spacing w:line="360" w:lineRule="auto"/>
              <w:ind w:firstLine="420" w:firstLineChars="200"/>
              <w:rPr>
                <w:rFonts w:hint="eastAsia"/>
                <w:color w:val="auto"/>
                <w:szCs w:val="21"/>
              </w:rPr>
            </w:pPr>
            <w:r>
              <w:rPr>
                <w:rFonts w:hint="eastAsia"/>
                <w:color w:val="auto"/>
                <w:szCs w:val="21"/>
              </w:rPr>
              <w:t>项目无废水直接外排</w:t>
            </w:r>
            <w:r>
              <w:rPr>
                <w:rFonts w:hint="eastAsia"/>
                <w:color w:val="auto"/>
                <w:szCs w:val="21"/>
                <w:lang w:val="en-US" w:eastAsia="zh-CN"/>
              </w:rPr>
              <w:t>地表水环境</w:t>
            </w:r>
            <w:r>
              <w:rPr>
                <w:rFonts w:hint="eastAsia"/>
                <w:color w:val="auto"/>
                <w:szCs w:val="21"/>
              </w:rPr>
              <w:t>，对地表水环境影响</w:t>
            </w:r>
            <w:r>
              <w:rPr>
                <w:rFonts w:hint="eastAsia"/>
                <w:color w:val="auto"/>
                <w:szCs w:val="21"/>
                <w:lang w:val="en-US" w:eastAsia="zh-CN"/>
              </w:rPr>
              <w:t>较</w:t>
            </w:r>
            <w:r>
              <w:rPr>
                <w:rFonts w:hint="eastAsia"/>
                <w:color w:val="auto"/>
                <w:szCs w:val="21"/>
              </w:rPr>
              <w:t>小。</w:t>
            </w:r>
          </w:p>
          <w:p w14:paraId="70CB0541">
            <w:pPr>
              <w:widowControl/>
              <w:spacing w:line="360" w:lineRule="auto"/>
              <w:ind w:firstLine="316" w:firstLineChars="150"/>
              <w:rPr>
                <w:rFonts w:hint="eastAsia" w:eastAsia="宋体"/>
                <w:color w:val="auto"/>
                <w:kern w:val="0"/>
                <w:szCs w:val="21"/>
                <w:lang w:val="en-US" w:eastAsia="zh-CN"/>
              </w:rPr>
            </w:pPr>
            <w:r>
              <w:rPr>
                <w:rFonts w:hint="eastAsia"/>
                <w:b/>
                <w:color w:val="auto"/>
                <w:szCs w:val="21"/>
                <w:lang w:val="en-US" w:eastAsia="zh-CN"/>
              </w:rPr>
              <w:t>4.</w:t>
            </w:r>
            <w:r>
              <w:rPr>
                <w:b/>
                <w:color w:val="auto"/>
                <w:szCs w:val="21"/>
              </w:rPr>
              <w:t>3</w:t>
            </w:r>
            <w:r>
              <w:rPr>
                <w:rFonts w:hint="eastAsia"/>
                <w:b/>
                <w:color w:val="auto"/>
                <w:szCs w:val="21"/>
                <w:lang w:val="en-US" w:eastAsia="zh-CN"/>
              </w:rPr>
              <w:t>噪声</w:t>
            </w:r>
          </w:p>
          <w:p w14:paraId="66A1DF60">
            <w:pPr>
              <w:spacing w:line="360" w:lineRule="auto"/>
              <w:ind w:firstLine="420" w:firstLineChars="200"/>
              <w:rPr>
                <w:bCs/>
                <w:color w:val="auto"/>
                <w:szCs w:val="21"/>
              </w:rPr>
            </w:pPr>
            <w:r>
              <w:rPr>
                <w:rFonts w:hint="eastAsia"/>
                <w:bCs/>
                <w:color w:val="auto"/>
                <w:szCs w:val="21"/>
              </w:rPr>
              <w:t>（1）噪声源强及防治措施</w:t>
            </w:r>
          </w:p>
          <w:p w14:paraId="7BAD29FB">
            <w:pPr>
              <w:spacing w:line="360" w:lineRule="auto"/>
              <w:ind w:firstLine="420" w:firstLineChars="200"/>
              <w:rPr>
                <w:rFonts w:hint="eastAsia"/>
                <w:color w:val="auto"/>
                <w:szCs w:val="21"/>
              </w:rPr>
            </w:pPr>
            <w:r>
              <w:rPr>
                <w:rFonts w:hint="eastAsia"/>
                <w:color w:val="auto"/>
                <w:szCs w:val="21"/>
              </w:rPr>
              <w:t>本项目在运行中产生高噪声的设备主要有</w:t>
            </w:r>
            <w:r>
              <w:rPr>
                <w:rFonts w:hint="eastAsia"/>
                <w:color w:val="auto"/>
                <w:szCs w:val="21"/>
                <w:lang w:val="en-US" w:eastAsia="zh-CN"/>
              </w:rPr>
              <w:t>水泵、风机、粉碎机、筛分机</w:t>
            </w:r>
            <w:r>
              <w:rPr>
                <w:rFonts w:hint="eastAsia"/>
                <w:color w:val="auto"/>
                <w:szCs w:val="21"/>
              </w:rPr>
              <w:t>等</w:t>
            </w:r>
            <w:r>
              <w:rPr>
                <w:rFonts w:hint="eastAsia"/>
                <w:color w:val="auto"/>
                <w:szCs w:val="21"/>
                <w:lang w:val="en-US" w:eastAsia="zh-CN"/>
              </w:rPr>
              <w:t>产生的噪声、汽车噪声等，声压级在7</w:t>
            </w:r>
            <w:r>
              <w:rPr>
                <w:rFonts w:hint="default"/>
                <w:color w:val="auto"/>
                <w:szCs w:val="21"/>
                <w:lang w:val="en-US" w:eastAsia="zh-CN"/>
              </w:rPr>
              <w:t>0-</w:t>
            </w:r>
            <w:r>
              <w:rPr>
                <w:rFonts w:hint="eastAsia"/>
                <w:color w:val="auto"/>
                <w:szCs w:val="21"/>
                <w:lang w:val="en-US" w:eastAsia="zh-CN"/>
              </w:rPr>
              <w:t>95</w:t>
            </w:r>
            <w:r>
              <w:rPr>
                <w:rFonts w:hint="default"/>
                <w:color w:val="auto"/>
                <w:szCs w:val="21"/>
                <w:lang w:val="en-US" w:eastAsia="zh-CN"/>
              </w:rPr>
              <w:t>dB(A)</w:t>
            </w:r>
            <w:r>
              <w:rPr>
                <w:rFonts w:hint="eastAsia"/>
                <w:color w:val="auto"/>
                <w:szCs w:val="21"/>
                <w:lang w:val="en-US" w:eastAsia="zh-CN"/>
              </w:rPr>
              <w:t xml:space="preserve">之间。其中固定声源主要为水泵、风机等。 </w:t>
            </w:r>
          </w:p>
          <w:p w14:paraId="06A86867">
            <w:pPr>
              <w:spacing w:line="360" w:lineRule="auto"/>
              <w:ind w:firstLine="420" w:firstLineChars="200"/>
              <w:rPr>
                <w:rFonts w:hint="eastAsia"/>
                <w:color w:val="auto"/>
                <w:szCs w:val="21"/>
              </w:rPr>
            </w:pPr>
            <w:r>
              <w:rPr>
                <w:rFonts w:hint="eastAsia"/>
                <w:color w:val="auto"/>
                <w:szCs w:val="21"/>
                <w:lang w:val="en-US" w:eastAsia="zh-CN"/>
              </w:rPr>
              <w:t xml:space="preserve">为减少营运期噪声对周围环境的影响，环评提出以下噪声污染防治措施： </w:t>
            </w:r>
          </w:p>
          <w:p w14:paraId="5D7FE151">
            <w:pPr>
              <w:spacing w:line="360" w:lineRule="auto"/>
              <w:ind w:firstLine="420" w:firstLineChars="200"/>
              <w:rPr>
                <w:rFonts w:hint="eastAsia"/>
                <w:color w:val="auto"/>
                <w:szCs w:val="21"/>
              </w:rPr>
            </w:pPr>
            <w:r>
              <w:rPr>
                <w:rFonts w:hint="default"/>
                <w:color w:val="auto"/>
                <w:szCs w:val="21"/>
                <w:lang w:val="en-US" w:eastAsia="zh-CN"/>
              </w:rPr>
              <w:t>1</w:t>
            </w:r>
            <w:r>
              <w:rPr>
                <w:rFonts w:hint="eastAsia"/>
                <w:color w:val="auto"/>
                <w:szCs w:val="21"/>
                <w:lang w:val="en-US" w:eastAsia="zh-CN"/>
              </w:rPr>
              <w:t xml:space="preserve">）选用低噪声设备及生产工艺，产噪设备尽量设置在厂房内部，室外布置的振动型产噪设备，如水泵、风机等采取基础减振、加设隔音罩等措施； </w:t>
            </w:r>
          </w:p>
          <w:p w14:paraId="0C6962C4">
            <w:pPr>
              <w:spacing w:line="360" w:lineRule="auto"/>
              <w:ind w:firstLine="420" w:firstLineChars="200"/>
              <w:rPr>
                <w:rFonts w:hint="eastAsia"/>
                <w:color w:val="auto"/>
                <w:szCs w:val="21"/>
                <w:lang w:val="en-US" w:eastAsia="zh-CN"/>
              </w:rPr>
            </w:pPr>
            <w:r>
              <w:rPr>
                <w:rFonts w:hint="default"/>
                <w:color w:val="auto"/>
                <w:szCs w:val="21"/>
                <w:lang w:val="en-US" w:eastAsia="zh-CN"/>
              </w:rPr>
              <w:t>2</w:t>
            </w:r>
            <w:r>
              <w:rPr>
                <w:rFonts w:hint="eastAsia"/>
                <w:color w:val="auto"/>
                <w:szCs w:val="21"/>
                <w:lang w:val="en-US" w:eastAsia="zh-CN"/>
              </w:rPr>
              <w:t xml:space="preserve">）加强生产及设备管理，经常对产噪设备性能进行检查，保持设备平衡，以减少振动产生，平时要对防噪设施经常维护，确保其发挥正常功能。 </w:t>
            </w:r>
          </w:p>
          <w:p w14:paraId="248864BA">
            <w:pPr>
              <w:spacing w:line="360" w:lineRule="auto"/>
              <w:ind w:firstLine="420" w:firstLineChars="200"/>
              <w:rPr>
                <w:rFonts w:hint="eastAsia"/>
                <w:color w:val="auto"/>
                <w:szCs w:val="21"/>
              </w:rPr>
            </w:pPr>
            <w:r>
              <w:rPr>
                <w:rFonts w:hint="default"/>
                <w:color w:val="auto"/>
                <w:szCs w:val="21"/>
                <w:lang w:val="en-US" w:eastAsia="zh-CN"/>
              </w:rPr>
              <w:t>3</w:t>
            </w:r>
            <w:r>
              <w:rPr>
                <w:rFonts w:hint="eastAsia"/>
                <w:color w:val="auto"/>
                <w:szCs w:val="21"/>
                <w:lang w:val="en-US" w:eastAsia="zh-CN"/>
              </w:rPr>
              <w:t xml:space="preserve">）加强对进入项目区车辆管理，要求进入项目区车辆禁鸣喇叭，并设立明显禁鸣牌；建立良好的停车秩序，保持交通通畅，避免由于人流、车流滞留量过大引起交通噪声和喧哗噪声。 </w:t>
            </w:r>
          </w:p>
          <w:p w14:paraId="19494730">
            <w:pPr>
              <w:widowControl/>
              <w:snapToGrid w:val="0"/>
              <w:spacing w:line="360" w:lineRule="auto"/>
              <w:ind w:firstLine="420" w:firstLineChars="200"/>
              <w:rPr>
                <w:bCs/>
                <w:color w:val="auto"/>
                <w:szCs w:val="21"/>
              </w:rPr>
            </w:pPr>
            <w:r>
              <w:rPr>
                <w:rFonts w:hint="default"/>
                <w:color w:val="auto"/>
                <w:szCs w:val="21"/>
                <w:lang w:val="en-US" w:eastAsia="zh-CN"/>
              </w:rPr>
              <w:t>4</w:t>
            </w:r>
            <w:r>
              <w:rPr>
                <w:rFonts w:hint="eastAsia"/>
                <w:color w:val="auto"/>
                <w:szCs w:val="21"/>
                <w:lang w:val="en-US" w:eastAsia="zh-CN"/>
              </w:rPr>
              <w:t>）</w:t>
            </w:r>
            <w:r>
              <w:rPr>
                <w:bCs/>
                <w:color w:val="auto"/>
                <w:szCs w:val="21"/>
              </w:rPr>
              <w:t>绿化</w:t>
            </w:r>
            <w:r>
              <w:rPr>
                <w:rFonts w:hint="eastAsia"/>
                <w:bCs/>
                <w:color w:val="auto"/>
                <w:szCs w:val="21"/>
              </w:rPr>
              <w:t>：</w:t>
            </w:r>
            <w:r>
              <w:rPr>
                <w:rFonts w:hint="eastAsia"/>
                <w:bCs/>
                <w:color w:val="auto"/>
                <w:szCs w:val="21"/>
                <w:lang w:val="en-US" w:eastAsia="zh-CN"/>
              </w:rPr>
              <w:t>厂区设置多处绿化带，处</w:t>
            </w:r>
            <w:r>
              <w:rPr>
                <w:bCs/>
                <w:color w:val="auto"/>
                <w:szCs w:val="21"/>
              </w:rPr>
              <w:t>种植</w:t>
            </w:r>
            <w:r>
              <w:rPr>
                <w:rFonts w:hint="eastAsia"/>
                <w:bCs/>
                <w:color w:val="auto"/>
                <w:szCs w:val="21"/>
                <w:lang w:val="en-US" w:eastAsia="zh-CN"/>
              </w:rPr>
              <w:t>树木及灌草</w:t>
            </w:r>
            <w:r>
              <w:rPr>
                <w:bCs/>
                <w:color w:val="auto"/>
                <w:szCs w:val="21"/>
              </w:rPr>
              <w:t>，降低噪声传播。</w:t>
            </w:r>
          </w:p>
          <w:p w14:paraId="764444F4">
            <w:pPr>
              <w:spacing w:line="360" w:lineRule="auto"/>
              <w:ind w:firstLine="420" w:firstLineChars="200"/>
              <w:rPr>
                <w:rFonts w:hint="eastAsia"/>
                <w:bCs/>
                <w:color w:val="auto"/>
                <w:szCs w:val="21"/>
              </w:rPr>
            </w:pPr>
            <w:r>
              <w:rPr>
                <w:rFonts w:hint="eastAsia"/>
                <w:color w:val="auto"/>
                <w:szCs w:val="21"/>
              </w:rPr>
              <w:t>采取以上措施后，</w:t>
            </w:r>
            <w:r>
              <w:rPr>
                <w:rFonts w:hint="eastAsia"/>
                <w:bCs/>
                <w:color w:val="auto"/>
                <w:szCs w:val="21"/>
              </w:rPr>
              <w:t>项目主要噪声源及源强见表4</w:t>
            </w:r>
            <w:r>
              <w:rPr>
                <w:rFonts w:hint="eastAsia"/>
                <w:bCs/>
                <w:color w:val="auto"/>
                <w:szCs w:val="21"/>
                <w:lang w:val="en-US" w:eastAsia="zh-CN"/>
              </w:rPr>
              <w:t>.3</w:t>
            </w:r>
            <w:r>
              <w:rPr>
                <w:rFonts w:hint="eastAsia"/>
                <w:bCs/>
                <w:color w:val="auto"/>
                <w:szCs w:val="21"/>
              </w:rPr>
              <w:t>-</w:t>
            </w:r>
            <w:r>
              <w:rPr>
                <w:rFonts w:hint="eastAsia"/>
                <w:bCs/>
                <w:color w:val="auto"/>
                <w:szCs w:val="21"/>
                <w:lang w:val="en-US" w:eastAsia="zh-CN"/>
              </w:rPr>
              <w:t>1~4.3-2</w:t>
            </w:r>
            <w:r>
              <w:rPr>
                <w:rFonts w:hint="eastAsia"/>
                <w:bCs/>
                <w:color w:val="auto"/>
                <w:szCs w:val="21"/>
              </w:rPr>
              <w:t>。</w:t>
            </w:r>
          </w:p>
          <w:p w14:paraId="31F089CA">
            <w:pPr>
              <w:pStyle w:val="155"/>
              <w:spacing w:before="0" w:after="0" w:line="240" w:lineRule="auto"/>
              <w:rPr>
                <w:color w:val="auto"/>
                <w:sz w:val="18"/>
                <w:szCs w:val="18"/>
              </w:rPr>
            </w:pPr>
            <w:r>
              <w:rPr>
                <w:color w:val="auto"/>
                <w:sz w:val="18"/>
                <w:szCs w:val="18"/>
              </w:rPr>
              <w:t>表</w:t>
            </w:r>
            <w:r>
              <w:rPr>
                <w:rFonts w:hint="eastAsia"/>
                <w:color w:val="auto"/>
                <w:sz w:val="18"/>
                <w:szCs w:val="18"/>
              </w:rPr>
              <w:t>4</w:t>
            </w:r>
            <w:r>
              <w:rPr>
                <w:rFonts w:hint="eastAsia"/>
                <w:color w:val="auto"/>
                <w:sz w:val="18"/>
                <w:szCs w:val="18"/>
                <w:lang w:val="en-US" w:eastAsia="zh-CN"/>
              </w:rPr>
              <w:t>.3</w:t>
            </w:r>
            <w:r>
              <w:rPr>
                <w:rFonts w:hint="eastAsia"/>
                <w:color w:val="auto"/>
                <w:sz w:val="18"/>
                <w:szCs w:val="18"/>
              </w:rPr>
              <w:t>-</w:t>
            </w:r>
            <w:r>
              <w:rPr>
                <w:rFonts w:hint="eastAsia"/>
                <w:color w:val="auto"/>
                <w:sz w:val="18"/>
                <w:szCs w:val="18"/>
                <w:lang w:val="en-US" w:eastAsia="zh-CN"/>
              </w:rPr>
              <w:t>1</w:t>
            </w:r>
            <w:r>
              <w:rPr>
                <w:rFonts w:hint="eastAsia"/>
                <w:color w:val="auto"/>
                <w:sz w:val="18"/>
                <w:szCs w:val="18"/>
              </w:rPr>
              <w:t xml:space="preserve">  </w:t>
            </w:r>
            <w:r>
              <w:rPr>
                <w:color w:val="auto"/>
                <w:sz w:val="18"/>
                <w:szCs w:val="18"/>
              </w:rPr>
              <w:t xml:space="preserve">  </w:t>
            </w:r>
            <w:r>
              <w:rPr>
                <w:rFonts w:hint="eastAsia"/>
                <w:color w:val="auto"/>
                <w:sz w:val="18"/>
                <w:szCs w:val="18"/>
              </w:rPr>
              <w:t>项目</w:t>
            </w:r>
            <w:r>
              <w:rPr>
                <w:color w:val="auto"/>
                <w:sz w:val="18"/>
                <w:szCs w:val="18"/>
              </w:rPr>
              <w:t>噪声源</w:t>
            </w:r>
            <w:r>
              <w:rPr>
                <w:rFonts w:hint="eastAsia"/>
                <w:color w:val="auto"/>
                <w:sz w:val="18"/>
                <w:szCs w:val="18"/>
              </w:rPr>
              <w:t>强调查清单（室内声源）      单位：dB(A)</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11"/>
              <w:gridCol w:w="357"/>
              <w:gridCol w:w="368"/>
              <w:gridCol w:w="1016"/>
              <w:gridCol w:w="847"/>
              <w:gridCol w:w="415"/>
              <w:gridCol w:w="282"/>
              <w:gridCol w:w="298"/>
              <w:gridCol w:w="530"/>
              <w:gridCol w:w="658"/>
              <w:gridCol w:w="993"/>
              <w:gridCol w:w="847"/>
              <w:gridCol w:w="650"/>
              <w:gridCol w:w="444"/>
            </w:tblGrid>
            <w:tr w14:paraId="1680B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33" w:type="pct"/>
                  <w:vMerge w:val="restart"/>
                  <w:tcBorders>
                    <w:right w:val="single" w:color="auto" w:sz="4" w:space="0"/>
                  </w:tcBorders>
                  <w:vAlign w:val="center"/>
                </w:tcPr>
                <w:p w14:paraId="25A95CFF">
                  <w:pPr>
                    <w:pStyle w:val="223"/>
                    <w:autoSpaceDE/>
                    <w:autoSpaceDN/>
                    <w:snapToGrid w:val="0"/>
                    <w:jc w:val="center"/>
                    <w:rPr>
                      <w:rFonts w:hint="eastAsia" w:eastAsia="宋体"/>
                      <w:color w:val="auto"/>
                      <w:sz w:val="18"/>
                      <w:szCs w:val="18"/>
                      <w:lang w:eastAsia="zh-CN"/>
                    </w:rPr>
                  </w:pPr>
                  <w:r>
                    <w:rPr>
                      <w:rFonts w:hint="eastAsia"/>
                      <w:color w:val="auto"/>
                      <w:sz w:val="18"/>
                      <w:szCs w:val="18"/>
                      <w:lang w:val="en-US" w:eastAsia="zh-CN"/>
                    </w:rPr>
                    <w:t>序号</w:t>
                  </w:r>
                </w:p>
              </w:tc>
              <w:tc>
                <w:tcPr>
                  <w:tcW w:w="225" w:type="pct"/>
                  <w:vMerge w:val="restart"/>
                  <w:tcBorders>
                    <w:left w:val="single" w:color="auto" w:sz="4" w:space="0"/>
                  </w:tcBorders>
                  <w:vAlign w:val="center"/>
                </w:tcPr>
                <w:p w14:paraId="7CD74F1C">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建筑物名称</w:t>
                  </w:r>
                </w:p>
              </w:tc>
              <w:tc>
                <w:tcPr>
                  <w:tcW w:w="232" w:type="pct"/>
                  <w:vMerge w:val="restart"/>
                  <w:vAlign w:val="center"/>
                </w:tcPr>
                <w:p w14:paraId="4A97DB45">
                  <w:pPr>
                    <w:pStyle w:val="223"/>
                    <w:autoSpaceDE/>
                    <w:autoSpaceDN/>
                    <w:snapToGrid w:val="0"/>
                    <w:jc w:val="center"/>
                    <w:rPr>
                      <w:color w:val="auto"/>
                      <w:sz w:val="18"/>
                      <w:szCs w:val="18"/>
                    </w:rPr>
                  </w:pPr>
                  <w:r>
                    <w:rPr>
                      <w:color w:val="auto"/>
                      <w:sz w:val="18"/>
                      <w:szCs w:val="18"/>
                    </w:rPr>
                    <w:t>声源</w:t>
                  </w:r>
                </w:p>
                <w:p w14:paraId="3A6C3B4D">
                  <w:pPr>
                    <w:pStyle w:val="223"/>
                    <w:autoSpaceDE/>
                    <w:autoSpaceDN/>
                    <w:snapToGrid w:val="0"/>
                    <w:jc w:val="center"/>
                    <w:rPr>
                      <w:color w:val="auto"/>
                      <w:sz w:val="18"/>
                      <w:szCs w:val="18"/>
                    </w:rPr>
                  </w:pPr>
                  <w:r>
                    <w:rPr>
                      <w:color w:val="auto"/>
                      <w:sz w:val="18"/>
                      <w:szCs w:val="18"/>
                    </w:rPr>
                    <w:t>名称</w:t>
                  </w:r>
                </w:p>
              </w:tc>
              <w:tc>
                <w:tcPr>
                  <w:tcW w:w="641" w:type="pct"/>
                  <w:vAlign w:val="center"/>
                </w:tcPr>
                <w:p w14:paraId="60DE6ACA">
                  <w:pPr>
                    <w:pStyle w:val="223"/>
                    <w:autoSpaceDE/>
                    <w:autoSpaceDN/>
                    <w:snapToGrid w:val="0"/>
                    <w:jc w:val="center"/>
                    <w:rPr>
                      <w:color w:val="auto"/>
                      <w:sz w:val="18"/>
                      <w:szCs w:val="18"/>
                    </w:rPr>
                  </w:pPr>
                  <w:r>
                    <w:rPr>
                      <w:color w:val="auto"/>
                      <w:sz w:val="18"/>
                      <w:szCs w:val="18"/>
                    </w:rPr>
                    <w:t>声源源强</w:t>
                  </w:r>
                </w:p>
              </w:tc>
              <w:tc>
                <w:tcPr>
                  <w:tcW w:w="534" w:type="pct"/>
                  <w:vMerge w:val="restart"/>
                  <w:vAlign w:val="center"/>
                </w:tcPr>
                <w:p w14:paraId="217307AE">
                  <w:pPr>
                    <w:pStyle w:val="223"/>
                    <w:autoSpaceDE/>
                    <w:autoSpaceDN/>
                    <w:snapToGrid w:val="0"/>
                    <w:jc w:val="center"/>
                    <w:rPr>
                      <w:color w:val="auto"/>
                      <w:sz w:val="18"/>
                      <w:szCs w:val="18"/>
                    </w:rPr>
                  </w:pPr>
                  <w:r>
                    <w:rPr>
                      <w:color w:val="auto"/>
                      <w:sz w:val="18"/>
                      <w:szCs w:val="18"/>
                    </w:rPr>
                    <w:t>声源控制措施</w:t>
                  </w:r>
                </w:p>
              </w:tc>
              <w:tc>
                <w:tcPr>
                  <w:tcW w:w="628" w:type="pct"/>
                  <w:gridSpan w:val="3"/>
                  <w:vAlign w:val="center"/>
                </w:tcPr>
                <w:p w14:paraId="3C4EF3E1">
                  <w:pPr>
                    <w:pStyle w:val="223"/>
                    <w:autoSpaceDE/>
                    <w:autoSpaceDN/>
                    <w:snapToGrid w:val="0"/>
                    <w:jc w:val="center"/>
                    <w:rPr>
                      <w:color w:val="auto"/>
                      <w:sz w:val="18"/>
                      <w:szCs w:val="18"/>
                    </w:rPr>
                  </w:pPr>
                  <w:r>
                    <w:rPr>
                      <w:color w:val="auto"/>
                      <w:sz w:val="18"/>
                      <w:szCs w:val="18"/>
                    </w:rPr>
                    <w:t>空间相对位置/m</w:t>
                  </w:r>
                </w:p>
              </w:tc>
              <w:tc>
                <w:tcPr>
                  <w:tcW w:w="334" w:type="pct"/>
                  <w:vMerge w:val="restart"/>
                  <w:vAlign w:val="center"/>
                </w:tcPr>
                <w:p w14:paraId="4B7F9548">
                  <w:pPr>
                    <w:pStyle w:val="223"/>
                    <w:autoSpaceDE/>
                    <w:autoSpaceDN/>
                    <w:snapToGrid w:val="0"/>
                    <w:jc w:val="center"/>
                    <w:rPr>
                      <w:color w:val="auto"/>
                      <w:sz w:val="18"/>
                      <w:szCs w:val="18"/>
                    </w:rPr>
                  </w:pPr>
                  <w:r>
                    <w:rPr>
                      <w:color w:val="auto"/>
                      <w:sz w:val="18"/>
                      <w:szCs w:val="18"/>
                    </w:rPr>
                    <w:t>距室内边界距离/m</w:t>
                  </w:r>
                </w:p>
              </w:tc>
              <w:tc>
                <w:tcPr>
                  <w:tcW w:w="415" w:type="pct"/>
                  <w:vMerge w:val="restart"/>
                  <w:vAlign w:val="center"/>
                </w:tcPr>
                <w:p w14:paraId="7EC83453">
                  <w:pPr>
                    <w:pStyle w:val="223"/>
                    <w:autoSpaceDE/>
                    <w:autoSpaceDN/>
                    <w:snapToGrid w:val="0"/>
                    <w:jc w:val="center"/>
                    <w:rPr>
                      <w:color w:val="auto"/>
                      <w:sz w:val="18"/>
                      <w:szCs w:val="18"/>
                    </w:rPr>
                  </w:pPr>
                  <w:r>
                    <w:rPr>
                      <w:color w:val="auto"/>
                      <w:sz w:val="18"/>
                      <w:szCs w:val="18"/>
                    </w:rPr>
                    <w:t>室内边界声级</w:t>
                  </w:r>
                </w:p>
                <w:p w14:paraId="55C7E021">
                  <w:pPr>
                    <w:pStyle w:val="223"/>
                    <w:autoSpaceDE/>
                    <w:autoSpaceDN/>
                    <w:snapToGrid w:val="0"/>
                    <w:jc w:val="center"/>
                    <w:rPr>
                      <w:color w:val="auto"/>
                      <w:sz w:val="18"/>
                      <w:szCs w:val="18"/>
                    </w:rPr>
                  </w:pPr>
                  <w:r>
                    <w:rPr>
                      <w:color w:val="auto"/>
                      <w:sz w:val="18"/>
                      <w:szCs w:val="18"/>
                    </w:rPr>
                    <w:t>/dB(A)</w:t>
                  </w:r>
                </w:p>
              </w:tc>
              <w:tc>
                <w:tcPr>
                  <w:tcW w:w="626" w:type="pct"/>
                  <w:vMerge w:val="restart"/>
                  <w:vAlign w:val="center"/>
                </w:tcPr>
                <w:p w14:paraId="45B295FD">
                  <w:pPr>
                    <w:pStyle w:val="223"/>
                    <w:autoSpaceDE/>
                    <w:autoSpaceDN/>
                    <w:snapToGrid w:val="0"/>
                    <w:jc w:val="center"/>
                    <w:rPr>
                      <w:color w:val="auto"/>
                      <w:sz w:val="18"/>
                      <w:szCs w:val="18"/>
                    </w:rPr>
                  </w:pPr>
                  <w:r>
                    <w:rPr>
                      <w:color w:val="auto"/>
                      <w:sz w:val="18"/>
                      <w:szCs w:val="18"/>
                    </w:rPr>
                    <w:t>运行时段</w:t>
                  </w:r>
                </w:p>
              </w:tc>
              <w:tc>
                <w:tcPr>
                  <w:tcW w:w="534" w:type="pct"/>
                  <w:vMerge w:val="restart"/>
                  <w:vAlign w:val="center"/>
                </w:tcPr>
                <w:p w14:paraId="1F06FCBD">
                  <w:pPr>
                    <w:pStyle w:val="223"/>
                    <w:autoSpaceDE/>
                    <w:autoSpaceDN/>
                    <w:snapToGrid w:val="0"/>
                    <w:jc w:val="center"/>
                    <w:rPr>
                      <w:color w:val="auto"/>
                      <w:sz w:val="18"/>
                      <w:szCs w:val="18"/>
                    </w:rPr>
                  </w:pPr>
                  <w:r>
                    <w:rPr>
                      <w:color w:val="auto"/>
                      <w:sz w:val="18"/>
                      <w:szCs w:val="18"/>
                    </w:rPr>
                    <w:t>建筑物插入损失/dB(A)</w:t>
                  </w:r>
                </w:p>
              </w:tc>
              <w:tc>
                <w:tcPr>
                  <w:tcW w:w="690" w:type="pct"/>
                  <w:gridSpan w:val="2"/>
                  <w:vAlign w:val="center"/>
                </w:tcPr>
                <w:p w14:paraId="34A901C3">
                  <w:pPr>
                    <w:pStyle w:val="223"/>
                    <w:autoSpaceDE/>
                    <w:autoSpaceDN/>
                    <w:snapToGrid w:val="0"/>
                    <w:jc w:val="center"/>
                    <w:rPr>
                      <w:color w:val="auto"/>
                      <w:sz w:val="18"/>
                      <w:szCs w:val="18"/>
                    </w:rPr>
                  </w:pPr>
                  <w:r>
                    <w:rPr>
                      <w:color w:val="auto"/>
                      <w:sz w:val="18"/>
                      <w:szCs w:val="18"/>
                    </w:rPr>
                    <w:t>建筑物外</w:t>
                  </w:r>
                </w:p>
                <w:p w14:paraId="2F1DA136">
                  <w:pPr>
                    <w:pStyle w:val="223"/>
                    <w:autoSpaceDE/>
                    <w:autoSpaceDN/>
                    <w:snapToGrid w:val="0"/>
                    <w:jc w:val="center"/>
                    <w:rPr>
                      <w:color w:val="auto"/>
                      <w:sz w:val="18"/>
                      <w:szCs w:val="18"/>
                    </w:rPr>
                  </w:pPr>
                  <w:r>
                    <w:rPr>
                      <w:color w:val="auto"/>
                      <w:sz w:val="18"/>
                      <w:szCs w:val="18"/>
                    </w:rPr>
                    <w:t>噪声</w:t>
                  </w:r>
                </w:p>
              </w:tc>
            </w:tr>
            <w:tr w14:paraId="10BAB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33" w:type="pct"/>
                  <w:vMerge w:val="continue"/>
                  <w:tcBorders>
                    <w:right w:val="single" w:color="auto" w:sz="4" w:space="0"/>
                  </w:tcBorders>
                  <w:vAlign w:val="center"/>
                </w:tcPr>
                <w:p w14:paraId="7A8881FD">
                  <w:pPr>
                    <w:adjustRightInd w:val="0"/>
                    <w:snapToGrid w:val="0"/>
                    <w:jc w:val="center"/>
                    <w:rPr>
                      <w:color w:val="auto"/>
                      <w:sz w:val="18"/>
                      <w:szCs w:val="18"/>
                    </w:rPr>
                  </w:pPr>
                </w:p>
              </w:tc>
              <w:tc>
                <w:tcPr>
                  <w:tcW w:w="225" w:type="pct"/>
                  <w:vMerge w:val="continue"/>
                  <w:tcBorders>
                    <w:left w:val="single" w:color="auto" w:sz="4" w:space="0"/>
                  </w:tcBorders>
                  <w:vAlign w:val="center"/>
                </w:tcPr>
                <w:p w14:paraId="00D96651">
                  <w:pPr>
                    <w:adjustRightInd w:val="0"/>
                    <w:snapToGrid w:val="0"/>
                    <w:jc w:val="center"/>
                    <w:rPr>
                      <w:color w:val="auto"/>
                      <w:sz w:val="18"/>
                      <w:szCs w:val="18"/>
                    </w:rPr>
                  </w:pPr>
                </w:p>
              </w:tc>
              <w:tc>
                <w:tcPr>
                  <w:tcW w:w="232" w:type="pct"/>
                  <w:vMerge w:val="continue"/>
                  <w:vAlign w:val="center"/>
                </w:tcPr>
                <w:p w14:paraId="0EAF73F1">
                  <w:pPr>
                    <w:adjustRightInd w:val="0"/>
                    <w:snapToGrid w:val="0"/>
                    <w:jc w:val="center"/>
                    <w:rPr>
                      <w:color w:val="auto"/>
                      <w:sz w:val="18"/>
                      <w:szCs w:val="18"/>
                    </w:rPr>
                  </w:pPr>
                </w:p>
              </w:tc>
              <w:tc>
                <w:tcPr>
                  <w:tcW w:w="641" w:type="pct"/>
                  <w:vAlign w:val="center"/>
                </w:tcPr>
                <w:p w14:paraId="627899A6">
                  <w:pPr>
                    <w:pStyle w:val="223"/>
                    <w:autoSpaceDE/>
                    <w:autoSpaceDN/>
                    <w:snapToGrid w:val="0"/>
                    <w:jc w:val="center"/>
                    <w:rPr>
                      <w:color w:val="auto"/>
                      <w:sz w:val="18"/>
                      <w:szCs w:val="18"/>
                    </w:rPr>
                  </w:pPr>
                  <w:r>
                    <w:rPr>
                      <w:color w:val="auto"/>
                      <w:sz w:val="18"/>
                      <w:szCs w:val="18"/>
                    </w:rPr>
                    <w:t>（声压级/</w:t>
                  </w:r>
                </w:p>
                <w:p w14:paraId="3D9F5647">
                  <w:pPr>
                    <w:pStyle w:val="223"/>
                    <w:autoSpaceDE/>
                    <w:autoSpaceDN/>
                    <w:snapToGrid w:val="0"/>
                    <w:jc w:val="center"/>
                    <w:rPr>
                      <w:color w:val="auto"/>
                      <w:sz w:val="18"/>
                      <w:szCs w:val="18"/>
                    </w:rPr>
                  </w:pPr>
                  <w:r>
                    <w:rPr>
                      <w:color w:val="auto"/>
                      <w:sz w:val="18"/>
                      <w:szCs w:val="18"/>
                    </w:rPr>
                    <w:t>距声源距离）</w:t>
                  </w:r>
                </w:p>
                <w:p w14:paraId="7157F18E">
                  <w:pPr>
                    <w:pStyle w:val="223"/>
                    <w:autoSpaceDE/>
                    <w:autoSpaceDN/>
                    <w:snapToGrid w:val="0"/>
                    <w:jc w:val="center"/>
                    <w:rPr>
                      <w:color w:val="auto"/>
                      <w:sz w:val="18"/>
                      <w:szCs w:val="18"/>
                    </w:rPr>
                  </w:pPr>
                  <w:r>
                    <w:rPr>
                      <w:color w:val="auto"/>
                      <w:sz w:val="18"/>
                      <w:szCs w:val="18"/>
                    </w:rPr>
                    <w:t>/（dB(A)/m）</w:t>
                  </w:r>
                </w:p>
              </w:tc>
              <w:tc>
                <w:tcPr>
                  <w:tcW w:w="534" w:type="pct"/>
                  <w:vMerge w:val="continue"/>
                  <w:vAlign w:val="center"/>
                </w:tcPr>
                <w:p w14:paraId="688CE5FB">
                  <w:pPr>
                    <w:adjustRightInd w:val="0"/>
                    <w:snapToGrid w:val="0"/>
                    <w:jc w:val="center"/>
                    <w:rPr>
                      <w:color w:val="auto"/>
                      <w:sz w:val="18"/>
                      <w:szCs w:val="18"/>
                    </w:rPr>
                  </w:pPr>
                </w:p>
              </w:tc>
              <w:tc>
                <w:tcPr>
                  <w:tcW w:w="262" w:type="pct"/>
                  <w:vAlign w:val="center"/>
                </w:tcPr>
                <w:p w14:paraId="2536E93B">
                  <w:pPr>
                    <w:pStyle w:val="223"/>
                    <w:autoSpaceDE/>
                    <w:autoSpaceDN/>
                    <w:snapToGrid w:val="0"/>
                    <w:jc w:val="center"/>
                    <w:rPr>
                      <w:color w:val="auto"/>
                      <w:sz w:val="18"/>
                      <w:szCs w:val="18"/>
                    </w:rPr>
                  </w:pPr>
                  <w:r>
                    <w:rPr>
                      <w:color w:val="auto"/>
                      <w:sz w:val="18"/>
                      <w:szCs w:val="18"/>
                    </w:rPr>
                    <w:t>X</w:t>
                  </w:r>
                </w:p>
              </w:tc>
              <w:tc>
                <w:tcPr>
                  <w:tcW w:w="178" w:type="pct"/>
                  <w:vAlign w:val="center"/>
                </w:tcPr>
                <w:p w14:paraId="3AC38669">
                  <w:pPr>
                    <w:pStyle w:val="223"/>
                    <w:autoSpaceDE/>
                    <w:autoSpaceDN/>
                    <w:snapToGrid w:val="0"/>
                    <w:jc w:val="center"/>
                    <w:rPr>
                      <w:color w:val="auto"/>
                      <w:sz w:val="18"/>
                      <w:szCs w:val="18"/>
                    </w:rPr>
                  </w:pPr>
                  <w:r>
                    <w:rPr>
                      <w:color w:val="auto"/>
                      <w:sz w:val="18"/>
                      <w:szCs w:val="18"/>
                    </w:rPr>
                    <w:t>Y</w:t>
                  </w:r>
                </w:p>
              </w:tc>
              <w:tc>
                <w:tcPr>
                  <w:tcW w:w="188" w:type="pct"/>
                  <w:vAlign w:val="center"/>
                </w:tcPr>
                <w:p w14:paraId="08D82425">
                  <w:pPr>
                    <w:pStyle w:val="223"/>
                    <w:autoSpaceDE/>
                    <w:autoSpaceDN/>
                    <w:snapToGrid w:val="0"/>
                    <w:jc w:val="center"/>
                    <w:rPr>
                      <w:color w:val="auto"/>
                      <w:sz w:val="18"/>
                      <w:szCs w:val="18"/>
                    </w:rPr>
                  </w:pPr>
                  <w:r>
                    <w:rPr>
                      <w:color w:val="auto"/>
                      <w:sz w:val="18"/>
                      <w:szCs w:val="18"/>
                    </w:rPr>
                    <w:t>Z</w:t>
                  </w:r>
                </w:p>
              </w:tc>
              <w:tc>
                <w:tcPr>
                  <w:tcW w:w="334" w:type="pct"/>
                  <w:vMerge w:val="continue"/>
                  <w:vAlign w:val="center"/>
                </w:tcPr>
                <w:p w14:paraId="081B91C1">
                  <w:pPr>
                    <w:adjustRightInd w:val="0"/>
                    <w:snapToGrid w:val="0"/>
                    <w:jc w:val="center"/>
                    <w:rPr>
                      <w:color w:val="auto"/>
                      <w:sz w:val="18"/>
                      <w:szCs w:val="18"/>
                    </w:rPr>
                  </w:pPr>
                </w:p>
              </w:tc>
              <w:tc>
                <w:tcPr>
                  <w:tcW w:w="415" w:type="pct"/>
                  <w:vMerge w:val="continue"/>
                  <w:vAlign w:val="center"/>
                </w:tcPr>
                <w:p w14:paraId="4282D086">
                  <w:pPr>
                    <w:adjustRightInd w:val="0"/>
                    <w:snapToGrid w:val="0"/>
                    <w:jc w:val="center"/>
                    <w:rPr>
                      <w:color w:val="auto"/>
                      <w:sz w:val="18"/>
                      <w:szCs w:val="18"/>
                    </w:rPr>
                  </w:pPr>
                </w:p>
              </w:tc>
              <w:tc>
                <w:tcPr>
                  <w:tcW w:w="626" w:type="pct"/>
                  <w:vMerge w:val="continue"/>
                  <w:vAlign w:val="center"/>
                </w:tcPr>
                <w:p w14:paraId="50986059">
                  <w:pPr>
                    <w:adjustRightInd w:val="0"/>
                    <w:snapToGrid w:val="0"/>
                    <w:jc w:val="center"/>
                    <w:rPr>
                      <w:color w:val="auto"/>
                      <w:sz w:val="18"/>
                      <w:szCs w:val="18"/>
                    </w:rPr>
                  </w:pPr>
                </w:p>
              </w:tc>
              <w:tc>
                <w:tcPr>
                  <w:tcW w:w="534" w:type="pct"/>
                  <w:vMerge w:val="continue"/>
                  <w:vAlign w:val="center"/>
                </w:tcPr>
                <w:p w14:paraId="3F762941">
                  <w:pPr>
                    <w:adjustRightInd w:val="0"/>
                    <w:snapToGrid w:val="0"/>
                    <w:jc w:val="center"/>
                    <w:rPr>
                      <w:color w:val="auto"/>
                      <w:sz w:val="18"/>
                      <w:szCs w:val="18"/>
                    </w:rPr>
                  </w:pPr>
                </w:p>
              </w:tc>
              <w:tc>
                <w:tcPr>
                  <w:tcW w:w="410" w:type="pct"/>
                  <w:vAlign w:val="center"/>
                </w:tcPr>
                <w:p w14:paraId="7274F86C">
                  <w:pPr>
                    <w:pStyle w:val="223"/>
                    <w:autoSpaceDE/>
                    <w:autoSpaceDN/>
                    <w:snapToGrid w:val="0"/>
                    <w:jc w:val="center"/>
                    <w:rPr>
                      <w:color w:val="auto"/>
                      <w:sz w:val="18"/>
                      <w:szCs w:val="18"/>
                    </w:rPr>
                  </w:pPr>
                  <w:r>
                    <w:rPr>
                      <w:color w:val="auto"/>
                      <w:sz w:val="18"/>
                      <w:szCs w:val="18"/>
                    </w:rPr>
                    <w:t>声压级/dB(A)</w:t>
                  </w:r>
                </w:p>
              </w:tc>
              <w:tc>
                <w:tcPr>
                  <w:tcW w:w="279" w:type="pct"/>
                  <w:vAlign w:val="center"/>
                </w:tcPr>
                <w:p w14:paraId="4C34FF9C">
                  <w:pPr>
                    <w:pStyle w:val="223"/>
                    <w:autoSpaceDE/>
                    <w:autoSpaceDN/>
                    <w:snapToGrid w:val="0"/>
                    <w:jc w:val="center"/>
                    <w:rPr>
                      <w:color w:val="auto"/>
                      <w:sz w:val="18"/>
                      <w:szCs w:val="18"/>
                    </w:rPr>
                  </w:pPr>
                  <w:r>
                    <w:rPr>
                      <w:color w:val="auto"/>
                      <w:sz w:val="18"/>
                      <w:szCs w:val="18"/>
                    </w:rPr>
                    <w:t>建筑物外距离</w:t>
                  </w:r>
                </w:p>
              </w:tc>
            </w:tr>
            <w:tr w14:paraId="451A5F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0A9A28B8">
                  <w:pPr>
                    <w:pStyle w:val="223"/>
                    <w:autoSpaceDE/>
                    <w:autoSpaceDN/>
                    <w:snapToGrid w:val="0"/>
                    <w:jc w:val="center"/>
                    <w:rPr>
                      <w:rFonts w:hint="default" w:eastAsia="宋体"/>
                      <w:color w:val="auto"/>
                      <w:sz w:val="18"/>
                      <w:szCs w:val="18"/>
                      <w:lang w:val="en-US" w:eastAsia="zh-CN"/>
                    </w:rPr>
                  </w:pPr>
                  <w:r>
                    <w:rPr>
                      <w:rFonts w:hint="eastAsia"/>
                      <w:color w:val="auto"/>
                      <w:sz w:val="18"/>
                      <w:szCs w:val="18"/>
                      <w:lang w:val="en-US" w:eastAsia="zh-CN"/>
                    </w:rPr>
                    <w:t>1</w:t>
                  </w:r>
                </w:p>
                <w:p w14:paraId="78D1224D">
                  <w:pPr>
                    <w:pStyle w:val="223"/>
                    <w:autoSpaceDE/>
                    <w:autoSpaceDN/>
                    <w:snapToGrid w:val="0"/>
                    <w:jc w:val="center"/>
                    <w:rPr>
                      <w:rFonts w:hint="eastAsia" w:eastAsia="宋体"/>
                      <w:color w:val="auto"/>
                      <w:sz w:val="18"/>
                      <w:szCs w:val="18"/>
                      <w:lang w:eastAsia="zh-CN"/>
                    </w:rPr>
                  </w:pPr>
                </w:p>
              </w:tc>
              <w:tc>
                <w:tcPr>
                  <w:tcW w:w="225" w:type="pct"/>
                  <w:vMerge w:val="restart"/>
                  <w:tcBorders>
                    <w:left w:val="single" w:color="auto" w:sz="4" w:space="0"/>
                  </w:tcBorders>
                  <w:vAlign w:val="center"/>
                </w:tcPr>
                <w:p w14:paraId="7475D05D">
                  <w:pPr>
                    <w:pStyle w:val="223"/>
                    <w:autoSpaceDE/>
                    <w:autoSpaceDN/>
                    <w:snapToGrid w:val="0"/>
                    <w:jc w:val="center"/>
                    <w:rPr>
                      <w:rFonts w:hint="eastAsia"/>
                      <w:color w:val="auto"/>
                      <w:sz w:val="18"/>
                      <w:szCs w:val="18"/>
                      <w:lang w:val="en-US" w:eastAsia="zh-CN"/>
                    </w:rPr>
                  </w:pPr>
                  <w:r>
                    <w:rPr>
                      <w:rFonts w:hint="eastAsia"/>
                      <w:color w:val="auto"/>
                      <w:sz w:val="18"/>
                      <w:szCs w:val="18"/>
                      <w:lang w:val="en-US" w:eastAsia="zh-CN"/>
                    </w:rPr>
                    <w:t>五</w:t>
                  </w:r>
                </w:p>
                <w:p w14:paraId="16BA0559">
                  <w:pPr>
                    <w:pStyle w:val="223"/>
                    <w:autoSpaceDE/>
                    <w:autoSpaceDN/>
                    <w:snapToGrid w:val="0"/>
                    <w:jc w:val="center"/>
                    <w:rPr>
                      <w:rFonts w:hint="eastAsia"/>
                      <w:color w:val="auto"/>
                      <w:sz w:val="18"/>
                      <w:szCs w:val="18"/>
                      <w:lang w:val="en-US" w:eastAsia="zh-CN"/>
                    </w:rPr>
                  </w:pPr>
                  <w:r>
                    <w:rPr>
                      <w:rFonts w:hint="eastAsia"/>
                      <w:color w:val="auto"/>
                      <w:sz w:val="18"/>
                      <w:szCs w:val="18"/>
                      <w:lang w:val="en-US" w:eastAsia="zh-CN"/>
                    </w:rPr>
                    <w:t>车</w:t>
                  </w:r>
                </w:p>
                <w:p w14:paraId="09054244">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间</w:t>
                  </w:r>
                </w:p>
              </w:tc>
              <w:tc>
                <w:tcPr>
                  <w:tcW w:w="232" w:type="pct"/>
                  <w:vAlign w:val="center"/>
                </w:tcPr>
                <w:p w14:paraId="3E8EE45D">
                  <w:pPr>
                    <w:keepNext w:val="0"/>
                    <w:keepLines w:val="0"/>
                    <w:widowControl/>
                    <w:suppressLineNumbers w:val="0"/>
                    <w:jc w:val="center"/>
                    <w:textAlignment w:val="center"/>
                    <w:rPr>
                      <w:rFonts w:hint="default" w:ascii="Times New Roman" w:hAnsi="Times New Roman" w:eastAsia="宋体" w:cs="Times New Roman"/>
                      <w:color w:val="auto"/>
                      <w:kern w:val="2"/>
                      <w:sz w:val="18"/>
                      <w:szCs w:val="18"/>
                      <w:lang w:val="en-US" w:eastAsia="zh-CN" w:bidi="ar-SA"/>
                    </w:rPr>
                  </w:pPr>
                  <w:r>
                    <w:rPr>
                      <w:rStyle w:val="380"/>
                      <w:rFonts w:hint="eastAsia" w:ascii="Times New Roman" w:hAnsi="Times New Roman" w:cs="Times New Roman"/>
                      <w:color w:val="auto"/>
                      <w:sz w:val="18"/>
                      <w:szCs w:val="18"/>
                      <w:lang w:val="en-US" w:eastAsia="zh-CN" w:bidi="ar"/>
                    </w:rPr>
                    <w:t>龙门吊</w:t>
                  </w:r>
                </w:p>
              </w:tc>
              <w:tc>
                <w:tcPr>
                  <w:tcW w:w="641" w:type="pct"/>
                  <w:vAlign w:val="center"/>
                </w:tcPr>
                <w:p w14:paraId="36F128E1">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85/1</w:t>
                  </w:r>
                </w:p>
              </w:tc>
              <w:tc>
                <w:tcPr>
                  <w:tcW w:w="534" w:type="pct"/>
                  <w:vMerge w:val="restart"/>
                  <w:vAlign w:val="center"/>
                </w:tcPr>
                <w:p w14:paraId="52925006">
                  <w:pPr>
                    <w:adjustRightInd w:val="0"/>
                    <w:snapToGrid w:val="0"/>
                    <w:jc w:val="center"/>
                    <w:rPr>
                      <w:color w:val="auto"/>
                      <w:sz w:val="18"/>
                      <w:szCs w:val="18"/>
                    </w:rPr>
                  </w:pPr>
                  <w:r>
                    <w:rPr>
                      <w:rFonts w:hint="eastAsia"/>
                      <w:color w:val="auto"/>
                      <w:sz w:val="18"/>
                      <w:szCs w:val="18"/>
                    </w:rPr>
                    <w:t>选用低噪设备、隔声、减振</w:t>
                  </w:r>
                </w:p>
              </w:tc>
              <w:tc>
                <w:tcPr>
                  <w:tcW w:w="262" w:type="pct"/>
                  <w:vAlign w:val="center"/>
                </w:tcPr>
                <w:p w14:paraId="53E5C4B5">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101.5</w:t>
                  </w:r>
                </w:p>
              </w:tc>
              <w:tc>
                <w:tcPr>
                  <w:tcW w:w="178" w:type="pct"/>
                  <w:vAlign w:val="center"/>
                </w:tcPr>
                <w:p w14:paraId="283B23FD">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130</w:t>
                  </w:r>
                </w:p>
              </w:tc>
              <w:tc>
                <w:tcPr>
                  <w:tcW w:w="188" w:type="pct"/>
                  <w:vAlign w:val="center"/>
                </w:tcPr>
                <w:p w14:paraId="55E61CDD">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334" w:type="pct"/>
                  <w:vAlign w:val="center"/>
                </w:tcPr>
                <w:p w14:paraId="19A47E17">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w:t>
                  </w:r>
                </w:p>
              </w:tc>
              <w:tc>
                <w:tcPr>
                  <w:tcW w:w="415" w:type="pct"/>
                  <w:vAlign w:val="center"/>
                </w:tcPr>
                <w:p w14:paraId="76D3807C">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75.0</w:t>
                  </w:r>
                </w:p>
              </w:tc>
              <w:tc>
                <w:tcPr>
                  <w:tcW w:w="626" w:type="pct"/>
                  <w:vMerge w:val="restart"/>
                  <w:vAlign w:val="center"/>
                </w:tcPr>
                <w:p w14:paraId="004FB569">
                  <w:pPr>
                    <w:adjustRightInd w:val="0"/>
                    <w:snapToGrid w:val="0"/>
                    <w:jc w:val="center"/>
                    <w:rPr>
                      <w:rFonts w:hint="eastAsia"/>
                      <w:color w:val="auto"/>
                      <w:sz w:val="18"/>
                      <w:szCs w:val="18"/>
                      <w:lang w:val="en-US" w:eastAsia="zh-CN"/>
                    </w:rPr>
                  </w:pPr>
                  <w:r>
                    <w:rPr>
                      <w:rFonts w:hint="eastAsia"/>
                      <w:color w:val="auto"/>
                      <w:sz w:val="18"/>
                      <w:szCs w:val="18"/>
                      <w:lang w:val="en-US" w:eastAsia="zh-CN"/>
                    </w:rPr>
                    <w:t>8h</w:t>
                  </w:r>
                </w:p>
              </w:tc>
              <w:tc>
                <w:tcPr>
                  <w:tcW w:w="534" w:type="pct"/>
                  <w:vAlign w:val="center"/>
                </w:tcPr>
                <w:p w14:paraId="4DD9B0F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vAlign w:val="center"/>
                </w:tcPr>
                <w:p w14:paraId="1170245E">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55.0</w:t>
                  </w:r>
                </w:p>
              </w:tc>
              <w:tc>
                <w:tcPr>
                  <w:tcW w:w="279" w:type="pct"/>
                  <w:vAlign w:val="center"/>
                </w:tcPr>
                <w:p w14:paraId="3ED8E30D">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52AD5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654CF99F">
                  <w:pPr>
                    <w:pStyle w:val="223"/>
                    <w:autoSpaceDE/>
                    <w:autoSpaceDN/>
                    <w:snapToGrid w:val="0"/>
                    <w:jc w:val="center"/>
                    <w:rPr>
                      <w:rFonts w:hint="default" w:eastAsia="宋体"/>
                      <w:color w:val="auto"/>
                      <w:sz w:val="18"/>
                      <w:szCs w:val="18"/>
                      <w:lang w:val="en-US" w:eastAsia="zh-CN"/>
                    </w:rPr>
                  </w:pPr>
                  <w:r>
                    <w:rPr>
                      <w:rFonts w:hint="eastAsia"/>
                      <w:color w:val="auto"/>
                      <w:sz w:val="18"/>
                      <w:szCs w:val="18"/>
                      <w:lang w:val="en-US" w:eastAsia="zh-CN"/>
                    </w:rPr>
                    <w:t>2</w:t>
                  </w:r>
                </w:p>
              </w:tc>
              <w:tc>
                <w:tcPr>
                  <w:tcW w:w="225" w:type="pct"/>
                  <w:vMerge w:val="continue"/>
                  <w:tcBorders>
                    <w:left w:val="single" w:color="auto" w:sz="4" w:space="0"/>
                  </w:tcBorders>
                  <w:vAlign w:val="center"/>
                </w:tcPr>
                <w:p w14:paraId="439F02D0">
                  <w:pPr>
                    <w:pStyle w:val="223"/>
                    <w:autoSpaceDE/>
                    <w:autoSpaceDN/>
                    <w:snapToGrid w:val="0"/>
                    <w:jc w:val="center"/>
                    <w:rPr>
                      <w:rFonts w:hint="eastAsia"/>
                      <w:color w:val="auto"/>
                      <w:sz w:val="18"/>
                      <w:szCs w:val="18"/>
                      <w:lang w:val="en-US" w:eastAsia="zh-CN"/>
                    </w:rPr>
                  </w:pPr>
                </w:p>
              </w:tc>
              <w:tc>
                <w:tcPr>
                  <w:tcW w:w="232" w:type="pct"/>
                  <w:vAlign w:val="center"/>
                </w:tcPr>
                <w:p w14:paraId="11586734">
                  <w:pPr>
                    <w:keepNext w:val="0"/>
                    <w:keepLines w:val="0"/>
                    <w:widowControl/>
                    <w:suppressLineNumbers w:val="0"/>
                    <w:jc w:val="center"/>
                    <w:textAlignment w:val="center"/>
                    <w:rPr>
                      <w:rFonts w:hint="eastAsia" w:cs="Times New Roman"/>
                      <w:color w:val="auto"/>
                      <w:kern w:val="2"/>
                      <w:sz w:val="18"/>
                      <w:szCs w:val="18"/>
                      <w:lang w:val="en-US" w:eastAsia="zh-CN" w:bidi="ar-SA"/>
                    </w:rPr>
                  </w:pPr>
                  <w:r>
                    <w:rPr>
                      <w:rFonts w:hint="eastAsia" w:ascii="Times New Roman" w:hAnsi="Times New Roman" w:eastAsia="宋体-简" w:cs="Times New Roman"/>
                      <w:i w:val="0"/>
                      <w:iCs w:val="0"/>
                      <w:color w:val="auto"/>
                      <w:kern w:val="0"/>
                      <w:sz w:val="18"/>
                      <w:szCs w:val="18"/>
                      <w:u w:val="none"/>
                      <w:lang w:val="en-US" w:eastAsia="zh-CN" w:bidi="ar"/>
                    </w:rPr>
                    <w:t>带锯机</w:t>
                  </w:r>
                </w:p>
              </w:tc>
              <w:tc>
                <w:tcPr>
                  <w:tcW w:w="641" w:type="pct"/>
                  <w:vAlign w:val="center"/>
                </w:tcPr>
                <w:p w14:paraId="079A9CAC">
                  <w:pPr>
                    <w:adjustRightInd w:val="0"/>
                    <w:snapToGrid w:val="0"/>
                    <w:jc w:val="center"/>
                    <w:rPr>
                      <w:rFonts w:hint="eastAsia"/>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55F2DB61">
                  <w:pPr>
                    <w:adjustRightInd w:val="0"/>
                    <w:snapToGrid w:val="0"/>
                    <w:jc w:val="center"/>
                    <w:rPr>
                      <w:rFonts w:hint="eastAsia"/>
                      <w:color w:val="auto"/>
                      <w:sz w:val="18"/>
                      <w:szCs w:val="18"/>
                    </w:rPr>
                  </w:pPr>
                </w:p>
              </w:tc>
              <w:tc>
                <w:tcPr>
                  <w:tcW w:w="262" w:type="pct"/>
                  <w:vAlign w:val="center"/>
                </w:tcPr>
                <w:p w14:paraId="3A19FA8F">
                  <w:pPr>
                    <w:adjustRightInd w:val="0"/>
                    <w:snapToGrid w:val="0"/>
                    <w:jc w:val="center"/>
                    <w:rPr>
                      <w:rFonts w:hint="default"/>
                      <w:color w:val="auto"/>
                      <w:sz w:val="18"/>
                      <w:szCs w:val="18"/>
                      <w:lang w:val="en-US" w:eastAsia="zh-CN"/>
                    </w:rPr>
                  </w:pPr>
                  <w:r>
                    <w:rPr>
                      <w:rFonts w:hint="eastAsia"/>
                      <w:color w:val="auto"/>
                      <w:sz w:val="18"/>
                      <w:szCs w:val="18"/>
                      <w:lang w:val="en-US" w:eastAsia="zh-CN"/>
                    </w:rPr>
                    <w:t>111</w:t>
                  </w:r>
                </w:p>
              </w:tc>
              <w:tc>
                <w:tcPr>
                  <w:tcW w:w="178" w:type="pct"/>
                  <w:vAlign w:val="center"/>
                </w:tcPr>
                <w:p w14:paraId="44117A64">
                  <w:pPr>
                    <w:adjustRightInd w:val="0"/>
                    <w:snapToGrid w:val="0"/>
                    <w:jc w:val="center"/>
                    <w:rPr>
                      <w:rFonts w:hint="default"/>
                      <w:color w:val="auto"/>
                      <w:sz w:val="18"/>
                      <w:szCs w:val="18"/>
                      <w:lang w:val="en-US" w:eastAsia="zh-CN"/>
                    </w:rPr>
                  </w:pPr>
                  <w:r>
                    <w:rPr>
                      <w:rFonts w:hint="eastAsia"/>
                      <w:color w:val="auto"/>
                      <w:sz w:val="18"/>
                      <w:szCs w:val="18"/>
                      <w:lang w:val="en-US" w:eastAsia="zh-CN"/>
                    </w:rPr>
                    <w:t>160</w:t>
                  </w:r>
                </w:p>
              </w:tc>
              <w:tc>
                <w:tcPr>
                  <w:tcW w:w="188" w:type="pct"/>
                  <w:vAlign w:val="center"/>
                </w:tcPr>
                <w:p w14:paraId="107DC107">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3CD5F692">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415" w:type="pct"/>
                  <w:vAlign w:val="center"/>
                </w:tcPr>
                <w:p w14:paraId="4BFF35EE">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6F1D27DB">
                  <w:pPr>
                    <w:adjustRightInd w:val="0"/>
                    <w:snapToGrid w:val="0"/>
                    <w:jc w:val="center"/>
                    <w:rPr>
                      <w:rFonts w:hint="eastAsia"/>
                      <w:color w:val="auto"/>
                      <w:sz w:val="18"/>
                      <w:szCs w:val="18"/>
                      <w:lang w:val="en-US" w:eastAsia="zh-CN"/>
                    </w:rPr>
                  </w:pPr>
                </w:p>
              </w:tc>
              <w:tc>
                <w:tcPr>
                  <w:tcW w:w="534" w:type="pct"/>
                  <w:vAlign w:val="center"/>
                </w:tcPr>
                <w:p w14:paraId="6AAA5E51">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4C961DB7">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27B8DB8E">
                  <w:pPr>
                    <w:adjustRightInd w:val="0"/>
                    <w:snapToGrid w:val="0"/>
                    <w:jc w:val="center"/>
                    <w:rPr>
                      <w:rFonts w:hint="eastAsia"/>
                      <w:color w:val="auto"/>
                      <w:sz w:val="18"/>
                      <w:szCs w:val="18"/>
                    </w:rPr>
                  </w:pPr>
                  <w:r>
                    <w:rPr>
                      <w:rFonts w:hint="eastAsia"/>
                      <w:color w:val="auto"/>
                      <w:sz w:val="18"/>
                      <w:szCs w:val="18"/>
                    </w:rPr>
                    <w:t>1</w:t>
                  </w:r>
                </w:p>
              </w:tc>
            </w:tr>
            <w:tr w14:paraId="62F409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7F2A2D39">
                  <w:pPr>
                    <w:pStyle w:val="223"/>
                    <w:autoSpaceDE/>
                    <w:autoSpaceDN/>
                    <w:snapToGrid w:val="0"/>
                    <w:jc w:val="center"/>
                    <w:rPr>
                      <w:rFonts w:hint="default" w:eastAsia="宋体"/>
                      <w:color w:val="auto"/>
                      <w:sz w:val="18"/>
                      <w:szCs w:val="18"/>
                      <w:lang w:val="en-US" w:eastAsia="zh-CN"/>
                    </w:rPr>
                  </w:pPr>
                  <w:r>
                    <w:rPr>
                      <w:rFonts w:hint="eastAsia"/>
                      <w:color w:val="auto"/>
                      <w:sz w:val="18"/>
                      <w:szCs w:val="18"/>
                      <w:lang w:val="en-US" w:eastAsia="zh-CN"/>
                    </w:rPr>
                    <w:t>3</w:t>
                  </w:r>
                </w:p>
              </w:tc>
              <w:tc>
                <w:tcPr>
                  <w:tcW w:w="225" w:type="pct"/>
                  <w:vMerge w:val="continue"/>
                  <w:tcBorders>
                    <w:left w:val="single" w:color="auto" w:sz="4" w:space="0"/>
                  </w:tcBorders>
                  <w:vAlign w:val="center"/>
                </w:tcPr>
                <w:p w14:paraId="00D84627">
                  <w:pPr>
                    <w:pStyle w:val="223"/>
                    <w:autoSpaceDE/>
                    <w:autoSpaceDN/>
                    <w:snapToGrid w:val="0"/>
                    <w:jc w:val="center"/>
                    <w:rPr>
                      <w:rFonts w:hint="eastAsia"/>
                      <w:color w:val="auto"/>
                      <w:sz w:val="18"/>
                      <w:szCs w:val="18"/>
                      <w:lang w:val="en-US" w:eastAsia="zh-CN"/>
                    </w:rPr>
                  </w:pPr>
                </w:p>
              </w:tc>
              <w:tc>
                <w:tcPr>
                  <w:tcW w:w="232" w:type="pct"/>
                  <w:vAlign w:val="center"/>
                </w:tcPr>
                <w:p w14:paraId="68D3A3D0">
                  <w:pPr>
                    <w:keepNext w:val="0"/>
                    <w:keepLines w:val="0"/>
                    <w:widowControl/>
                    <w:suppressLineNumbers w:val="0"/>
                    <w:jc w:val="center"/>
                    <w:textAlignment w:val="center"/>
                    <w:rPr>
                      <w:rFonts w:hint="eastAsia" w:cs="Times New Roman"/>
                      <w:color w:val="auto"/>
                      <w:kern w:val="2"/>
                      <w:sz w:val="18"/>
                      <w:szCs w:val="18"/>
                      <w:lang w:val="en-US" w:eastAsia="zh-CN" w:bidi="ar-SA"/>
                    </w:rPr>
                  </w:pPr>
                  <w:r>
                    <w:rPr>
                      <w:rFonts w:hint="eastAsia" w:ascii="Times New Roman" w:hAnsi="Times New Roman" w:eastAsia="宋体-简" w:cs="Times New Roman"/>
                      <w:i w:val="0"/>
                      <w:iCs w:val="0"/>
                      <w:color w:val="auto"/>
                      <w:kern w:val="0"/>
                      <w:sz w:val="18"/>
                      <w:szCs w:val="18"/>
                      <w:u w:val="none"/>
                      <w:lang w:val="en-US" w:eastAsia="zh-CN" w:bidi="ar"/>
                    </w:rPr>
                    <w:t>台锯</w:t>
                  </w:r>
                </w:p>
              </w:tc>
              <w:tc>
                <w:tcPr>
                  <w:tcW w:w="641" w:type="pct"/>
                  <w:vAlign w:val="center"/>
                </w:tcPr>
                <w:p w14:paraId="327247DF">
                  <w:pPr>
                    <w:adjustRightInd w:val="0"/>
                    <w:snapToGrid w:val="0"/>
                    <w:jc w:val="center"/>
                    <w:rPr>
                      <w:rFonts w:hint="eastAsia"/>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27469417">
                  <w:pPr>
                    <w:adjustRightInd w:val="0"/>
                    <w:snapToGrid w:val="0"/>
                    <w:jc w:val="center"/>
                    <w:rPr>
                      <w:rFonts w:hint="eastAsia"/>
                      <w:color w:val="auto"/>
                      <w:sz w:val="18"/>
                      <w:szCs w:val="18"/>
                    </w:rPr>
                  </w:pPr>
                </w:p>
              </w:tc>
              <w:tc>
                <w:tcPr>
                  <w:tcW w:w="262" w:type="pct"/>
                  <w:vAlign w:val="center"/>
                </w:tcPr>
                <w:p w14:paraId="16B5EA22">
                  <w:pPr>
                    <w:adjustRightInd w:val="0"/>
                    <w:snapToGrid w:val="0"/>
                    <w:jc w:val="center"/>
                    <w:rPr>
                      <w:rFonts w:hint="default"/>
                      <w:color w:val="auto"/>
                      <w:sz w:val="18"/>
                      <w:szCs w:val="18"/>
                      <w:lang w:val="en-US" w:eastAsia="zh-CN"/>
                    </w:rPr>
                  </w:pPr>
                  <w:r>
                    <w:rPr>
                      <w:rFonts w:hint="eastAsia"/>
                      <w:color w:val="auto"/>
                      <w:sz w:val="18"/>
                      <w:szCs w:val="18"/>
                      <w:lang w:val="en-US" w:eastAsia="zh-CN"/>
                    </w:rPr>
                    <w:t>125</w:t>
                  </w:r>
                </w:p>
              </w:tc>
              <w:tc>
                <w:tcPr>
                  <w:tcW w:w="178" w:type="pct"/>
                  <w:vAlign w:val="center"/>
                </w:tcPr>
                <w:p w14:paraId="0BF8AB4A">
                  <w:pPr>
                    <w:adjustRightInd w:val="0"/>
                    <w:snapToGrid w:val="0"/>
                    <w:jc w:val="center"/>
                    <w:rPr>
                      <w:rFonts w:hint="default"/>
                      <w:color w:val="auto"/>
                      <w:sz w:val="18"/>
                      <w:szCs w:val="18"/>
                      <w:lang w:val="en-US" w:eastAsia="zh-CN"/>
                    </w:rPr>
                  </w:pPr>
                  <w:r>
                    <w:rPr>
                      <w:rFonts w:hint="eastAsia"/>
                      <w:color w:val="auto"/>
                      <w:sz w:val="18"/>
                      <w:szCs w:val="18"/>
                      <w:lang w:val="en-US" w:eastAsia="zh-CN"/>
                    </w:rPr>
                    <w:t>160</w:t>
                  </w:r>
                </w:p>
              </w:tc>
              <w:tc>
                <w:tcPr>
                  <w:tcW w:w="188" w:type="pct"/>
                  <w:vAlign w:val="center"/>
                </w:tcPr>
                <w:p w14:paraId="58C741CB">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6CE5DB4D">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415" w:type="pct"/>
                  <w:vAlign w:val="center"/>
                </w:tcPr>
                <w:p w14:paraId="4CE8B92C">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1CCA9B2B">
                  <w:pPr>
                    <w:adjustRightInd w:val="0"/>
                    <w:snapToGrid w:val="0"/>
                    <w:jc w:val="center"/>
                    <w:rPr>
                      <w:rFonts w:hint="eastAsia"/>
                      <w:color w:val="auto"/>
                      <w:sz w:val="18"/>
                      <w:szCs w:val="18"/>
                      <w:lang w:val="en-US" w:eastAsia="zh-CN"/>
                    </w:rPr>
                  </w:pPr>
                </w:p>
              </w:tc>
              <w:tc>
                <w:tcPr>
                  <w:tcW w:w="534" w:type="pct"/>
                  <w:vAlign w:val="center"/>
                </w:tcPr>
                <w:p w14:paraId="57B594D9">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007FDB83">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66C95808">
                  <w:pPr>
                    <w:adjustRightInd w:val="0"/>
                    <w:snapToGrid w:val="0"/>
                    <w:jc w:val="center"/>
                    <w:rPr>
                      <w:rFonts w:hint="eastAsia"/>
                      <w:color w:val="auto"/>
                      <w:sz w:val="18"/>
                      <w:szCs w:val="18"/>
                    </w:rPr>
                  </w:pPr>
                  <w:r>
                    <w:rPr>
                      <w:rFonts w:hint="eastAsia"/>
                      <w:color w:val="auto"/>
                      <w:sz w:val="18"/>
                      <w:szCs w:val="18"/>
                    </w:rPr>
                    <w:t>1</w:t>
                  </w:r>
                </w:p>
              </w:tc>
            </w:tr>
            <w:tr w14:paraId="3B0E3E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592DB183">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4</w:t>
                  </w:r>
                </w:p>
              </w:tc>
              <w:tc>
                <w:tcPr>
                  <w:tcW w:w="225" w:type="pct"/>
                  <w:vMerge w:val="continue"/>
                  <w:tcBorders>
                    <w:left w:val="single" w:color="auto" w:sz="4" w:space="0"/>
                  </w:tcBorders>
                  <w:vAlign w:val="center"/>
                </w:tcPr>
                <w:p w14:paraId="0C91FA99">
                  <w:pPr>
                    <w:pStyle w:val="223"/>
                    <w:autoSpaceDE/>
                    <w:autoSpaceDN/>
                    <w:snapToGrid w:val="0"/>
                    <w:jc w:val="center"/>
                    <w:rPr>
                      <w:rFonts w:hint="eastAsia"/>
                      <w:color w:val="auto"/>
                      <w:sz w:val="18"/>
                      <w:szCs w:val="18"/>
                      <w:lang w:val="en-US" w:eastAsia="zh-CN"/>
                    </w:rPr>
                  </w:pPr>
                </w:p>
              </w:tc>
              <w:tc>
                <w:tcPr>
                  <w:tcW w:w="232" w:type="pct"/>
                  <w:vAlign w:val="center"/>
                </w:tcPr>
                <w:p w14:paraId="20B406D9">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干燥窑</w:t>
                  </w:r>
                </w:p>
              </w:tc>
              <w:tc>
                <w:tcPr>
                  <w:tcW w:w="641" w:type="pct"/>
                  <w:shd w:val="clear" w:color="auto" w:fill="auto"/>
                  <w:vAlign w:val="center"/>
                </w:tcPr>
                <w:p w14:paraId="19D09153">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80/1</w:t>
                  </w:r>
                </w:p>
              </w:tc>
              <w:tc>
                <w:tcPr>
                  <w:tcW w:w="534" w:type="pct"/>
                  <w:vMerge w:val="continue"/>
                  <w:shd w:val="clear" w:color="auto" w:fill="auto"/>
                  <w:vAlign w:val="center"/>
                </w:tcPr>
                <w:p w14:paraId="76FB719B">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262" w:type="pct"/>
                  <w:shd w:val="clear" w:color="auto" w:fill="auto"/>
                  <w:vAlign w:val="center"/>
                </w:tcPr>
                <w:p w14:paraId="512999CB">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138</w:t>
                  </w:r>
                </w:p>
              </w:tc>
              <w:tc>
                <w:tcPr>
                  <w:tcW w:w="178" w:type="pct"/>
                  <w:shd w:val="clear" w:color="auto" w:fill="auto"/>
                  <w:vAlign w:val="center"/>
                </w:tcPr>
                <w:p w14:paraId="657446C0">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154</w:t>
                  </w:r>
                </w:p>
              </w:tc>
              <w:tc>
                <w:tcPr>
                  <w:tcW w:w="188" w:type="pct"/>
                  <w:shd w:val="clear" w:color="auto" w:fill="auto"/>
                  <w:vAlign w:val="center"/>
                </w:tcPr>
                <w:p w14:paraId="39A287D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3</w:t>
                  </w:r>
                </w:p>
              </w:tc>
              <w:tc>
                <w:tcPr>
                  <w:tcW w:w="334" w:type="pct"/>
                  <w:shd w:val="clear" w:color="auto" w:fill="auto"/>
                  <w:vAlign w:val="center"/>
                </w:tcPr>
                <w:p w14:paraId="1501A19B">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10</w:t>
                  </w:r>
                </w:p>
              </w:tc>
              <w:tc>
                <w:tcPr>
                  <w:tcW w:w="415" w:type="pct"/>
                  <w:shd w:val="clear" w:color="auto" w:fill="auto"/>
                  <w:vAlign w:val="center"/>
                </w:tcPr>
                <w:p w14:paraId="5208B56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70.0</w:t>
                  </w:r>
                </w:p>
              </w:tc>
              <w:tc>
                <w:tcPr>
                  <w:tcW w:w="626" w:type="pct"/>
                  <w:vMerge w:val="continue"/>
                  <w:shd w:val="clear" w:color="auto" w:fill="auto"/>
                  <w:vAlign w:val="center"/>
                </w:tcPr>
                <w:p w14:paraId="4DCD63AA">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1D7135FC">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73A1EDA7">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50.0</w:t>
                  </w:r>
                </w:p>
              </w:tc>
              <w:tc>
                <w:tcPr>
                  <w:tcW w:w="279" w:type="pct"/>
                  <w:shd w:val="clear" w:color="auto" w:fill="auto"/>
                  <w:vAlign w:val="center"/>
                </w:tcPr>
                <w:p w14:paraId="6622F1F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29CDB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3506C012">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5</w:t>
                  </w:r>
                </w:p>
              </w:tc>
              <w:tc>
                <w:tcPr>
                  <w:tcW w:w="225" w:type="pct"/>
                  <w:vMerge w:val="continue"/>
                  <w:tcBorders>
                    <w:left w:val="single" w:color="auto" w:sz="4" w:space="0"/>
                  </w:tcBorders>
                  <w:vAlign w:val="center"/>
                </w:tcPr>
                <w:p w14:paraId="43A4090A">
                  <w:pPr>
                    <w:pStyle w:val="223"/>
                    <w:autoSpaceDE/>
                    <w:autoSpaceDN/>
                    <w:snapToGrid w:val="0"/>
                    <w:jc w:val="center"/>
                    <w:rPr>
                      <w:rFonts w:hint="eastAsia"/>
                      <w:color w:val="auto"/>
                      <w:sz w:val="18"/>
                      <w:szCs w:val="18"/>
                      <w:lang w:val="en-US" w:eastAsia="zh-CN"/>
                    </w:rPr>
                  </w:pPr>
                </w:p>
              </w:tc>
              <w:tc>
                <w:tcPr>
                  <w:tcW w:w="232" w:type="pct"/>
                  <w:vAlign w:val="center"/>
                </w:tcPr>
                <w:p w14:paraId="6F439560">
                  <w:pPr>
                    <w:keepNext w:val="0"/>
                    <w:keepLines w:val="0"/>
                    <w:widowControl/>
                    <w:suppressLineNumbers w:val="0"/>
                    <w:jc w:val="center"/>
                    <w:textAlignment w:val="center"/>
                    <w:rPr>
                      <w:rFonts w:hint="default" w:cs="Times New Roman"/>
                      <w:color w:val="auto"/>
                      <w:kern w:val="2"/>
                      <w:sz w:val="18"/>
                      <w:szCs w:val="18"/>
                      <w:lang w:val="en-US" w:eastAsia="zh-CN" w:bidi="ar-SA"/>
                    </w:rPr>
                  </w:pPr>
                  <w:r>
                    <w:rPr>
                      <w:rStyle w:val="380"/>
                      <w:rFonts w:hint="eastAsia" w:ascii="Times New Roman" w:hAnsi="Times New Roman" w:cs="Times New Roman"/>
                      <w:color w:val="auto"/>
                      <w:sz w:val="18"/>
                      <w:szCs w:val="18"/>
                      <w:lang w:val="en-US" w:eastAsia="zh-CN" w:bidi="ar"/>
                    </w:rPr>
                    <w:t>四面刨</w:t>
                  </w:r>
                </w:p>
              </w:tc>
              <w:tc>
                <w:tcPr>
                  <w:tcW w:w="641" w:type="pct"/>
                  <w:vAlign w:val="center"/>
                </w:tcPr>
                <w:p w14:paraId="51010194">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2A80B939">
                  <w:pPr>
                    <w:adjustRightInd w:val="0"/>
                    <w:snapToGrid w:val="0"/>
                    <w:jc w:val="center"/>
                    <w:rPr>
                      <w:rFonts w:hint="eastAsia"/>
                      <w:color w:val="auto"/>
                      <w:sz w:val="18"/>
                      <w:szCs w:val="18"/>
                    </w:rPr>
                  </w:pPr>
                </w:p>
              </w:tc>
              <w:tc>
                <w:tcPr>
                  <w:tcW w:w="262" w:type="pct"/>
                  <w:vAlign w:val="center"/>
                </w:tcPr>
                <w:p w14:paraId="146099F8">
                  <w:pPr>
                    <w:adjustRightInd w:val="0"/>
                    <w:snapToGrid w:val="0"/>
                    <w:jc w:val="center"/>
                    <w:rPr>
                      <w:rFonts w:hint="default"/>
                      <w:color w:val="auto"/>
                      <w:sz w:val="18"/>
                      <w:szCs w:val="18"/>
                      <w:lang w:val="en-US" w:eastAsia="zh-CN"/>
                    </w:rPr>
                  </w:pPr>
                  <w:r>
                    <w:rPr>
                      <w:rFonts w:hint="eastAsia"/>
                      <w:color w:val="auto"/>
                      <w:sz w:val="18"/>
                      <w:szCs w:val="18"/>
                      <w:lang w:val="en-US" w:eastAsia="zh-CN"/>
                    </w:rPr>
                    <w:t>148</w:t>
                  </w:r>
                </w:p>
              </w:tc>
              <w:tc>
                <w:tcPr>
                  <w:tcW w:w="178" w:type="pct"/>
                  <w:vAlign w:val="center"/>
                </w:tcPr>
                <w:p w14:paraId="5A48960D">
                  <w:pPr>
                    <w:adjustRightInd w:val="0"/>
                    <w:snapToGrid w:val="0"/>
                    <w:jc w:val="center"/>
                    <w:rPr>
                      <w:rFonts w:hint="default"/>
                      <w:color w:val="auto"/>
                      <w:sz w:val="18"/>
                      <w:szCs w:val="18"/>
                      <w:lang w:val="en-US" w:eastAsia="zh-CN"/>
                    </w:rPr>
                  </w:pPr>
                  <w:r>
                    <w:rPr>
                      <w:rFonts w:hint="eastAsia"/>
                      <w:color w:val="auto"/>
                      <w:sz w:val="18"/>
                      <w:szCs w:val="18"/>
                      <w:lang w:val="en-US" w:eastAsia="zh-CN"/>
                    </w:rPr>
                    <w:t>156</w:t>
                  </w:r>
                </w:p>
              </w:tc>
              <w:tc>
                <w:tcPr>
                  <w:tcW w:w="188" w:type="pct"/>
                  <w:vAlign w:val="center"/>
                </w:tcPr>
                <w:p w14:paraId="469B6328">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359E4FD8">
                  <w:pPr>
                    <w:adjustRightInd w:val="0"/>
                    <w:snapToGrid w:val="0"/>
                    <w:jc w:val="center"/>
                    <w:rPr>
                      <w:rFonts w:hint="eastAsia"/>
                      <w:color w:val="auto"/>
                      <w:sz w:val="18"/>
                      <w:szCs w:val="18"/>
                      <w:lang w:val="en-US" w:eastAsia="zh-CN"/>
                    </w:rPr>
                  </w:pPr>
                  <w:r>
                    <w:rPr>
                      <w:rFonts w:hint="eastAsia"/>
                      <w:color w:val="auto"/>
                      <w:sz w:val="18"/>
                      <w:szCs w:val="18"/>
                      <w:lang w:val="en-US" w:eastAsia="zh-CN"/>
                    </w:rPr>
                    <w:t>8</w:t>
                  </w:r>
                </w:p>
              </w:tc>
              <w:tc>
                <w:tcPr>
                  <w:tcW w:w="415" w:type="pct"/>
                  <w:vAlign w:val="center"/>
                </w:tcPr>
                <w:p w14:paraId="05A2BF15">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086CB268">
                  <w:pPr>
                    <w:adjustRightInd w:val="0"/>
                    <w:snapToGrid w:val="0"/>
                    <w:jc w:val="center"/>
                    <w:rPr>
                      <w:rFonts w:hint="eastAsia"/>
                      <w:color w:val="auto"/>
                      <w:sz w:val="18"/>
                      <w:szCs w:val="18"/>
                      <w:lang w:val="en-US" w:eastAsia="zh-CN"/>
                    </w:rPr>
                  </w:pPr>
                </w:p>
              </w:tc>
              <w:tc>
                <w:tcPr>
                  <w:tcW w:w="534" w:type="pct"/>
                  <w:vAlign w:val="center"/>
                </w:tcPr>
                <w:p w14:paraId="7D86258A">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493C7E57">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379F6D01">
                  <w:pPr>
                    <w:adjustRightInd w:val="0"/>
                    <w:snapToGrid w:val="0"/>
                    <w:jc w:val="center"/>
                    <w:rPr>
                      <w:rFonts w:hint="eastAsia"/>
                      <w:color w:val="auto"/>
                      <w:sz w:val="18"/>
                      <w:szCs w:val="18"/>
                    </w:rPr>
                  </w:pPr>
                  <w:r>
                    <w:rPr>
                      <w:rFonts w:hint="eastAsia"/>
                      <w:color w:val="auto"/>
                      <w:sz w:val="18"/>
                      <w:szCs w:val="18"/>
                    </w:rPr>
                    <w:t>1</w:t>
                  </w:r>
                </w:p>
              </w:tc>
            </w:tr>
            <w:tr w14:paraId="20A03A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12666214">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6</w:t>
                  </w:r>
                </w:p>
              </w:tc>
              <w:tc>
                <w:tcPr>
                  <w:tcW w:w="225" w:type="pct"/>
                  <w:vMerge w:val="restart"/>
                  <w:tcBorders>
                    <w:left w:val="single" w:color="auto" w:sz="4" w:space="0"/>
                  </w:tcBorders>
                  <w:vAlign w:val="center"/>
                </w:tcPr>
                <w:p w14:paraId="2AB8A61C">
                  <w:pPr>
                    <w:pStyle w:val="223"/>
                    <w:autoSpaceDE/>
                    <w:autoSpaceDN/>
                    <w:snapToGrid w:val="0"/>
                    <w:jc w:val="center"/>
                    <w:rPr>
                      <w:rFonts w:hint="eastAsia"/>
                      <w:color w:val="auto"/>
                      <w:sz w:val="18"/>
                      <w:szCs w:val="18"/>
                      <w:lang w:val="en-US" w:eastAsia="zh-CN"/>
                    </w:rPr>
                  </w:pPr>
                  <w:r>
                    <w:rPr>
                      <w:rFonts w:hint="eastAsia"/>
                      <w:color w:val="auto"/>
                      <w:sz w:val="18"/>
                      <w:szCs w:val="18"/>
                      <w:lang w:val="en-US" w:eastAsia="zh-CN"/>
                    </w:rPr>
                    <w:t>四</w:t>
                  </w:r>
                </w:p>
                <w:p w14:paraId="788E78A5">
                  <w:pPr>
                    <w:pStyle w:val="223"/>
                    <w:autoSpaceDE/>
                    <w:autoSpaceDN/>
                    <w:snapToGrid w:val="0"/>
                    <w:jc w:val="center"/>
                    <w:rPr>
                      <w:rFonts w:hint="eastAsia"/>
                      <w:color w:val="auto"/>
                      <w:sz w:val="18"/>
                      <w:szCs w:val="18"/>
                      <w:lang w:val="en-US" w:eastAsia="zh-CN"/>
                    </w:rPr>
                  </w:pPr>
                  <w:r>
                    <w:rPr>
                      <w:rFonts w:hint="eastAsia"/>
                      <w:color w:val="auto"/>
                      <w:sz w:val="18"/>
                      <w:szCs w:val="18"/>
                      <w:lang w:val="en-US" w:eastAsia="zh-CN"/>
                    </w:rPr>
                    <w:t>车</w:t>
                  </w:r>
                </w:p>
                <w:p w14:paraId="776FB513">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间</w:t>
                  </w:r>
                </w:p>
              </w:tc>
              <w:tc>
                <w:tcPr>
                  <w:tcW w:w="232" w:type="pct"/>
                  <w:vAlign w:val="center"/>
                </w:tcPr>
                <w:p w14:paraId="0F993E68">
                  <w:pPr>
                    <w:adjustRightInd w:val="0"/>
                    <w:snapToGrid w:val="0"/>
                    <w:jc w:val="center"/>
                    <w:rPr>
                      <w:rFonts w:hint="eastAsia" w:cs="Times New Roman"/>
                      <w:color w:val="auto"/>
                      <w:kern w:val="2"/>
                      <w:sz w:val="18"/>
                      <w:szCs w:val="18"/>
                      <w:lang w:val="en-US" w:eastAsia="zh-CN" w:bidi="ar-SA"/>
                    </w:rPr>
                  </w:pPr>
                  <w:r>
                    <w:rPr>
                      <w:rStyle w:val="380"/>
                      <w:rFonts w:hint="eastAsia" w:ascii="Times New Roman" w:hAnsi="Times New Roman" w:cs="Times New Roman"/>
                      <w:color w:val="auto"/>
                      <w:sz w:val="18"/>
                      <w:szCs w:val="18"/>
                      <w:lang w:val="en-US" w:eastAsia="zh-CN" w:bidi="ar"/>
                    </w:rPr>
                    <w:t>拼板机</w:t>
                  </w:r>
                </w:p>
              </w:tc>
              <w:tc>
                <w:tcPr>
                  <w:tcW w:w="641" w:type="pct"/>
                  <w:vAlign w:val="center"/>
                </w:tcPr>
                <w:p w14:paraId="65D2A269">
                  <w:pPr>
                    <w:adjustRightInd w:val="0"/>
                    <w:snapToGrid w:val="0"/>
                    <w:jc w:val="center"/>
                    <w:rPr>
                      <w:rFonts w:hint="default"/>
                      <w:color w:val="auto"/>
                      <w:sz w:val="18"/>
                      <w:szCs w:val="18"/>
                      <w:lang w:val="en-US" w:eastAsia="zh-CN"/>
                    </w:rPr>
                  </w:pPr>
                  <w:r>
                    <w:rPr>
                      <w:rFonts w:hint="eastAsia"/>
                      <w:color w:val="auto"/>
                      <w:sz w:val="18"/>
                      <w:szCs w:val="18"/>
                      <w:lang w:val="en-US" w:eastAsia="zh-CN"/>
                    </w:rPr>
                    <w:t>75/1</w:t>
                  </w:r>
                </w:p>
              </w:tc>
              <w:tc>
                <w:tcPr>
                  <w:tcW w:w="534" w:type="pct"/>
                  <w:vMerge w:val="continue"/>
                  <w:vAlign w:val="center"/>
                </w:tcPr>
                <w:p w14:paraId="1463AB8D">
                  <w:pPr>
                    <w:adjustRightInd w:val="0"/>
                    <w:snapToGrid w:val="0"/>
                    <w:jc w:val="center"/>
                    <w:rPr>
                      <w:rFonts w:hint="eastAsia"/>
                      <w:color w:val="auto"/>
                      <w:sz w:val="18"/>
                      <w:szCs w:val="18"/>
                    </w:rPr>
                  </w:pPr>
                </w:p>
              </w:tc>
              <w:tc>
                <w:tcPr>
                  <w:tcW w:w="262" w:type="pct"/>
                  <w:vAlign w:val="center"/>
                </w:tcPr>
                <w:p w14:paraId="448FBA9E">
                  <w:pPr>
                    <w:adjustRightInd w:val="0"/>
                    <w:snapToGrid w:val="0"/>
                    <w:jc w:val="center"/>
                    <w:rPr>
                      <w:rFonts w:hint="default"/>
                      <w:color w:val="auto"/>
                      <w:sz w:val="18"/>
                      <w:szCs w:val="18"/>
                      <w:lang w:val="en-US" w:eastAsia="zh-CN"/>
                    </w:rPr>
                  </w:pPr>
                  <w:r>
                    <w:rPr>
                      <w:rFonts w:hint="eastAsia"/>
                      <w:color w:val="auto"/>
                      <w:sz w:val="18"/>
                      <w:szCs w:val="18"/>
                      <w:lang w:val="en-US" w:eastAsia="zh-CN"/>
                    </w:rPr>
                    <w:t>95</w:t>
                  </w:r>
                </w:p>
              </w:tc>
              <w:tc>
                <w:tcPr>
                  <w:tcW w:w="178" w:type="pct"/>
                  <w:vAlign w:val="center"/>
                </w:tcPr>
                <w:p w14:paraId="13D63228">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vAlign w:val="center"/>
                </w:tcPr>
                <w:p w14:paraId="511829B0">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67CDC63C">
                  <w:pPr>
                    <w:adjustRightInd w:val="0"/>
                    <w:snapToGrid w:val="0"/>
                    <w:jc w:val="center"/>
                    <w:rPr>
                      <w:rFonts w:hint="eastAsia"/>
                      <w:color w:val="auto"/>
                      <w:sz w:val="18"/>
                      <w:szCs w:val="18"/>
                      <w:lang w:val="en-US" w:eastAsia="zh-CN"/>
                    </w:rPr>
                  </w:pPr>
                  <w:r>
                    <w:rPr>
                      <w:rFonts w:hint="eastAsia"/>
                      <w:color w:val="auto"/>
                      <w:sz w:val="18"/>
                      <w:szCs w:val="18"/>
                      <w:lang w:val="en-US" w:eastAsia="zh-CN"/>
                    </w:rPr>
                    <w:t>5</w:t>
                  </w:r>
                </w:p>
              </w:tc>
              <w:tc>
                <w:tcPr>
                  <w:tcW w:w="415" w:type="pct"/>
                  <w:vAlign w:val="center"/>
                </w:tcPr>
                <w:p w14:paraId="5D7E7A6F">
                  <w:pPr>
                    <w:adjustRightInd w:val="0"/>
                    <w:snapToGrid w:val="0"/>
                    <w:jc w:val="center"/>
                    <w:rPr>
                      <w:rFonts w:hint="eastAsia"/>
                      <w:color w:val="auto"/>
                      <w:sz w:val="18"/>
                      <w:szCs w:val="18"/>
                      <w:lang w:val="en-US" w:eastAsia="zh-CN"/>
                    </w:rPr>
                  </w:pPr>
                  <w:r>
                    <w:rPr>
                      <w:rFonts w:hint="eastAsia"/>
                      <w:color w:val="auto"/>
                      <w:sz w:val="18"/>
                      <w:szCs w:val="18"/>
                      <w:lang w:val="en-US" w:eastAsia="zh-CN"/>
                    </w:rPr>
                    <w:t>65.0</w:t>
                  </w:r>
                </w:p>
              </w:tc>
              <w:tc>
                <w:tcPr>
                  <w:tcW w:w="626" w:type="pct"/>
                  <w:vMerge w:val="continue"/>
                  <w:vAlign w:val="center"/>
                </w:tcPr>
                <w:p w14:paraId="716FBEF2">
                  <w:pPr>
                    <w:adjustRightInd w:val="0"/>
                    <w:snapToGrid w:val="0"/>
                    <w:jc w:val="center"/>
                    <w:rPr>
                      <w:rFonts w:hint="eastAsia"/>
                      <w:color w:val="auto"/>
                      <w:sz w:val="18"/>
                      <w:szCs w:val="18"/>
                      <w:lang w:val="en-US" w:eastAsia="zh-CN"/>
                    </w:rPr>
                  </w:pPr>
                </w:p>
              </w:tc>
              <w:tc>
                <w:tcPr>
                  <w:tcW w:w="534" w:type="pct"/>
                  <w:vAlign w:val="center"/>
                </w:tcPr>
                <w:p w14:paraId="57727654">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6C0E5793">
                  <w:pPr>
                    <w:adjustRightInd w:val="0"/>
                    <w:snapToGrid w:val="0"/>
                    <w:jc w:val="center"/>
                    <w:rPr>
                      <w:rFonts w:hint="eastAsia"/>
                      <w:color w:val="auto"/>
                      <w:sz w:val="18"/>
                      <w:szCs w:val="18"/>
                      <w:lang w:val="en-US" w:eastAsia="zh-CN"/>
                    </w:rPr>
                  </w:pPr>
                  <w:r>
                    <w:rPr>
                      <w:rFonts w:hint="eastAsia"/>
                      <w:color w:val="auto"/>
                      <w:sz w:val="18"/>
                      <w:szCs w:val="18"/>
                      <w:lang w:val="en-US" w:eastAsia="zh-CN"/>
                    </w:rPr>
                    <w:t>45.0</w:t>
                  </w:r>
                </w:p>
              </w:tc>
              <w:tc>
                <w:tcPr>
                  <w:tcW w:w="279" w:type="pct"/>
                  <w:vAlign w:val="center"/>
                </w:tcPr>
                <w:p w14:paraId="504DDC04">
                  <w:pPr>
                    <w:adjustRightInd w:val="0"/>
                    <w:snapToGrid w:val="0"/>
                    <w:jc w:val="center"/>
                    <w:rPr>
                      <w:rFonts w:hint="eastAsia"/>
                      <w:color w:val="auto"/>
                      <w:sz w:val="18"/>
                      <w:szCs w:val="18"/>
                    </w:rPr>
                  </w:pPr>
                  <w:r>
                    <w:rPr>
                      <w:rFonts w:hint="eastAsia"/>
                      <w:color w:val="auto"/>
                      <w:sz w:val="18"/>
                      <w:szCs w:val="18"/>
                    </w:rPr>
                    <w:t>1</w:t>
                  </w:r>
                </w:p>
              </w:tc>
            </w:tr>
            <w:tr w14:paraId="04488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3304C4CE">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7</w:t>
                  </w:r>
                </w:p>
              </w:tc>
              <w:tc>
                <w:tcPr>
                  <w:tcW w:w="225" w:type="pct"/>
                  <w:vMerge w:val="continue"/>
                  <w:tcBorders>
                    <w:left w:val="single" w:color="auto" w:sz="4" w:space="0"/>
                  </w:tcBorders>
                  <w:vAlign w:val="center"/>
                </w:tcPr>
                <w:p w14:paraId="50385BD1">
                  <w:pPr>
                    <w:pStyle w:val="223"/>
                    <w:autoSpaceDE/>
                    <w:autoSpaceDN/>
                    <w:snapToGrid w:val="0"/>
                    <w:jc w:val="center"/>
                    <w:rPr>
                      <w:rFonts w:hint="eastAsia"/>
                      <w:color w:val="auto"/>
                      <w:sz w:val="18"/>
                      <w:szCs w:val="18"/>
                      <w:lang w:val="en-US" w:eastAsia="zh-CN"/>
                    </w:rPr>
                  </w:pPr>
                </w:p>
              </w:tc>
              <w:tc>
                <w:tcPr>
                  <w:tcW w:w="232" w:type="pct"/>
                  <w:vAlign w:val="center"/>
                </w:tcPr>
                <w:p w14:paraId="09F900C3">
                  <w:pPr>
                    <w:adjustRightInd w:val="0"/>
                    <w:snapToGrid w:val="0"/>
                    <w:jc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开榫机</w:t>
                  </w:r>
                </w:p>
              </w:tc>
              <w:tc>
                <w:tcPr>
                  <w:tcW w:w="641" w:type="pct"/>
                  <w:vAlign w:val="center"/>
                </w:tcPr>
                <w:p w14:paraId="4956D83E">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7727F778">
                  <w:pPr>
                    <w:adjustRightInd w:val="0"/>
                    <w:snapToGrid w:val="0"/>
                    <w:jc w:val="center"/>
                    <w:rPr>
                      <w:rFonts w:hint="eastAsia"/>
                      <w:color w:val="auto"/>
                      <w:sz w:val="18"/>
                      <w:szCs w:val="18"/>
                    </w:rPr>
                  </w:pPr>
                </w:p>
              </w:tc>
              <w:tc>
                <w:tcPr>
                  <w:tcW w:w="262" w:type="pct"/>
                  <w:vAlign w:val="center"/>
                </w:tcPr>
                <w:p w14:paraId="407EF611">
                  <w:pPr>
                    <w:adjustRightInd w:val="0"/>
                    <w:snapToGrid w:val="0"/>
                    <w:jc w:val="center"/>
                    <w:rPr>
                      <w:rFonts w:hint="default"/>
                      <w:color w:val="auto"/>
                      <w:sz w:val="18"/>
                      <w:szCs w:val="18"/>
                      <w:lang w:val="en-US" w:eastAsia="zh-CN"/>
                    </w:rPr>
                  </w:pPr>
                  <w:r>
                    <w:rPr>
                      <w:rFonts w:hint="eastAsia"/>
                      <w:color w:val="auto"/>
                      <w:sz w:val="18"/>
                      <w:szCs w:val="18"/>
                      <w:lang w:val="en-US" w:eastAsia="zh-CN"/>
                    </w:rPr>
                    <w:t>120</w:t>
                  </w:r>
                </w:p>
              </w:tc>
              <w:tc>
                <w:tcPr>
                  <w:tcW w:w="178" w:type="pct"/>
                  <w:vAlign w:val="center"/>
                </w:tcPr>
                <w:p w14:paraId="0E354F2F">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vAlign w:val="center"/>
                </w:tcPr>
                <w:p w14:paraId="40CADB66">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62CFD749">
                  <w:pPr>
                    <w:adjustRightInd w:val="0"/>
                    <w:snapToGrid w:val="0"/>
                    <w:jc w:val="center"/>
                    <w:rPr>
                      <w:rFonts w:hint="default"/>
                      <w:color w:val="auto"/>
                      <w:sz w:val="18"/>
                      <w:szCs w:val="18"/>
                      <w:lang w:val="en-US" w:eastAsia="zh-CN"/>
                    </w:rPr>
                  </w:pPr>
                  <w:r>
                    <w:rPr>
                      <w:rFonts w:hint="eastAsia"/>
                      <w:color w:val="auto"/>
                      <w:sz w:val="18"/>
                      <w:szCs w:val="18"/>
                      <w:lang w:val="en-US" w:eastAsia="zh-CN"/>
                    </w:rPr>
                    <w:t>5</w:t>
                  </w:r>
                </w:p>
              </w:tc>
              <w:tc>
                <w:tcPr>
                  <w:tcW w:w="415" w:type="pct"/>
                  <w:vAlign w:val="center"/>
                </w:tcPr>
                <w:p w14:paraId="67EF6D11">
                  <w:pPr>
                    <w:adjustRightInd w:val="0"/>
                    <w:snapToGrid w:val="0"/>
                    <w:jc w:val="center"/>
                    <w:rPr>
                      <w:rFonts w:hint="default"/>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7DF840B3">
                  <w:pPr>
                    <w:adjustRightInd w:val="0"/>
                    <w:snapToGrid w:val="0"/>
                    <w:jc w:val="center"/>
                    <w:rPr>
                      <w:rFonts w:hint="eastAsia"/>
                      <w:color w:val="auto"/>
                      <w:sz w:val="18"/>
                      <w:szCs w:val="18"/>
                      <w:lang w:val="en-US" w:eastAsia="zh-CN"/>
                    </w:rPr>
                  </w:pPr>
                </w:p>
              </w:tc>
              <w:tc>
                <w:tcPr>
                  <w:tcW w:w="534" w:type="pct"/>
                  <w:shd w:val="clear" w:color="auto" w:fill="auto"/>
                  <w:vAlign w:val="center"/>
                </w:tcPr>
                <w:p w14:paraId="7F23694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3AE0F45C">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50.0</w:t>
                  </w:r>
                </w:p>
              </w:tc>
              <w:tc>
                <w:tcPr>
                  <w:tcW w:w="279" w:type="pct"/>
                  <w:shd w:val="clear" w:color="auto" w:fill="auto"/>
                  <w:vAlign w:val="center"/>
                </w:tcPr>
                <w:p w14:paraId="730752C9">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63647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665AA4BE">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8</w:t>
                  </w:r>
                </w:p>
              </w:tc>
              <w:tc>
                <w:tcPr>
                  <w:tcW w:w="225" w:type="pct"/>
                  <w:vMerge w:val="continue"/>
                  <w:tcBorders>
                    <w:left w:val="single" w:color="auto" w:sz="4" w:space="0"/>
                  </w:tcBorders>
                  <w:vAlign w:val="center"/>
                </w:tcPr>
                <w:p w14:paraId="2FC036F2">
                  <w:pPr>
                    <w:pStyle w:val="223"/>
                    <w:autoSpaceDE/>
                    <w:autoSpaceDN/>
                    <w:snapToGrid w:val="0"/>
                    <w:jc w:val="center"/>
                    <w:rPr>
                      <w:rFonts w:hint="eastAsia"/>
                      <w:color w:val="auto"/>
                      <w:sz w:val="18"/>
                      <w:szCs w:val="18"/>
                      <w:lang w:val="en-US" w:eastAsia="zh-CN"/>
                    </w:rPr>
                  </w:pPr>
                </w:p>
              </w:tc>
              <w:tc>
                <w:tcPr>
                  <w:tcW w:w="232" w:type="pct"/>
                  <w:vAlign w:val="center"/>
                </w:tcPr>
                <w:p w14:paraId="00345125">
                  <w:pPr>
                    <w:adjustRightInd w:val="0"/>
                    <w:snapToGrid w:val="0"/>
                    <w:jc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榫槽机</w:t>
                  </w:r>
                </w:p>
              </w:tc>
              <w:tc>
                <w:tcPr>
                  <w:tcW w:w="641" w:type="pct"/>
                  <w:vAlign w:val="center"/>
                </w:tcPr>
                <w:p w14:paraId="246F7FDA">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315A3F14">
                  <w:pPr>
                    <w:adjustRightInd w:val="0"/>
                    <w:snapToGrid w:val="0"/>
                    <w:jc w:val="center"/>
                    <w:rPr>
                      <w:rFonts w:hint="eastAsia"/>
                      <w:color w:val="auto"/>
                      <w:sz w:val="18"/>
                      <w:szCs w:val="18"/>
                    </w:rPr>
                  </w:pPr>
                </w:p>
              </w:tc>
              <w:tc>
                <w:tcPr>
                  <w:tcW w:w="262" w:type="pct"/>
                  <w:vAlign w:val="center"/>
                </w:tcPr>
                <w:p w14:paraId="70CD4A16">
                  <w:pPr>
                    <w:adjustRightInd w:val="0"/>
                    <w:snapToGrid w:val="0"/>
                    <w:jc w:val="center"/>
                    <w:rPr>
                      <w:rFonts w:hint="default"/>
                      <w:color w:val="auto"/>
                      <w:sz w:val="18"/>
                      <w:szCs w:val="18"/>
                      <w:lang w:val="en-US" w:eastAsia="zh-CN"/>
                    </w:rPr>
                  </w:pPr>
                  <w:r>
                    <w:rPr>
                      <w:rFonts w:hint="eastAsia"/>
                      <w:color w:val="auto"/>
                      <w:sz w:val="18"/>
                      <w:szCs w:val="18"/>
                      <w:lang w:val="en-US" w:eastAsia="zh-CN"/>
                    </w:rPr>
                    <w:t>128</w:t>
                  </w:r>
                </w:p>
              </w:tc>
              <w:tc>
                <w:tcPr>
                  <w:tcW w:w="178" w:type="pct"/>
                  <w:vAlign w:val="center"/>
                </w:tcPr>
                <w:p w14:paraId="56479068">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shd w:val="clear" w:color="auto" w:fill="auto"/>
                  <w:vAlign w:val="center"/>
                </w:tcPr>
                <w:p w14:paraId="47DC7E09">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334" w:type="pct"/>
                  <w:shd w:val="clear" w:color="auto" w:fill="auto"/>
                  <w:vAlign w:val="center"/>
                </w:tcPr>
                <w:p w14:paraId="319CCD62">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15" w:type="pct"/>
                  <w:shd w:val="clear" w:color="auto" w:fill="auto"/>
                  <w:vAlign w:val="center"/>
                </w:tcPr>
                <w:p w14:paraId="16966B9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70.0</w:t>
                  </w:r>
                </w:p>
              </w:tc>
              <w:tc>
                <w:tcPr>
                  <w:tcW w:w="626" w:type="pct"/>
                  <w:vMerge w:val="continue"/>
                  <w:shd w:val="clear" w:color="auto" w:fill="auto"/>
                  <w:vAlign w:val="center"/>
                </w:tcPr>
                <w:p w14:paraId="6D024182">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718CAA33">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6A40A5C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50.0</w:t>
                  </w:r>
                </w:p>
              </w:tc>
              <w:tc>
                <w:tcPr>
                  <w:tcW w:w="279" w:type="pct"/>
                  <w:shd w:val="clear" w:color="auto" w:fill="auto"/>
                  <w:vAlign w:val="center"/>
                </w:tcPr>
                <w:p w14:paraId="151412DD">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1CA24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2E24419B">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9</w:t>
                  </w:r>
                </w:p>
              </w:tc>
              <w:tc>
                <w:tcPr>
                  <w:tcW w:w="225" w:type="pct"/>
                  <w:vMerge w:val="continue"/>
                  <w:tcBorders>
                    <w:left w:val="single" w:color="auto" w:sz="4" w:space="0"/>
                  </w:tcBorders>
                  <w:vAlign w:val="center"/>
                </w:tcPr>
                <w:p w14:paraId="1543C535">
                  <w:pPr>
                    <w:pStyle w:val="223"/>
                    <w:autoSpaceDE/>
                    <w:autoSpaceDN/>
                    <w:snapToGrid w:val="0"/>
                    <w:jc w:val="center"/>
                    <w:rPr>
                      <w:rFonts w:hint="eastAsia"/>
                      <w:color w:val="auto"/>
                      <w:sz w:val="18"/>
                      <w:szCs w:val="18"/>
                      <w:lang w:val="en-US" w:eastAsia="zh-CN"/>
                    </w:rPr>
                  </w:pPr>
                </w:p>
              </w:tc>
              <w:tc>
                <w:tcPr>
                  <w:tcW w:w="232" w:type="pct"/>
                  <w:vAlign w:val="center"/>
                </w:tcPr>
                <w:p w14:paraId="1FD65301">
                  <w:pPr>
                    <w:adjustRightInd w:val="0"/>
                    <w:snapToGrid w:val="0"/>
                    <w:jc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铣床</w:t>
                  </w:r>
                </w:p>
              </w:tc>
              <w:tc>
                <w:tcPr>
                  <w:tcW w:w="641" w:type="pct"/>
                  <w:vAlign w:val="center"/>
                </w:tcPr>
                <w:p w14:paraId="2EFEC0BC">
                  <w:pPr>
                    <w:adjustRightInd w:val="0"/>
                    <w:snapToGrid w:val="0"/>
                    <w:jc w:val="center"/>
                    <w:rPr>
                      <w:rFonts w:hint="eastAsia"/>
                      <w:color w:val="auto"/>
                      <w:sz w:val="18"/>
                      <w:szCs w:val="18"/>
                      <w:lang w:val="en-US" w:eastAsia="zh-CN"/>
                    </w:rPr>
                  </w:pPr>
                  <w:r>
                    <w:rPr>
                      <w:rFonts w:hint="eastAsia"/>
                      <w:color w:val="auto"/>
                      <w:sz w:val="18"/>
                      <w:szCs w:val="18"/>
                      <w:lang w:val="en-US" w:eastAsia="zh-CN"/>
                    </w:rPr>
                    <w:t>70/1</w:t>
                  </w:r>
                </w:p>
              </w:tc>
              <w:tc>
                <w:tcPr>
                  <w:tcW w:w="534" w:type="pct"/>
                  <w:vMerge w:val="continue"/>
                  <w:vAlign w:val="center"/>
                </w:tcPr>
                <w:p w14:paraId="19303210">
                  <w:pPr>
                    <w:adjustRightInd w:val="0"/>
                    <w:snapToGrid w:val="0"/>
                    <w:jc w:val="center"/>
                    <w:rPr>
                      <w:rFonts w:hint="eastAsia"/>
                      <w:color w:val="auto"/>
                      <w:sz w:val="18"/>
                      <w:szCs w:val="18"/>
                    </w:rPr>
                  </w:pPr>
                </w:p>
              </w:tc>
              <w:tc>
                <w:tcPr>
                  <w:tcW w:w="262" w:type="pct"/>
                  <w:vAlign w:val="center"/>
                </w:tcPr>
                <w:p w14:paraId="48D4E6D0">
                  <w:pPr>
                    <w:adjustRightInd w:val="0"/>
                    <w:snapToGrid w:val="0"/>
                    <w:jc w:val="center"/>
                    <w:rPr>
                      <w:rFonts w:hint="default"/>
                      <w:color w:val="auto"/>
                      <w:sz w:val="18"/>
                      <w:szCs w:val="18"/>
                      <w:lang w:val="en-US" w:eastAsia="zh-CN"/>
                    </w:rPr>
                  </w:pPr>
                  <w:r>
                    <w:rPr>
                      <w:rFonts w:hint="eastAsia"/>
                      <w:color w:val="auto"/>
                      <w:sz w:val="18"/>
                      <w:szCs w:val="18"/>
                      <w:lang w:val="en-US" w:eastAsia="zh-CN"/>
                    </w:rPr>
                    <w:t>135</w:t>
                  </w:r>
                </w:p>
              </w:tc>
              <w:tc>
                <w:tcPr>
                  <w:tcW w:w="178" w:type="pct"/>
                  <w:vAlign w:val="center"/>
                </w:tcPr>
                <w:p w14:paraId="64337C00">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shd w:val="clear" w:color="auto" w:fill="auto"/>
                  <w:vAlign w:val="center"/>
                </w:tcPr>
                <w:p w14:paraId="07BC46BA">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334" w:type="pct"/>
                  <w:shd w:val="clear" w:color="auto" w:fill="auto"/>
                  <w:vAlign w:val="center"/>
                </w:tcPr>
                <w:p w14:paraId="4F1D88CC">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15" w:type="pct"/>
                  <w:shd w:val="clear" w:color="auto" w:fill="auto"/>
                  <w:vAlign w:val="center"/>
                </w:tcPr>
                <w:p w14:paraId="1BFD3803">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60.0</w:t>
                  </w:r>
                </w:p>
              </w:tc>
              <w:tc>
                <w:tcPr>
                  <w:tcW w:w="626" w:type="pct"/>
                  <w:vMerge w:val="continue"/>
                  <w:shd w:val="clear" w:color="auto" w:fill="auto"/>
                  <w:vAlign w:val="center"/>
                </w:tcPr>
                <w:p w14:paraId="674A537C">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1EAA1AF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017C1C31">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40.0</w:t>
                  </w:r>
                </w:p>
              </w:tc>
              <w:tc>
                <w:tcPr>
                  <w:tcW w:w="279" w:type="pct"/>
                  <w:shd w:val="clear" w:color="auto" w:fill="auto"/>
                  <w:vAlign w:val="center"/>
                </w:tcPr>
                <w:p w14:paraId="59638A8D">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22245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6D6879AA">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10</w:t>
                  </w:r>
                </w:p>
              </w:tc>
              <w:tc>
                <w:tcPr>
                  <w:tcW w:w="225" w:type="pct"/>
                  <w:vMerge w:val="continue"/>
                  <w:tcBorders>
                    <w:left w:val="single" w:color="auto" w:sz="4" w:space="0"/>
                  </w:tcBorders>
                  <w:vAlign w:val="center"/>
                </w:tcPr>
                <w:p w14:paraId="5CEC4E8B">
                  <w:pPr>
                    <w:pStyle w:val="223"/>
                    <w:autoSpaceDE/>
                    <w:autoSpaceDN/>
                    <w:snapToGrid w:val="0"/>
                    <w:jc w:val="center"/>
                    <w:rPr>
                      <w:rFonts w:hint="eastAsia"/>
                      <w:color w:val="auto"/>
                      <w:sz w:val="18"/>
                      <w:szCs w:val="18"/>
                      <w:lang w:val="en-US" w:eastAsia="zh-CN"/>
                    </w:rPr>
                  </w:pPr>
                </w:p>
              </w:tc>
              <w:tc>
                <w:tcPr>
                  <w:tcW w:w="232" w:type="pct"/>
                  <w:vAlign w:val="center"/>
                </w:tcPr>
                <w:p w14:paraId="5E7A2EF0">
                  <w:pPr>
                    <w:adjustRightInd w:val="0"/>
                    <w:snapToGrid w:val="0"/>
                    <w:jc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组框机</w:t>
                  </w:r>
                </w:p>
              </w:tc>
              <w:tc>
                <w:tcPr>
                  <w:tcW w:w="641" w:type="pct"/>
                  <w:vAlign w:val="center"/>
                </w:tcPr>
                <w:p w14:paraId="7A27983D">
                  <w:pPr>
                    <w:adjustRightInd w:val="0"/>
                    <w:snapToGrid w:val="0"/>
                    <w:jc w:val="center"/>
                    <w:rPr>
                      <w:rFonts w:hint="eastAsia"/>
                      <w:color w:val="auto"/>
                      <w:sz w:val="18"/>
                      <w:szCs w:val="18"/>
                      <w:lang w:val="en-US" w:eastAsia="zh-CN"/>
                    </w:rPr>
                  </w:pPr>
                  <w:r>
                    <w:rPr>
                      <w:rFonts w:hint="eastAsia"/>
                      <w:color w:val="auto"/>
                      <w:sz w:val="18"/>
                      <w:szCs w:val="18"/>
                      <w:lang w:val="en-US" w:eastAsia="zh-CN"/>
                    </w:rPr>
                    <w:t>70/1</w:t>
                  </w:r>
                </w:p>
              </w:tc>
              <w:tc>
                <w:tcPr>
                  <w:tcW w:w="534" w:type="pct"/>
                  <w:vMerge w:val="continue"/>
                  <w:vAlign w:val="center"/>
                </w:tcPr>
                <w:p w14:paraId="0D9AB6B4">
                  <w:pPr>
                    <w:adjustRightInd w:val="0"/>
                    <w:snapToGrid w:val="0"/>
                    <w:jc w:val="center"/>
                    <w:rPr>
                      <w:rFonts w:hint="eastAsia"/>
                      <w:color w:val="auto"/>
                      <w:sz w:val="18"/>
                      <w:szCs w:val="18"/>
                    </w:rPr>
                  </w:pPr>
                </w:p>
              </w:tc>
              <w:tc>
                <w:tcPr>
                  <w:tcW w:w="262" w:type="pct"/>
                  <w:vAlign w:val="center"/>
                </w:tcPr>
                <w:p w14:paraId="30DB1276">
                  <w:pPr>
                    <w:adjustRightInd w:val="0"/>
                    <w:snapToGrid w:val="0"/>
                    <w:jc w:val="center"/>
                    <w:rPr>
                      <w:rFonts w:hint="default"/>
                      <w:color w:val="auto"/>
                      <w:sz w:val="18"/>
                      <w:szCs w:val="18"/>
                      <w:lang w:val="en-US" w:eastAsia="zh-CN"/>
                    </w:rPr>
                  </w:pPr>
                  <w:r>
                    <w:rPr>
                      <w:rFonts w:hint="eastAsia"/>
                      <w:color w:val="auto"/>
                      <w:sz w:val="18"/>
                      <w:szCs w:val="18"/>
                      <w:lang w:val="en-US" w:eastAsia="zh-CN"/>
                    </w:rPr>
                    <w:t>142</w:t>
                  </w:r>
                </w:p>
              </w:tc>
              <w:tc>
                <w:tcPr>
                  <w:tcW w:w="178" w:type="pct"/>
                  <w:vAlign w:val="center"/>
                </w:tcPr>
                <w:p w14:paraId="3051600E">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vAlign w:val="center"/>
                </w:tcPr>
                <w:p w14:paraId="611102D6">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5B4CC3FD">
                  <w:pPr>
                    <w:adjustRightInd w:val="0"/>
                    <w:snapToGrid w:val="0"/>
                    <w:jc w:val="center"/>
                    <w:rPr>
                      <w:rFonts w:hint="default"/>
                      <w:color w:val="auto"/>
                      <w:sz w:val="18"/>
                      <w:szCs w:val="18"/>
                      <w:lang w:val="en-US" w:eastAsia="zh-CN"/>
                    </w:rPr>
                  </w:pPr>
                  <w:r>
                    <w:rPr>
                      <w:rFonts w:hint="eastAsia"/>
                      <w:color w:val="auto"/>
                      <w:sz w:val="18"/>
                      <w:szCs w:val="18"/>
                      <w:lang w:val="en-US" w:eastAsia="zh-CN"/>
                    </w:rPr>
                    <w:t>5</w:t>
                  </w:r>
                </w:p>
              </w:tc>
              <w:tc>
                <w:tcPr>
                  <w:tcW w:w="415" w:type="pct"/>
                  <w:shd w:val="clear" w:color="auto" w:fill="auto"/>
                  <w:vAlign w:val="center"/>
                </w:tcPr>
                <w:p w14:paraId="0F29EE11">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60.0</w:t>
                  </w:r>
                </w:p>
              </w:tc>
              <w:tc>
                <w:tcPr>
                  <w:tcW w:w="626" w:type="pct"/>
                  <w:vMerge w:val="continue"/>
                  <w:shd w:val="clear" w:color="auto" w:fill="auto"/>
                  <w:vAlign w:val="center"/>
                </w:tcPr>
                <w:p w14:paraId="1B5179FA">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3885F8F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6C0BD21A">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40.0</w:t>
                  </w:r>
                </w:p>
              </w:tc>
              <w:tc>
                <w:tcPr>
                  <w:tcW w:w="279" w:type="pct"/>
                  <w:shd w:val="clear" w:color="auto" w:fill="auto"/>
                  <w:vAlign w:val="center"/>
                </w:tcPr>
                <w:p w14:paraId="144C7AD4">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6FCC4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55FA25BC">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11</w:t>
                  </w:r>
                </w:p>
              </w:tc>
              <w:tc>
                <w:tcPr>
                  <w:tcW w:w="225" w:type="pct"/>
                  <w:vMerge w:val="continue"/>
                  <w:tcBorders>
                    <w:left w:val="single" w:color="auto" w:sz="4" w:space="0"/>
                  </w:tcBorders>
                  <w:vAlign w:val="center"/>
                </w:tcPr>
                <w:p w14:paraId="6F7D8285">
                  <w:pPr>
                    <w:pStyle w:val="223"/>
                    <w:autoSpaceDE/>
                    <w:autoSpaceDN/>
                    <w:snapToGrid w:val="0"/>
                    <w:jc w:val="center"/>
                    <w:rPr>
                      <w:rFonts w:hint="eastAsia"/>
                      <w:color w:val="auto"/>
                      <w:sz w:val="18"/>
                      <w:szCs w:val="18"/>
                      <w:lang w:val="en-US" w:eastAsia="zh-CN"/>
                    </w:rPr>
                  </w:pPr>
                </w:p>
              </w:tc>
              <w:tc>
                <w:tcPr>
                  <w:tcW w:w="232" w:type="pct"/>
                  <w:vAlign w:val="center"/>
                </w:tcPr>
                <w:p w14:paraId="296C444E">
                  <w:pPr>
                    <w:adjustRightInd w:val="0"/>
                    <w:snapToGrid w:val="0"/>
                    <w:jc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涂装机</w:t>
                  </w:r>
                </w:p>
              </w:tc>
              <w:tc>
                <w:tcPr>
                  <w:tcW w:w="641" w:type="pct"/>
                  <w:vAlign w:val="center"/>
                </w:tcPr>
                <w:p w14:paraId="392C83CC">
                  <w:pPr>
                    <w:adjustRightInd w:val="0"/>
                    <w:snapToGrid w:val="0"/>
                    <w:jc w:val="center"/>
                    <w:rPr>
                      <w:rFonts w:hint="eastAsia"/>
                      <w:color w:val="auto"/>
                      <w:sz w:val="18"/>
                      <w:szCs w:val="18"/>
                      <w:lang w:val="en-US" w:eastAsia="zh-CN"/>
                    </w:rPr>
                  </w:pPr>
                  <w:r>
                    <w:rPr>
                      <w:rFonts w:hint="eastAsia"/>
                      <w:color w:val="auto"/>
                      <w:sz w:val="18"/>
                      <w:szCs w:val="18"/>
                      <w:lang w:val="en-US" w:eastAsia="zh-CN"/>
                    </w:rPr>
                    <w:t>70/1</w:t>
                  </w:r>
                </w:p>
              </w:tc>
              <w:tc>
                <w:tcPr>
                  <w:tcW w:w="534" w:type="pct"/>
                  <w:vMerge w:val="continue"/>
                  <w:vAlign w:val="center"/>
                </w:tcPr>
                <w:p w14:paraId="5CF65353">
                  <w:pPr>
                    <w:adjustRightInd w:val="0"/>
                    <w:snapToGrid w:val="0"/>
                    <w:jc w:val="center"/>
                    <w:rPr>
                      <w:rFonts w:hint="eastAsia"/>
                      <w:color w:val="auto"/>
                      <w:sz w:val="18"/>
                      <w:szCs w:val="18"/>
                    </w:rPr>
                  </w:pPr>
                </w:p>
              </w:tc>
              <w:tc>
                <w:tcPr>
                  <w:tcW w:w="262" w:type="pct"/>
                  <w:vAlign w:val="center"/>
                </w:tcPr>
                <w:p w14:paraId="17833997">
                  <w:pPr>
                    <w:adjustRightInd w:val="0"/>
                    <w:snapToGrid w:val="0"/>
                    <w:jc w:val="center"/>
                    <w:rPr>
                      <w:rFonts w:hint="default"/>
                      <w:color w:val="auto"/>
                      <w:sz w:val="18"/>
                      <w:szCs w:val="18"/>
                      <w:lang w:val="en-US" w:eastAsia="zh-CN"/>
                    </w:rPr>
                  </w:pPr>
                  <w:r>
                    <w:rPr>
                      <w:rFonts w:hint="eastAsia"/>
                      <w:color w:val="auto"/>
                      <w:sz w:val="18"/>
                      <w:szCs w:val="18"/>
                      <w:lang w:val="en-US" w:eastAsia="zh-CN"/>
                    </w:rPr>
                    <w:t>150</w:t>
                  </w:r>
                </w:p>
              </w:tc>
              <w:tc>
                <w:tcPr>
                  <w:tcW w:w="178" w:type="pct"/>
                  <w:vAlign w:val="center"/>
                </w:tcPr>
                <w:p w14:paraId="0ED6A4C2">
                  <w:pPr>
                    <w:adjustRightInd w:val="0"/>
                    <w:snapToGrid w:val="0"/>
                    <w:jc w:val="center"/>
                    <w:rPr>
                      <w:rFonts w:hint="default"/>
                      <w:color w:val="auto"/>
                      <w:sz w:val="18"/>
                      <w:szCs w:val="18"/>
                      <w:lang w:val="en-US" w:eastAsia="zh-CN"/>
                    </w:rPr>
                  </w:pPr>
                  <w:r>
                    <w:rPr>
                      <w:rFonts w:hint="eastAsia"/>
                      <w:color w:val="auto"/>
                      <w:sz w:val="18"/>
                      <w:szCs w:val="18"/>
                      <w:lang w:val="en-US" w:eastAsia="zh-CN"/>
                    </w:rPr>
                    <w:t>204</w:t>
                  </w:r>
                </w:p>
              </w:tc>
              <w:tc>
                <w:tcPr>
                  <w:tcW w:w="188" w:type="pct"/>
                  <w:vAlign w:val="center"/>
                </w:tcPr>
                <w:p w14:paraId="726ABE92">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3E2D58DE">
                  <w:pPr>
                    <w:adjustRightInd w:val="0"/>
                    <w:snapToGrid w:val="0"/>
                    <w:jc w:val="center"/>
                    <w:rPr>
                      <w:rFonts w:hint="default"/>
                      <w:color w:val="auto"/>
                      <w:sz w:val="18"/>
                      <w:szCs w:val="18"/>
                      <w:lang w:val="en-US" w:eastAsia="zh-CN"/>
                    </w:rPr>
                  </w:pPr>
                  <w:r>
                    <w:rPr>
                      <w:rFonts w:hint="eastAsia"/>
                      <w:color w:val="auto"/>
                      <w:sz w:val="18"/>
                      <w:szCs w:val="18"/>
                      <w:lang w:val="en-US" w:eastAsia="zh-CN"/>
                    </w:rPr>
                    <w:t>8</w:t>
                  </w:r>
                </w:p>
              </w:tc>
              <w:tc>
                <w:tcPr>
                  <w:tcW w:w="415" w:type="pct"/>
                  <w:shd w:val="clear" w:color="auto" w:fill="auto"/>
                  <w:vAlign w:val="center"/>
                </w:tcPr>
                <w:p w14:paraId="2E81FF9A">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60.0</w:t>
                  </w:r>
                </w:p>
              </w:tc>
              <w:tc>
                <w:tcPr>
                  <w:tcW w:w="626" w:type="pct"/>
                  <w:vMerge w:val="continue"/>
                  <w:shd w:val="clear" w:color="auto" w:fill="auto"/>
                  <w:vAlign w:val="center"/>
                </w:tcPr>
                <w:p w14:paraId="15F0BC75">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21B9BD2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5E5CFC2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40.0</w:t>
                  </w:r>
                </w:p>
              </w:tc>
              <w:tc>
                <w:tcPr>
                  <w:tcW w:w="279" w:type="pct"/>
                  <w:shd w:val="clear" w:color="auto" w:fill="auto"/>
                  <w:vAlign w:val="center"/>
                </w:tcPr>
                <w:p w14:paraId="7E9A68F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373D4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55E62340">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12</w:t>
                  </w:r>
                </w:p>
              </w:tc>
              <w:tc>
                <w:tcPr>
                  <w:tcW w:w="225" w:type="pct"/>
                  <w:vMerge w:val="restart"/>
                  <w:tcBorders>
                    <w:left w:val="single" w:color="auto" w:sz="4" w:space="0"/>
                  </w:tcBorders>
                  <w:vAlign w:val="center"/>
                </w:tcPr>
                <w:p w14:paraId="6B0010FC">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三车间</w:t>
                  </w:r>
                </w:p>
              </w:tc>
              <w:tc>
                <w:tcPr>
                  <w:tcW w:w="232" w:type="pct"/>
                  <w:vAlign w:val="center"/>
                </w:tcPr>
                <w:p w14:paraId="165984C4">
                  <w:pPr>
                    <w:adjustRightInd w:val="0"/>
                    <w:snapToGrid w:val="0"/>
                    <w:jc w:val="center"/>
                    <w:rPr>
                      <w:rFonts w:hint="default" w:cs="Times New Roman"/>
                      <w:color w:val="auto"/>
                      <w:kern w:val="2"/>
                      <w:sz w:val="18"/>
                      <w:szCs w:val="18"/>
                      <w:lang w:val="en-US" w:eastAsia="zh-CN" w:bidi="ar-SA"/>
                    </w:rPr>
                  </w:pPr>
                  <w:r>
                    <w:rPr>
                      <w:rFonts w:hint="eastAsia" w:cs="Times New Roman"/>
                      <w:color w:val="auto"/>
                      <w:kern w:val="2"/>
                      <w:sz w:val="18"/>
                      <w:szCs w:val="18"/>
                      <w:lang w:val="en-US" w:eastAsia="zh-CN" w:bidi="ar-SA"/>
                    </w:rPr>
                    <w:t>雕刻机</w:t>
                  </w:r>
                </w:p>
              </w:tc>
              <w:tc>
                <w:tcPr>
                  <w:tcW w:w="641" w:type="pct"/>
                  <w:vAlign w:val="center"/>
                </w:tcPr>
                <w:p w14:paraId="69A679EF">
                  <w:pPr>
                    <w:adjustRightInd w:val="0"/>
                    <w:snapToGrid w:val="0"/>
                    <w:jc w:val="center"/>
                    <w:rPr>
                      <w:rFonts w:hint="eastAsia"/>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4404B826">
                  <w:pPr>
                    <w:adjustRightInd w:val="0"/>
                    <w:snapToGrid w:val="0"/>
                    <w:jc w:val="center"/>
                    <w:rPr>
                      <w:rFonts w:hint="eastAsia"/>
                      <w:color w:val="auto"/>
                      <w:sz w:val="18"/>
                      <w:szCs w:val="18"/>
                    </w:rPr>
                  </w:pPr>
                </w:p>
              </w:tc>
              <w:tc>
                <w:tcPr>
                  <w:tcW w:w="262" w:type="pct"/>
                  <w:vAlign w:val="center"/>
                </w:tcPr>
                <w:p w14:paraId="44864117">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178" w:type="pct"/>
                  <w:vAlign w:val="center"/>
                </w:tcPr>
                <w:p w14:paraId="50350D08">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vAlign w:val="center"/>
                </w:tcPr>
                <w:p w14:paraId="565ED86C">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474FB9E3">
                  <w:pPr>
                    <w:adjustRightInd w:val="0"/>
                    <w:snapToGrid w:val="0"/>
                    <w:jc w:val="center"/>
                    <w:rPr>
                      <w:rFonts w:hint="eastAsia"/>
                      <w:color w:val="auto"/>
                      <w:sz w:val="18"/>
                      <w:szCs w:val="18"/>
                      <w:lang w:val="en-US" w:eastAsia="zh-CN"/>
                    </w:rPr>
                  </w:pPr>
                  <w:r>
                    <w:rPr>
                      <w:rFonts w:hint="eastAsia"/>
                      <w:color w:val="auto"/>
                      <w:sz w:val="18"/>
                      <w:szCs w:val="18"/>
                      <w:lang w:val="en-US" w:eastAsia="zh-CN"/>
                    </w:rPr>
                    <w:t>5</w:t>
                  </w:r>
                </w:p>
              </w:tc>
              <w:tc>
                <w:tcPr>
                  <w:tcW w:w="415" w:type="pct"/>
                  <w:vAlign w:val="center"/>
                </w:tcPr>
                <w:p w14:paraId="2098665F">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75BF0EAE">
                  <w:pPr>
                    <w:adjustRightInd w:val="0"/>
                    <w:snapToGrid w:val="0"/>
                    <w:jc w:val="center"/>
                    <w:rPr>
                      <w:rFonts w:hint="default"/>
                      <w:color w:val="auto"/>
                      <w:sz w:val="18"/>
                      <w:szCs w:val="18"/>
                      <w:lang w:val="en-US" w:eastAsia="zh-CN"/>
                    </w:rPr>
                  </w:pPr>
                </w:p>
              </w:tc>
              <w:tc>
                <w:tcPr>
                  <w:tcW w:w="534" w:type="pct"/>
                  <w:vAlign w:val="center"/>
                </w:tcPr>
                <w:p w14:paraId="4AAC0A40">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6398FF87">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070B6AEC">
                  <w:pPr>
                    <w:adjustRightInd w:val="0"/>
                    <w:snapToGrid w:val="0"/>
                    <w:jc w:val="center"/>
                    <w:rPr>
                      <w:rFonts w:hint="eastAsia"/>
                      <w:color w:val="auto"/>
                      <w:sz w:val="18"/>
                      <w:szCs w:val="18"/>
                    </w:rPr>
                  </w:pPr>
                  <w:r>
                    <w:rPr>
                      <w:rFonts w:hint="eastAsia"/>
                      <w:color w:val="auto"/>
                      <w:sz w:val="18"/>
                      <w:szCs w:val="18"/>
                    </w:rPr>
                    <w:t>1</w:t>
                  </w:r>
                </w:p>
              </w:tc>
            </w:tr>
            <w:tr w14:paraId="679E8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3FB5CA1D">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13</w:t>
                  </w:r>
                </w:p>
              </w:tc>
              <w:tc>
                <w:tcPr>
                  <w:tcW w:w="225" w:type="pct"/>
                  <w:vMerge w:val="continue"/>
                  <w:tcBorders>
                    <w:left w:val="single" w:color="auto" w:sz="4" w:space="0"/>
                  </w:tcBorders>
                  <w:vAlign w:val="center"/>
                </w:tcPr>
                <w:p w14:paraId="0E8B84A9">
                  <w:pPr>
                    <w:pStyle w:val="223"/>
                    <w:autoSpaceDE/>
                    <w:autoSpaceDN/>
                    <w:snapToGrid w:val="0"/>
                    <w:jc w:val="center"/>
                    <w:rPr>
                      <w:rFonts w:hint="eastAsia"/>
                      <w:color w:val="auto"/>
                      <w:sz w:val="18"/>
                      <w:szCs w:val="18"/>
                      <w:lang w:val="en-US" w:eastAsia="zh-CN"/>
                    </w:rPr>
                  </w:pPr>
                </w:p>
              </w:tc>
              <w:tc>
                <w:tcPr>
                  <w:tcW w:w="232" w:type="pct"/>
                  <w:vAlign w:val="center"/>
                </w:tcPr>
                <w:p w14:paraId="2B7F4912">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花格机</w:t>
                  </w:r>
                </w:p>
              </w:tc>
              <w:tc>
                <w:tcPr>
                  <w:tcW w:w="641" w:type="pct"/>
                  <w:vAlign w:val="center"/>
                </w:tcPr>
                <w:p w14:paraId="281C3E28">
                  <w:pPr>
                    <w:adjustRightInd w:val="0"/>
                    <w:snapToGrid w:val="0"/>
                    <w:jc w:val="center"/>
                    <w:rPr>
                      <w:rFonts w:hint="default"/>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66532E10">
                  <w:pPr>
                    <w:adjustRightInd w:val="0"/>
                    <w:snapToGrid w:val="0"/>
                    <w:jc w:val="center"/>
                    <w:rPr>
                      <w:rFonts w:hint="eastAsia"/>
                      <w:color w:val="auto"/>
                      <w:sz w:val="18"/>
                      <w:szCs w:val="18"/>
                    </w:rPr>
                  </w:pPr>
                </w:p>
              </w:tc>
              <w:tc>
                <w:tcPr>
                  <w:tcW w:w="262" w:type="pct"/>
                  <w:vAlign w:val="center"/>
                </w:tcPr>
                <w:p w14:paraId="0C3AFDFD">
                  <w:pPr>
                    <w:adjustRightInd w:val="0"/>
                    <w:snapToGrid w:val="0"/>
                    <w:jc w:val="center"/>
                    <w:rPr>
                      <w:rFonts w:hint="default"/>
                      <w:color w:val="auto"/>
                      <w:sz w:val="18"/>
                      <w:szCs w:val="18"/>
                      <w:lang w:val="en-US" w:eastAsia="zh-CN"/>
                    </w:rPr>
                  </w:pPr>
                  <w:r>
                    <w:rPr>
                      <w:rFonts w:hint="eastAsia"/>
                      <w:color w:val="auto"/>
                      <w:sz w:val="18"/>
                      <w:szCs w:val="18"/>
                      <w:lang w:val="en-US" w:eastAsia="zh-CN"/>
                    </w:rPr>
                    <w:t>25</w:t>
                  </w:r>
                </w:p>
              </w:tc>
              <w:tc>
                <w:tcPr>
                  <w:tcW w:w="178" w:type="pct"/>
                  <w:vAlign w:val="center"/>
                </w:tcPr>
                <w:p w14:paraId="74DA4684">
                  <w:pPr>
                    <w:adjustRightInd w:val="0"/>
                    <w:snapToGrid w:val="0"/>
                    <w:jc w:val="center"/>
                    <w:rPr>
                      <w:rFonts w:hint="default"/>
                      <w:color w:val="auto"/>
                      <w:sz w:val="18"/>
                      <w:szCs w:val="18"/>
                      <w:lang w:val="en-US" w:eastAsia="zh-CN"/>
                    </w:rPr>
                  </w:pPr>
                  <w:r>
                    <w:rPr>
                      <w:rFonts w:hint="eastAsia"/>
                      <w:color w:val="auto"/>
                      <w:sz w:val="18"/>
                      <w:szCs w:val="18"/>
                      <w:lang w:val="en-US" w:eastAsia="zh-CN"/>
                    </w:rPr>
                    <w:t>208</w:t>
                  </w:r>
                </w:p>
              </w:tc>
              <w:tc>
                <w:tcPr>
                  <w:tcW w:w="188" w:type="pct"/>
                  <w:vAlign w:val="center"/>
                </w:tcPr>
                <w:p w14:paraId="6241413A">
                  <w:pPr>
                    <w:adjustRightInd w:val="0"/>
                    <w:snapToGrid w:val="0"/>
                    <w:jc w:val="center"/>
                    <w:rPr>
                      <w:rFonts w:hint="default"/>
                      <w:color w:val="auto"/>
                      <w:sz w:val="18"/>
                      <w:szCs w:val="18"/>
                      <w:lang w:val="en-US" w:eastAsia="zh-CN"/>
                    </w:rPr>
                  </w:pPr>
                  <w:r>
                    <w:rPr>
                      <w:rFonts w:hint="eastAsia"/>
                      <w:color w:val="auto"/>
                      <w:sz w:val="18"/>
                      <w:szCs w:val="18"/>
                      <w:lang w:val="en-US" w:eastAsia="zh-CN"/>
                    </w:rPr>
                    <w:t>2</w:t>
                  </w:r>
                </w:p>
              </w:tc>
              <w:tc>
                <w:tcPr>
                  <w:tcW w:w="334" w:type="pct"/>
                  <w:vAlign w:val="center"/>
                </w:tcPr>
                <w:p w14:paraId="072AA60C">
                  <w:pPr>
                    <w:adjustRightInd w:val="0"/>
                    <w:snapToGrid w:val="0"/>
                    <w:jc w:val="center"/>
                    <w:rPr>
                      <w:rFonts w:hint="eastAsia"/>
                      <w:color w:val="auto"/>
                      <w:sz w:val="18"/>
                      <w:szCs w:val="18"/>
                      <w:lang w:val="en-US" w:eastAsia="zh-CN"/>
                    </w:rPr>
                  </w:pPr>
                  <w:r>
                    <w:rPr>
                      <w:rFonts w:hint="eastAsia"/>
                      <w:color w:val="auto"/>
                      <w:sz w:val="18"/>
                      <w:szCs w:val="18"/>
                      <w:lang w:val="en-US" w:eastAsia="zh-CN"/>
                    </w:rPr>
                    <w:t>5</w:t>
                  </w:r>
                </w:p>
              </w:tc>
              <w:tc>
                <w:tcPr>
                  <w:tcW w:w="415" w:type="pct"/>
                  <w:vAlign w:val="center"/>
                </w:tcPr>
                <w:p w14:paraId="351602FC">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00DE498E">
                  <w:pPr>
                    <w:adjustRightInd w:val="0"/>
                    <w:snapToGrid w:val="0"/>
                    <w:jc w:val="center"/>
                    <w:rPr>
                      <w:rFonts w:hint="eastAsia"/>
                      <w:color w:val="auto"/>
                      <w:sz w:val="18"/>
                      <w:szCs w:val="18"/>
                      <w:lang w:val="en-US" w:eastAsia="zh-CN"/>
                    </w:rPr>
                  </w:pPr>
                </w:p>
              </w:tc>
              <w:tc>
                <w:tcPr>
                  <w:tcW w:w="534" w:type="pct"/>
                  <w:vAlign w:val="center"/>
                </w:tcPr>
                <w:p w14:paraId="3E35B87B">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0BC80140">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2B6CF81D">
                  <w:pPr>
                    <w:adjustRightInd w:val="0"/>
                    <w:snapToGrid w:val="0"/>
                    <w:jc w:val="center"/>
                    <w:rPr>
                      <w:rFonts w:hint="eastAsia"/>
                      <w:color w:val="auto"/>
                      <w:sz w:val="18"/>
                      <w:szCs w:val="18"/>
                    </w:rPr>
                  </w:pPr>
                  <w:r>
                    <w:rPr>
                      <w:rFonts w:hint="eastAsia"/>
                      <w:color w:val="auto"/>
                      <w:sz w:val="18"/>
                      <w:szCs w:val="18"/>
                    </w:rPr>
                    <w:t>1</w:t>
                  </w:r>
                </w:p>
              </w:tc>
            </w:tr>
            <w:tr w14:paraId="6CE0D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81" w:hRule="atLeast"/>
              </w:trPr>
              <w:tc>
                <w:tcPr>
                  <w:tcW w:w="133" w:type="pct"/>
                  <w:tcBorders>
                    <w:right w:val="single" w:color="auto" w:sz="4" w:space="0"/>
                  </w:tcBorders>
                  <w:shd w:val="clear" w:color="auto" w:fill="auto"/>
                  <w:vAlign w:val="center"/>
                </w:tcPr>
                <w:p w14:paraId="480EA399">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14</w:t>
                  </w:r>
                </w:p>
              </w:tc>
              <w:tc>
                <w:tcPr>
                  <w:tcW w:w="225" w:type="pct"/>
                  <w:vMerge w:val="continue"/>
                  <w:tcBorders>
                    <w:left w:val="single" w:color="auto" w:sz="4" w:space="0"/>
                  </w:tcBorders>
                  <w:vAlign w:val="center"/>
                </w:tcPr>
                <w:p w14:paraId="7BC25271">
                  <w:pPr>
                    <w:pStyle w:val="223"/>
                    <w:autoSpaceDE/>
                    <w:autoSpaceDN/>
                    <w:snapToGrid w:val="0"/>
                    <w:jc w:val="center"/>
                    <w:rPr>
                      <w:rFonts w:hint="eastAsia"/>
                      <w:color w:val="auto"/>
                      <w:sz w:val="18"/>
                      <w:szCs w:val="18"/>
                      <w:lang w:val="en-US" w:eastAsia="zh-CN"/>
                    </w:rPr>
                  </w:pPr>
                </w:p>
              </w:tc>
              <w:tc>
                <w:tcPr>
                  <w:tcW w:w="232" w:type="pct"/>
                  <w:vAlign w:val="center"/>
                </w:tcPr>
                <w:p w14:paraId="4187B988">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榫槽机</w:t>
                  </w:r>
                </w:p>
              </w:tc>
              <w:tc>
                <w:tcPr>
                  <w:tcW w:w="641" w:type="pct"/>
                  <w:shd w:val="clear" w:color="auto" w:fill="auto"/>
                  <w:vAlign w:val="center"/>
                </w:tcPr>
                <w:p w14:paraId="3CA4951D">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80/1</w:t>
                  </w:r>
                </w:p>
              </w:tc>
              <w:tc>
                <w:tcPr>
                  <w:tcW w:w="534" w:type="pct"/>
                  <w:vMerge w:val="continue"/>
                  <w:shd w:val="clear" w:color="auto" w:fill="auto"/>
                  <w:vAlign w:val="center"/>
                </w:tcPr>
                <w:p w14:paraId="58229B09">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262" w:type="pct"/>
                  <w:shd w:val="clear" w:color="auto" w:fill="auto"/>
                  <w:vAlign w:val="center"/>
                </w:tcPr>
                <w:p w14:paraId="50AC2F00">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35</w:t>
                  </w:r>
                </w:p>
              </w:tc>
              <w:tc>
                <w:tcPr>
                  <w:tcW w:w="178" w:type="pct"/>
                  <w:shd w:val="clear" w:color="auto" w:fill="auto"/>
                  <w:vAlign w:val="center"/>
                </w:tcPr>
                <w:p w14:paraId="1AC3A8A3">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208</w:t>
                  </w:r>
                </w:p>
              </w:tc>
              <w:tc>
                <w:tcPr>
                  <w:tcW w:w="188" w:type="pct"/>
                  <w:shd w:val="clear" w:color="auto" w:fill="auto"/>
                  <w:vAlign w:val="center"/>
                </w:tcPr>
                <w:p w14:paraId="3D2BA1D1">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334" w:type="pct"/>
                  <w:shd w:val="clear" w:color="auto" w:fill="auto"/>
                  <w:vAlign w:val="center"/>
                </w:tcPr>
                <w:p w14:paraId="27EA621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15" w:type="pct"/>
                  <w:shd w:val="clear" w:color="auto" w:fill="auto"/>
                  <w:vAlign w:val="center"/>
                </w:tcPr>
                <w:p w14:paraId="48ACE0F2">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70.0</w:t>
                  </w:r>
                </w:p>
              </w:tc>
              <w:tc>
                <w:tcPr>
                  <w:tcW w:w="626" w:type="pct"/>
                  <w:vMerge w:val="continue"/>
                  <w:shd w:val="clear" w:color="auto" w:fill="auto"/>
                  <w:vAlign w:val="center"/>
                </w:tcPr>
                <w:p w14:paraId="40010C4D">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0EA7608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392853A5">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50.0</w:t>
                  </w:r>
                </w:p>
              </w:tc>
              <w:tc>
                <w:tcPr>
                  <w:tcW w:w="279" w:type="pct"/>
                  <w:shd w:val="clear" w:color="auto" w:fill="auto"/>
                  <w:vAlign w:val="center"/>
                </w:tcPr>
                <w:p w14:paraId="668A2C7C">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5125C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676605A3">
                  <w:pPr>
                    <w:pStyle w:val="223"/>
                    <w:autoSpaceDE/>
                    <w:autoSpaceDN/>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sz w:val="18"/>
                      <w:szCs w:val="18"/>
                      <w:lang w:val="en-US" w:eastAsia="zh-CN"/>
                    </w:rPr>
                    <w:t>15</w:t>
                  </w:r>
                </w:p>
              </w:tc>
              <w:tc>
                <w:tcPr>
                  <w:tcW w:w="225" w:type="pct"/>
                  <w:vMerge w:val="continue"/>
                  <w:tcBorders>
                    <w:left w:val="single" w:color="auto" w:sz="4" w:space="0"/>
                  </w:tcBorders>
                  <w:vAlign w:val="center"/>
                </w:tcPr>
                <w:p w14:paraId="495DC586">
                  <w:pPr>
                    <w:pStyle w:val="223"/>
                    <w:autoSpaceDE/>
                    <w:autoSpaceDN/>
                    <w:snapToGrid w:val="0"/>
                    <w:jc w:val="center"/>
                    <w:rPr>
                      <w:rFonts w:hint="eastAsia"/>
                      <w:color w:val="auto"/>
                      <w:sz w:val="18"/>
                      <w:szCs w:val="18"/>
                      <w:lang w:val="en-US" w:eastAsia="zh-CN"/>
                    </w:rPr>
                  </w:pPr>
                </w:p>
              </w:tc>
              <w:tc>
                <w:tcPr>
                  <w:tcW w:w="232" w:type="pct"/>
                  <w:vAlign w:val="center"/>
                </w:tcPr>
                <w:p w14:paraId="1972D63C">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铣床</w:t>
                  </w:r>
                </w:p>
              </w:tc>
              <w:tc>
                <w:tcPr>
                  <w:tcW w:w="641" w:type="pct"/>
                  <w:shd w:val="clear" w:color="auto" w:fill="auto"/>
                  <w:vAlign w:val="center"/>
                </w:tcPr>
                <w:p w14:paraId="40917161">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70/1</w:t>
                  </w:r>
                </w:p>
              </w:tc>
              <w:tc>
                <w:tcPr>
                  <w:tcW w:w="534" w:type="pct"/>
                  <w:vMerge w:val="continue"/>
                  <w:shd w:val="clear" w:color="auto" w:fill="auto"/>
                  <w:vAlign w:val="center"/>
                </w:tcPr>
                <w:p w14:paraId="3B663DEC">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262" w:type="pct"/>
                  <w:shd w:val="clear" w:color="auto" w:fill="auto"/>
                  <w:vAlign w:val="center"/>
                </w:tcPr>
                <w:p w14:paraId="43544EA5">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45</w:t>
                  </w:r>
                </w:p>
              </w:tc>
              <w:tc>
                <w:tcPr>
                  <w:tcW w:w="178" w:type="pct"/>
                  <w:shd w:val="clear" w:color="auto" w:fill="auto"/>
                  <w:vAlign w:val="center"/>
                </w:tcPr>
                <w:p w14:paraId="63689ED1">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208</w:t>
                  </w:r>
                </w:p>
              </w:tc>
              <w:tc>
                <w:tcPr>
                  <w:tcW w:w="188" w:type="pct"/>
                  <w:shd w:val="clear" w:color="auto" w:fill="auto"/>
                  <w:vAlign w:val="center"/>
                </w:tcPr>
                <w:p w14:paraId="7E738637">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w:t>
                  </w:r>
                </w:p>
              </w:tc>
              <w:tc>
                <w:tcPr>
                  <w:tcW w:w="334" w:type="pct"/>
                  <w:shd w:val="clear" w:color="auto" w:fill="auto"/>
                  <w:vAlign w:val="center"/>
                </w:tcPr>
                <w:p w14:paraId="7595E35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15" w:type="pct"/>
                  <w:shd w:val="clear" w:color="auto" w:fill="auto"/>
                  <w:vAlign w:val="center"/>
                </w:tcPr>
                <w:p w14:paraId="19CDCBAC">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60.0</w:t>
                  </w:r>
                </w:p>
              </w:tc>
              <w:tc>
                <w:tcPr>
                  <w:tcW w:w="626" w:type="pct"/>
                  <w:vMerge w:val="continue"/>
                  <w:shd w:val="clear" w:color="auto" w:fill="auto"/>
                  <w:vAlign w:val="center"/>
                </w:tcPr>
                <w:p w14:paraId="3700D0A8">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7AD4A259">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150214A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40.0</w:t>
                  </w:r>
                </w:p>
              </w:tc>
              <w:tc>
                <w:tcPr>
                  <w:tcW w:w="279" w:type="pct"/>
                  <w:shd w:val="clear" w:color="auto" w:fill="auto"/>
                  <w:vAlign w:val="center"/>
                </w:tcPr>
                <w:p w14:paraId="6D319C9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6E77A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2F1126DD">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16</w:t>
                  </w:r>
                </w:p>
              </w:tc>
              <w:tc>
                <w:tcPr>
                  <w:tcW w:w="225" w:type="pct"/>
                  <w:vMerge w:val="continue"/>
                  <w:tcBorders>
                    <w:left w:val="single" w:color="auto" w:sz="4" w:space="0"/>
                  </w:tcBorders>
                  <w:vAlign w:val="center"/>
                </w:tcPr>
                <w:p w14:paraId="0B9E01EB">
                  <w:pPr>
                    <w:pStyle w:val="223"/>
                    <w:autoSpaceDE/>
                    <w:autoSpaceDN/>
                    <w:snapToGrid w:val="0"/>
                    <w:jc w:val="center"/>
                    <w:rPr>
                      <w:rFonts w:hint="eastAsia"/>
                      <w:color w:val="auto"/>
                      <w:sz w:val="18"/>
                      <w:szCs w:val="18"/>
                      <w:lang w:val="en-US" w:eastAsia="zh-CN"/>
                    </w:rPr>
                  </w:pPr>
                </w:p>
              </w:tc>
              <w:tc>
                <w:tcPr>
                  <w:tcW w:w="232" w:type="pct"/>
                  <w:vAlign w:val="center"/>
                </w:tcPr>
                <w:p w14:paraId="2B064956">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砂光机</w:t>
                  </w:r>
                </w:p>
              </w:tc>
              <w:tc>
                <w:tcPr>
                  <w:tcW w:w="641" w:type="pct"/>
                  <w:vAlign w:val="center"/>
                </w:tcPr>
                <w:p w14:paraId="712B3269">
                  <w:pPr>
                    <w:adjustRightInd w:val="0"/>
                    <w:snapToGrid w:val="0"/>
                    <w:jc w:val="center"/>
                    <w:rPr>
                      <w:rFonts w:hint="eastAsia"/>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6A4229C7">
                  <w:pPr>
                    <w:adjustRightInd w:val="0"/>
                    <w:snapToGrid w:val="0"/>
                    <w:jc w:val="center"/>
                    <w:rPr>
                      <w:rFonts w:hint="eastAsia"/>
                      <w:color w:val="auto"/>
                      <w:sz w:val="18"/>
                      <w:szCs w:val="18"/>
                    </w:rPr>
                  </w:pPr>
                </w:p>
              </w:tc>
              <w:tc>
                <w:tcPr>
                  <w:tcW w:w="262" w:type="pct"/>
                  <w:vAlign w:val="center"/>
                </w:tcPr>
                <w:p w14:paraId="0E13F5D2">
                  <w:pPr>
                    <w:adjustRightInd w:val="0"/>
                    <w:snapToGrid w:val="0"/>
                    <w:jc w:val="center"/>
                    <w:rPr>
                      <w:rFonts w:hint="default"/>
                      <w:color w:val="auto"/>
                      <w:sz w:val="18"/>
                      <w:szCs w:val="18"/>
                      <w:lang w:val="en-US" w:eastAsia="zh-CN"/>
                    </w:rPr>
                  </w:pPr>
                  <w:r>
                    <w:rPr>
                      <w:rFonts w:hint="eastAsia"/>
                      <w:color w:val="auto"/>
                      <w:sz w:val="18"/>
                      <w:szCs w:val="18"/>
                      <w:lang w:val="en-US" w:eastAsia="zh-CN"/>
                    </w:rPr>
                    <w:t>55</w:t>
                  </w:r>
                </w:p>
              </w:tc>
              <w:tc>
                <w:tcPr>
                  <w:tcW w:w="178" w:type="pct"/>
                  <w:shd w:val="clear" w:color="auto" w:fill="auto"/>
                  <w:vAlign w:val="center"/>
                </w:tcPr>
                <w:p w14:paraId="3DF2E5A6">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208</w:t>
                  </w:r>
                </w:p>
              </w:tc>
              <w:tc>
                <w:tcPr>
                  <w:tcW w:w="188" w:type="pct"/>
                  <w:shd w:val="clear" w:color="auto" w:fill="auto"/>
                  <w:vAlign w:val="center"/>
                </w:tcPr>
                <w:p w14:paraId="4FB1BE0C">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0.8</w:t>
                  </w:r>
                </w:p>
              </w:tc>
              <w:tc>
                <w:tcPr>
                  <w:tcW w:w="334" w:type="pct"/>
                  <w:shd w:val="clear" w:color="auto" w:fill="auto"/>
                  <w:vAlign w:val="center"/>
                </w:tcPr>
                <w:p w14:paraId="0E69DB8D">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415" w:type="pct"/>
                  <w:shd w:val="clear" w:color="auto" w:fill="auto"/>
                  <w:vAlign w:val="center"/>
                </w:tcPr>
                <w:p w14:paraId="07548B4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75.0</w:t>
                  </w:r>
                </w:p>
              </w:tc>
              <w:tc>
                <w:tcPr>
                  <w:tcW w:w="626" w:type="pct"/>
                  <w:vMerge w:val="continue"/>
                  <w:shd w:val="clear" w:color="auto" w:fill="auto"/>
                  <w:vAlign w:val="center"/>
                </w:tcPr>
                <w:p w14:paraId="5B6C44A5">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534" w:type="pct"/>
                  <w:shd w:val="clear" w:color="auto" w:fill="auto"/>
                  <w:vAlign w:val="center"/>
                </w:tcPr>
                <w:p w14:paraId="5FEC48EA">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20</w:t>
                  </w:r>
                </w:p>
              </w:tc>
              <w:tc>
                <w:tcPr>
                  <w:tcW w:w="410" w:type="pct"/>
                  <w:shd w:val="clear" w:color="auto" w:fill="auto"/>
                  <w:vAlign w:val="center"/>
                </w:tcPr>
                <w:p w14:paraId="7A4BBD2B">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55.0</w:t>
                  </w:r>
                </w:p>
              </w:tc>
              <w:tc>
                <w:tcPr>
                  <w:tcW w:w="279" w:type="pct"/>
                  <w:shd w:val="clear" w:color="auto" w:fill="auto"/>
                  <w:vAlign w:val="center"/>
                </w:tcPr>
                <w:p w14:paraId="027F5CA8">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r>
            <w:tr w14:paraId="376F9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1C2992D7">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s="Times New Roman"/>
                      <w:color w:val="auto"/>
                      <w:kern w:val="0"/>
                      <w:sz w:val="18"/>
                      <w:szCs w:val="18"/>
                      <w:lang w:val="en-US" w:eastAsia="zh-CN" w:bidi="ar-SA"/>
                    </w:rPr>
                    <w:t>17</w:t>
                  </w:r>
                </w:p>
              </w:tc>
              <w:tc>
                <w:tcPr>
                  <w:tcW w:w="225" w:type="pct"/>
                  <w:vMerge w:val="continue"/>
                  <w:tcBorders>
                    <w:left w:val="single" w:color="auto" w:sz="4" w:space="0"/>
                  </w:tcBorders>
                  <w:vAlign w:val="center"/>
                </w:tcPr>
                <w:p w14:paraId="74879F5C">
                  <w:pPr>
                    <w:pStyle w:val="223"/>
                    <w:autoSpaceDE/>
                    <w:autoSpaceDN/>
                    <w:snapToGrid w:val="0"/>
                    <w:jc w:val="center"/>
                    <w:rPr>
                      <w:rFonts w:hint="eastAsia"/>
                      <w:color w:val="auto"/>
                      <w:sz w:val="18"/>
                      <w:szCs w:val="18"/>
                      <w:lang w:val="en-US" w:eastAsia="zh-CN"/>
                    </w:rPr>
                  </w:pPr>
                </w:p>
              </w:tc>
              <w:tc>
                <w:tcPr>
                  <w:tcW w:w="232" w:type="pct"/>
                  <w:vAlign w:val="center"/>
                </w:tcPr>
                <w:p w14:paraId="07ECBD1E">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喷漆柜</w:t>
                  </w:r>
                </w:p>
              </w:tc>
              <w:tc>
                <w:tcPr>
                  <w:tcW w:w="641" w:type="pct"/>
                  <w:vAlign w:val="center"/>
                </w:tcPr>
                <w:p w14:paraId="75533F3C">
                  <w:pPr>
                    <w:adjustRightInd w:val="0"/>
                    <w:snapToGrid w:val="0"/>
                    <w:jc w:val="center"/>
                    <w:rPr>
                      <w:rFonts w:hint="eastAsia"/>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52D52185">
                  <w:pPr>
                    <w:adjustRightInd w:val="0"/>
                    <w:snapToGrid w:val="0"/>
                    <w:jc w:val="center"/>
                    <w:rPr>
                      <w:rFonts w:hint="eastAsia"/>
                      <w:color w:val="auto"/>
                      <w:sz w:val="18"/>
                      <w:szCs w:val="18"/>
                    </w:rPr>
                  </w:pPr>
                </w:p>
              </w:tc>
              <w:tc>
                <w:tcPr>
                  <w:tcW w:w="262" w:type="pct"/>
                  <w:vAlign w:val="center"/>
                </w:tcPr>
                <w:p w14:paraId="002446D5">
                  <w:pPr>
                    <w:adjustRightInd w:val="0"/>
                    <w:snapToGrid w:val="0"/>
                    <w:jc w:val="center"/>
                    <w:rPr>
                      <w:rFonts w:hint="default"/>
                      <w:color w:val="auto"/>
                      <w:sz w:val="18"/>
                      <w:szCs w:val="18"/>
                      <w:lang w:val="en-US" w:eastAsia="zh-CN"/>
                    </w:rPr>
                  </w:pPr>
                  <w:r>
                    <w:rPr>
                      <w:rFonts w:hint="eastAsia"/>
                      <w:color w:val="auto"/>
                      <w:sz w:val="18"/>
                      <w:szCs w:val="18"/>
                      <w:lang w:val="en-US" w:eastAsia="zh-CN"/>
                    </w:rPr>
                    <w:t>58</w:t>
                  </w:r>
                </w:p>
              </w:tc>
              <w:tc>
                <w:tcPr>
                  <w:tcW w:w="178" w:type="pct"/>
                  <w:vAlign w:val="center"/>
                </w:tcPr>
                <w:p w14:paraId="6909E40C">
                  <w:pPr>
                    <w:adjustRightInd w:val="0"/>
                    <w:snapToGrid w:val="0"/>
                    <w:jc w:val="center"/>
                    <w:rPr>
                      <w:rFonts w:hint="default"/>
                      <w:color w:val="auto"/>
                      <w:sz w:val="18"/>
                      <w:szCs w:val="18"/>
                      <w:lang w:val="en-US" w:eastAsia="zh-CN"/>
                    </w:rPr>
                  </w:pPr>
                  <w:r>
                    <w:rPr>
                      <w:rFonts w:hint="eastAsia"/>
                      <w:color w:val="auto"/>
                      <w:sz w:val="18"/>
                      <w:szCs w:val="18"/>
                      <w:lang w:val="en-US" w:eastAsia="zh-CN"/>
                    </w:rPr>
                    <w:t>194</w:t>
                  </w:r>
                </w:p>
              </w:tc>
              <w:tc>
                <w:tcPr>
                  <w:tcW w:w="188" w:type="pct"/>
                  <w:vAlign w:val="center"/>
                </w:tcPr>
                <w:p w14:paraId="65CA9300">
                  <w:pPr>
                    <w:adjustRightInd w:val="0"/>
                    <w:snapToGrid w:val="0"/>
                    <w:jc w:val="center"/>
                    <w:rPr>
                      <w:rFonts w:hint="default"/>
                      <w:color w:val="auto"/>
                      <w:sz w:val="18"/>
                      <w:szCs w:val="18"/>
                      <w:lang w:val="en-US" w:eastAsia="zh-CN"/>
                    </w:rPr>
                  </w:pPr>
                  <w:r>
                    <w:rPr>
                      <w:rFonts w:hint="eastAsia"/>
                      <w:color w:val="auto"/>
                      <w:sz w:val="18"/>
                      <w:szCs w:val="18"/>
                      <w:lang w:val="en-US" w:eastAsia="zh-CN"/>
                    </w:rPr>
                    <w:t>0.5</w:t>
                  </w:r>
                </w:p>
              </w:tc>
              <w:tc>
                <w:tcPr>
                  <w:tcW w:w="334" w:type="pct"/>
                  <w:vAlign w:val="center"/>
                </w:tcPr>
                <w:p w14:paraId="3A757A55">
                  <w:pPr>
                    <w:adjustRightInd w:val="0"/>
                    <w:snapToGrid w:val="0"/>
                    <w:jc w:val="center"/>
                    <w:rPr>
                      <w:rFonts w:hint="default"/>
                      <w:color w:val="auto"/>
                      <w:sz w:val="18"/>
                      <w:szCs w:val="18"/>
                      <w:lang w:val="en-US" w:eastAsia="zh-CN"/>
                    </w:rPr>
                  </w:pPr>
                  <w:r>
                    <w:rPr>
                      <w:rFonts w:hint="eastAsia"/>
                      <w:color w:val="auto"/>
                      <w:sz w:val="18"/>
                      <w:szCs w:val="18"/>
                      <w:lang w:val="en-US" w:eastAsia="zh-CN"/>
                    </w:rPr>
                    <w:t>25</w:t>
                  </w:r>
                </w:p>
              </w:tc>
              <w:tc>
                <w:tcPr>
                  <w:tcW w:w="415" w:type="pct"/>
                  <w:vAlign w:val="center"/>
                </w:tcPr>
                <w:p w14:paraId="72F90DD6">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42C33E7F">
                  <w:pPr>
                    <w:adjustRightInd w:val="0"/>
                    <w:snapToGrid w:val="0"/>
                    <w:jc w:val="center"/>
                    <w:rPr>
                      <w:rFonts w:hint="eastAsia"/>
                      <w:color w:val="auto"/>
                      <w:sz w:val="18"/>
                      <w:szCs w:val="18"/>
                      <w:lang w:val="en-US" w:eastAsia="zh-CN"/>
                    </w:rPr>
                  </w:pPr>
                </w:p>
              </w:tc>
              <w:tc>
                <w:tcPr>
                  <w:tcW w:w="534" w:type="pct"/>
                  <w:vAlign w:val="center"/>
                </w:tcPr>
                <w:p w14:paraId="2520475D">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27B0BF07">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17124437">
                  <w:pPr>
                    <w:adjustRightInd w:val="0"/>
                    <w:snapToGrid w:val="0"/>
                    <w:jc w:val="center"/>
                    <w:rPr>
                      <w:rFonts w:hint="eastAsia"/>
                      <w:color w:val="auto"/>
                      <w:sz w:val="18"/>
                      <w:szCs w:val="18"/>
                    </w:rPr>
                  </w:pPr>
                  <w:r>
                    <w:rPr>
                      <w:rFonts w:hint="eastAsia"/>
                      <w:color w:val="auto"/>
                      <w:sz w:val="18"/>
                      <w:szCs w:val="18"/>
                    </w:rPr>
                    <w:t>1</w:t>
                  </w:r>
                </w:p>
              </w:tc>
            </w:tr>
            <w:tr w14:paraId="57C66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shd w:val="clear" w:color="auto" w:fill="auto"/>
                  <w:vAlign w:val="center"/>
                </w:tcPr>
                <w:p w14:paraId="2D9466B4">
                  <w:pPr>
                    <w:pStyle w:val="223"/>
                    <w:autoSpaceDE/>
                    <w:autoSpaceDN/>
                    <w:snapToGrid w:val="0"/>
                    <w:jc w:val="center"/>
                    <w:rPr>
                      <w:rFonts w:hint="default" w:ascii="Times New Roman" w:hAnsi="Times New Roman" w:eastAsia="宋体" w:cs="Times New Roman"/>
                      <w:color w:val="auto"/>
                      <w:kern w:val="0"/>
                      <w:sz w:val="18"/>
                      <w:szCs w:val="18"/>
                      <w:lang w:val="en-US" w:eastAsia="zh-CN" w:bidi="ar-SA"/>
                    </w:rPr>
                  </w:pPr>
                  <w:r>
                    <w:rPr>
                      <w:rFonts w:hint="eastAsia" w:cs="Times New Roman"/>
                      <w:color w:val="auto"/>
                      <w:kern w:val="0"/>
                      <w:sz w:val="18"/>
                      <w:szCs w:val="18"/>
                      <w:lang w:val="en-US" w:eastAsia="zh-CN" w:bidi="ar-SA"/>
                    </w:rPr>
                    <w:t>18</w:t>
                  </w:r>
                </w:p>
              </w:tc>
              <w:tc>
                <w:tcPr>
                  <w:tcW w:w="225" w:type="pct"/>
                  <w:vMerge w:val="restart"/>
                  <w:tcBorders>
                    <w:left w:val="single" w:color="auto" w:sz="4" w:space="0"/>
                  </w:tcBorders>
                  <w:vAlign w:val="center"/>
                </w:tcPr>
                <w:p w14:paraId="5B43000F">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二车间</w:t>
                  </w:r>
                </w:p>
              </w:tc>
              <w:tc>
                <w:tcPr>
                  <w:tcW w:w="232" w:type="pct"/>
                  <w:vAlign w:val="center"/>
                </w:tcPr>
                <w:p w14:paraId="30C7BC4F">
                  <w:pPr>
                    <w:adjustRightInd w:val="0"/>
                    <w:snapToGrid w:val="0"/>
                    <w:jc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切割机</w:t>
                  </w:r>
                </w:p>
              </w:tc>
              <w:tc>
                <w:tcPr>
                  <w:tcW w:w="641" w:type="pct"/>
                  <w:vAlign w:val="center"/>
                </w:tcPr>
                <w:p w14:paraId="12BE6BD4">
                  <w:pPr>
                    <w:adjustRightInd w:val="0"/>
                    <w:snapToGrid w:val="0"/>
                    <w:jc w:val="center"/>
                    <w:rPr>
                      <w:rFonts w:hint="default"/>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1C7D8B44">
                  <w:pPr>
                    <w:adjustRightInd w:val="0"/>
                    <w:snapToGrid w:val="0"/>
                    <w:jc w:val="center"/>
                    <w:rPr>
                      <w:rFonts w:hint="eastAsia"/>
                      <w:color w:val="auto"/>
                      <w:sz w:val="18"/>
                      <w:szCs w:val="18"/>
                    </w:rPr>
                  </w:pPr>
                </w:p>
              </w:tc>
              <w:tc>
                <w:tcPr>
                  <w:tcW w:w="262" w:type="pct"/>
                  <w:vAlign w:val="center"/>
                </w:tcPr>
                <w:p w14:paraId="08900EEA">
                  <w:pPr>
                    <w:adjustRightInd w:val="0"/>
                    <w:snapToGrid w:val="0"/>
                    <w:jc w:val="center"/>
                    <w:rPr>
                      <w:rFonts w:hint="default"/>
                      <w:color w:val="auto"/>
                      <w:sz w:val="18"/>
                      <w:szCs w:val="18"/>
                      <w:lang w:val="en-US" w:eastAsia="zh-CN"/>
                    </w:rPr>
                  </w:pPr>
                  <w:r>
                    <w:rPr>
                      <w:rFonts w:hint="eastAsia"/>
                      <w:color w:val="auto"/>
                      <w:sz w:val="18"/>
                      <w:szCs w:val="18"/>
                      <w:lang w:val="en-US" w:eastAsia="zh-CN"/>
                    </w:rPr>
                    <w:t>95</w:t>
                  </w:r>
                </w:p>
              </w:tc>
              <w:tc>
                <w:tcPr>
                  <w:tcW w:w="178" w:type="pct"/>
                  <w:vAlign w:val="center"/>
                </w:tcPr>
                <w:p w14:paraId="60B4C468">
                  <w:pPr>
                    <w:adjustRightInd w:val="0"/>
                    <w:snapToGrid w:val="0"/>
                    <w:jc w:val="center"/>
                    <w:rPr>
                      <w:rFonts w:hint="default"/>
                      <w:color w:val="auto"/>
                      <w:sz w:val="18"/>
                      <w:szCs w:val="18"/>
                      <w:lang w:val="en-US" w:eastAsia="zh-CN"/>
                    </w:rPr>
                  </w:pPr>
                  <w:r>
                    <w:rPr>
                      <w:rFonts w:hint="eastAsia"/>
                      <w:color w:val="auto"/>
                      <w:sz w:val="18"/>
                      <w:szCs w:val="18"/>
                      <w:lang w:val="en-US" w:eastAsia="zh-CN"/>
                    </w:rPr>
                    <w:t>270</w:t>
                  </w:r>
                </w:p>
              </w:tc>
              <w:tc>
                <w:tcPr>
                  <w:tcW w:w="188" w:type="pct"/>
                  <w:vAlign w:val="center"/>
                </w:tcPr>
                <w:p w14:paraId="3271BE3B">
                  <w:pPr>
                    <w:adjustRightInd w:val="0"/>
                    <w:snapToGrid w:val="0"/>
                    <w:jc w:val="center"/>
                    <w:rPr>
                      <w:rFonts w:hint="default"/>
                      <w:color w:val="auto"/>
                      <w:sz w:val="18"/>
                      <w:szCs w:val="18"/>
                      <w:lang w:val="en-US" w:eastAsia="zh-CN"/>
                    </w:rPr>
                  </w:pPr>
                  <w:r>
                    <w:rPr>
                      <w:rFonts w:hint="eastAsia"/>
                      <w:color w:val="auto"/>
                      <w:sz w:val="18"/>
                      <w:szCs w:val="18"/>
                      <w:lang w:val="en-US" w:eastAsia="zh-CN"/>
                    </w:rPr>
                    <w:t>0.5</w:t>
                  </w:r>
                </w:p>
              </w:tc>
              <w:tc>
                <w:tcPr>
                  <w:tcW w:w="334" w:type="pct"/>
                  <w:vAlign w:val="center"/>
                </w:tcPr>
                <w:p w14:paraId="1575D46E">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20AD3F2C">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16CAD222">
                  <w:pPr>
                    <w:adjustRightInd w:val="0"/>
                    <w:snapToGrid w:val="0"/>
                    <w:jc w:val="center"/>
                    <w:rPr>
                      <w:rFonts w:hint="eastAsia"/>
                      <w:color w:val="auto"/>
                      <w:sz w:val="18"/>
                      <w:szCs w:val="18"/>
                      <w:lang w:val="en-US" w:eastAsia="zh-CN"/>
                    </w:rPr>
                  </w:pPr>
                </w:p>
              </w:tc>
              <w:tc>
                <w:tcPr>
                  <w:tcW w:w="534" w:type="pct"/>
                  <w:vAlign w:val="center"/>
                </w:tcPr>
                <w:p w14:paraId="4CE7E801">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2B466650">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411AE0A5">
                  <w:pPr>
                    <w:adjustRightInd w:val="0"/>
                    <w:snapToGrid w:val="0"/>
                    <w:jc w:val="center"/>
                    <w:rPr>
                      <w:rFonts w:hint="eastAsia"/>
                      <w:color w:val="auto"/>
                      <w:sz w:val="18"/>
                      <w:szCs w:val="18"/>
                    </w:rPr>
                  </w:pPr>
                  <w:r>
                    <w:rPr>
                      <w:rFonts w:hint="eastAsia"/>
                      <w:color w:val="auto"/>
                      <w:sz w:val="18"/>
                      <w:szCs w:val="18"/>
                    </w:rPr>
                    <w:t>1</w:t>
                  </w:r>
                </w:p>
              </w:tc>
            </w:tr>
            <w:tr w14:paraId="51DE99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28AFCB93">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19</w:t>
                  </w:r>
                </w:p>
              </w:tc>
              <w:tc>
                <w:tcPr>
                  <w:tcW w:w="225" w:type="pct"/>
                  <w:vMerge w:val="continue"/>
                  <w:tcBorders>
                    <w:left w:val="single" w:color="auto" w:sz="4" w:space="0"/>
                  </w:tcBorders>
                  <w:vAlign w:val="center"/>
                </w:tcPr>
                <w:p w14:paraId="3CEF1623">
                  <w:pPr>
                    <w:pStyle w:val="223"/>
                    <w:autoSpaceDE/>
                    <w:autoSpaceDN/>
                    <w:snapToGrid w:val="0"/>
                    <w:jc w:val="center"/>
                    <w:rPr>
                      <w:rFonts w:hint="default"/>
                      <w:color w:val="auto"/>
                      <w:sz w:val="18"/>
                      <w:szCs w:val="18"/>
                      <w:lang w:val="en-US" w:eastAsia="zh-CN"/>
                    </w:rPr>
                  </w:pPr>
                </w:p>
              </w:tc>
              <w:tc>
                <w:tcPr>
                  <w:tcW w:w="232" w:type="pct"/>
                  <w:vAlign w:val="center"/>
                </w:tcPr>
                <w:p w14:paraId="3C1A9618">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雕刻机</w:t>
                  </w:r>
                </w:p>
              </w:tc>
              <w:tc>
                <w:tcPr>
                  <w:tcW w:w="641" w:type="pct"/>
                  <w:vAlign w:val="center"/>
                </w:tcPr>
                <w:p w14:paraId="169189BA">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5BDAD383">
                  <w:pPr>
                    <w:adjustRightInd w:val="0"/>
                    <w:snapToGrid w:val="0"/>
                    <w:jc w:val="center"/>
                    <w:rPr>
                      <w:rFonts w:hint="eastAsia"/>
                      <w:color w:val="auto"/>
                      <w:sz w:val="18"/>
                      <w:szCs w:val="18"/>
                    </w:rPr>
                  </w:pPr>
                </w:p>
              </w:tc>
              <w:tc>
                <w:tcPr>
                  <w:tcW w:w="262" w:type="pct"/>
                  <w:vAlign w:val="center"/>
                </w:tcPr>
                <w:p w14:paraId="58A291C2">
                  <w:pPr>
                    <w:adjustRightInd w:val="0"/>
                    <w:snapToGrid w:val="0"/>
                    <w:jc w:val="center"/>
                    <w:rPr>
                      <w:rFonts w:hint="default"/>
                      <w:color w:val="auto"/>
                      <w:sz w:val="18"/>
                      <w:szCs w:val="18"/>
                      <w:lang w:val="en-US" w:eastAsia="zh-CN"/>
                    </w:rPr>
                  </w:pPr>
                  <w:r>
                    <w:rPr>
                      <w:rFonts w:hint="eastAsia"/>
                      <w:color w:val="auto"/>
                      <w:sz w:val="18"/>
                      <w:szCs w:val="18"/>
                      <w:lang w:val="en-US" w:eastAsia="zh-CN"/>
                    </w:rPr>
                    <w:t>105</w:t>
                  </w:r>
                </w:p>
              </w:tc>
              <w:tc>
                <w:tcPr>
                  <w:tcW w:w="178" w:type="pct"/>
                  <w:vAlign w:val="center"/>
                </w:tcPr>
                <w:p w14:paraId="1E9A9DBB">
                  <w:pPr>
                    <w:adjustRightInd w:val="0"/>
                    <w:snapToGrid w:val="0"/>
                    <w:jc w:val="center"/>
                    <w:rPr>
                      <w:rFonts w:hint="default"/>
                      <w:color w:val="auto"/>
                      <w:sz w:val="18"/>
                      <w:szCs w:val="18"/>
                      <w:lang w:val="en-US" w:eastAsia="zh-CN"/>
                    </w:rPr>
                  </w:pPr>
                  <w:r>
                    <w:rPr>
                      <w:rFonts w:hint="eastAsia"/>
                      <w:color w:val="auto"/>
                      <w:sz w:val="18"/>
                      <w:szCs w:val="18"/>
                      <w:lang w:val="en-US" w:eastAsia="zh-CN"/>
                    </w:rPr>
                    <w:t>270</w:t>
                  </w:r>
                </w:p>
              </w:tc>
              <w:tc>
                <w:tcPr>
                  <w:tcW w:w="188" w:type="pct"/>
                  <w:vAlign w:val="center"/>
                </w:tcPr>
                <w:p w14:paraId="2B5C3BCF">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4795D552">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1642123B">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664E810A">
                  <w:pPr>
                    <w:adjustRightInd w:val="0"/>
                    <w:snapToGrid w:val="0"/>
                    <w:jc w:val="center"/>
                    <w:rPr>
                      <w:rFonts w:hint="eastAsia"/>
                      <w:color w:val="auto"/>
                      <w:sz w:val="18"/>
                      <w:szCs w:val="18"/>
                      <w:lang w:val="en-US" w:eastAsia="zh-CN"/>
                    </w:rPr>
                  </w:pPr>
                </w:p>
              </w:tc>
              <w:tc>
                <w:tcPr>
                  <w:tcW w:w="534" w:type="pct"/>
                  <w:vAlign w:val="center"/>
                </w:tcPr>
                <w:p w14:paraId="797634F8">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2639B7C1">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25FE18E0">
                  <w:pPr>
                    <w:adjustRightInd w:val="0"/>
                    <w:snapToGrid w:val="0"/>
                    <w:jc w:val="center"/>
                    <w:rPr>
                      <w:rFonts w:hint="eastAsia"/>
                      <w:color w:val="auto"/>
                      <w:sz w:val="18"/>
                      <w:szCs w:val="18"/>
                    </w:rPr>
                  </w:pPr>
                  <w:r>
                    <w:rPr>
                      <w:rFonts w:hint="eastAsia"/>
                      <w:color w:val="auto"/>
                      <w:sz w:val="18"/>
                      <w:szCs w:val="18"/>
                    </w:rPr>
                    <w:t>1</w:t>
                  </w:r>
                </w:p>
              </w:tc>
            </w:tr>
            <w:tr w14:paraId="7BD32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243D9E53">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20</w:t>
                  </w:r>
                </w:p>
              </w:tc>
              <w:tc>
                <w:tcPr>
                  <w:tcW w:w="225" w:type="pct"/>
                  <w:vMerge w:val="continue"/>
                  <w:tcBorders>
                    <w:left w:val="single" w:color="auto" w:sz="4" w:space="0"/>
                  </w:tcBorders>
                  <w:vAlign w:val="center"/>
                </w:tcPr>
                <w:p w14:paraId="2FF197A4">
                  <w:pPr>
                    <w:pStyle w:val="223"/>
                    <w:autoSpaceDE/>
                    <w:autoSpaceDN/>
                    <w:snapToGrid w:val="0"/>
                    <w:jc w:val="center"/>
                    <w:rPr>
                      <w:rFonts w:hint="eastAsia"/>
                      <w:color w:val="auto"/>
                      <w:sz w:val="18"/>
                      <w:szCs w:val="18"/>
                      <w:lang w:val="en-US" w:eastAsia="zh-CN"/>
                    </w:rPr>
                  </w:pPr>
                </w:p>
              </w:tc>
              <w:tc>
                <w:tcPr>
                  <w:tcW w:w="232" w:type="pct"/>
                  <w:vAlign w:val="center"/>
                </w:tcPr>
                <w:p w14:paraId="50A6CB12">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抛光机</w:t>
                  </w:r>
                </w:p>
              </w:tc>
              <w:tc>
                <w:tcPr>
                  <w:tcW w:w="641" w:type="pct"/>
                  <w:vAlign w:val="center"/>
                </w:tcPr>
                <w:p w14:paraId="72B86AEE">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1D4B9871">
                  <w:pPr>
                    <w:adjustRightInd w:val="0"/>
                    <w:snapToGrid w:val="0"/>
                    <w:jc w:val="center"/>
                    <w:rPr>
                      <w:rFonts w:hint="eastAsia"/>
                      <w:color w:val="auto"/>
                      <w:sz w:val="18"/>
                      <w:szCs w:val="18"/>
                    </w:rPr>
                  </w:pPr>
                </w:p>
              </w:tc>
              <w:tc>
                <w:tcPr>
                  <w:tcW w:w="262" w:type="pct"/>
                  <w:vAlign w:val="center"/>
                </w:tcPr>
                <w:p w14:paraId="54484116">
                  <w:pPr>
                    <w:adjustRightInd w:val="0"/>
                    <w:snapToGrid w:val="0"/>
                    <w:jc w:val="center"/>
                    <w:rPr>
                      <w:rFonts w:hint="default"/>
                      <w:color w:val="auto"/>
                      <w:sz w:val="18"/>
                      <w:szCs w:val="18"/>
                      <w:lang w:val="en-US" w:eastAsia="zh-CN"/>
                    </w:rPr>
                  </w:pPr>
                  <w:r>
                    <w:rPr>
                      <w:rFonts w:hint="eastAsia"/>
                      <w:color w:val="auto"/>
                      <w:sz w:val="18"/>
                      <w:szCs w:val="18"/>
                      <w:lang w:val="en-US" w:eastAsia="zh-CN"/>
                    </w:rPr>
                    <w:t>95</w:t>
                  </w:r>
                </w:p>
              </w:tc>
              <w:tc>
                <w:tcPr>
                  <w:tcW w:w="178" w:type="pct"/>
                  <w:vAlign w:val="center"/>
                </w:tcPr>
                <w:p w14:paraId="4A5BBA68">
                  <w:pPr>
                    <w:adjustRightInd w:val="0"/>
                    <w:snapToGrid w:val="0"/>
                    <w:jc w:val="center"/>
                    <w:rPr>
                      <w:rFonts w:hint="default"/>
                      <w:color w:val="auto"/>
                      <w:sz w:val="18"/>
                      <w:szCs w:val="18"/>
                      <w:lang w:val="en-US" w:eastAsia="zh-CN"/>
                    </w:rPr>
                  </w:pPr>
                  <w:r>
                    <w:rPr>
                      <w:rFonts w:hint="eastAsia"/>
                      <w:color w:val="auto"/>
                      <w:sz w:val="18"/>
                      <w:szCs w:val="18"/>
                      <w:lang w:val="en-US" w:eastAsia="zh-CN"/>
                    </w:rPr>
                    <w:t>258</w:t>
                  </w:r>
                </w:p>
              </w:tc>
              <w:tc>
                <w:tcPr>
                  <w:tcW w:w="188" w:type="pct"/>
                  <w:vAlign w:val="center"/>
                </w:tcPr>
                <w:p w14:paraId="06E1E5AF">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7BC982EC">
                  <w:pPr>
                    <w:adjustRightInd w:val="0"/>
                    <w:snapToGrid w:val="0"/>
                    <w:jc w:val="center"/>
                    <w:rPr>
                      <w:rFonts w:hint="eastAsia"/>
                      <w:color w:val="auto"/>
                      <w:sz w:val="18"/>
                      <w:szCs w:val="18"/>
                      <w:lang w:val="en-US" w:eastAsia="zh-CN"/>
                    </w:rPr>
                  </w:pPr>
                  <w:r>
                    <w:rPr>
                      <w:rFonts w:hint="eastAsia"/>
                      <w:color w:val="auto"/>
                      <w:sz w:val="18"/>
                      <w:szCs w:val="18"/>
                      <w:lang w:val="en-US" w:eastAsia="zh-CN"/>
                    </w:rPr>
                    <w:t>5</w:t>
                  </w:r>
                </w:p>
              </w:tc>
              <w:tc>
                <w:tcPr>
                  <w:tcW w:w="415" w:type="pct"/>
                  <w:vAlign w:val="center"/>
                </w:tcPr>
                <w:p w14:paraId="530C1ECD">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0458B645">
                  <w:pPr>
                    <w:adjustRightInd w:val="0"/>
                    <w:snapToGrid w:val="0"/>
                    <w:jc w:val="center"/>
                    <w:rPr>
                      <w:rFonts w:hint="eastAsia"/>
                      <w:color w:val="auto"/>
                      <w:sz w:val="18"/>
                      <w:szCs w:val="18"/>
                      <w:lang w:val="en-US" w:eastAsia="zh-CN"/>
                    </w:rPr>
                  </w:pPr>
                </w:p>
              </w:tc>
              <w:tc>
                <w:tcPr>
                  <w:tcW w:w="534" w:type="pct"/>
                  <w:vAlign w:val="center"/>
                </w:tcPr>
                <w:p w14:paraId="0D75FC08">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67C66D7B">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013F10D1">
                  <w:pPr>
                    <w:adjustRightInd w:val="0"/>
                    <w:snapToGrid w:val="0"/>
                    <w:jc w:val="center"/>
                    <w:rPr>
                      <w:rFonts w:hint="eastAsia"/>
                      <w:color w:val="auto"/>
                      <w:sz w:val="18"/>
                      <w:szCs w:val="18"/>
                    </w:rPr>
                  </w:pPr>
                  <w:r>
                    <w:rPr>
                      <w:rFonts w:hint="eastAsia"/>
                      <w:color w:val="auto"/>
                      <w:sz w:val="18"/>
                      <w:szCs w:val="18"/>
                    </w:rPr>
                    <w:t>1</w:t>
                  </w:r>
                </w:p>
              </w:tc>
            </w:tr>
            <w:tr w14:paraId="3BB59F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7070CF5A">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21</w:t>
                  </w:r>
                </w:p>
              </w:tc>
              <w:tc>
                <w:tcPr>
                  <w:tcW w:w="225" w:type="pct"/>
                  <w:vMerge w:val="continue"/>
                  <w:tcBorders>
                    <w:left w:val="single" w:color="auto" w:sz="4" w:space="0"/>
                  </w:tcBorders>
                  <w:vAlign w:val="center"/>
                </w:tcPr>
                <w:p w14:paraId="0E9DC0B7">
                  <w:pPr>
                    <w:pStyle w:val="223"/>
                    <w:autoSpaceDE/>
                    <w:autoSpaceDN/>
                    <w:snapToGrid w:val="0"/>
                    <w:jc w:val="center"/>
                    <w:rPr>
                      <w:rFonts w:hint="eastAsia"/>
                      <w:color w:val="auto"/>
                      <w:sz w:val="18"/>
                      <w:szCs w:val="18"/>
                      <w:lang w:val="en-US" w:eastAsia="zh-CN"/>
                    </w:rPr>
                  </w:pPr>
                </w:p>
              </w:tc>
              <w:tc>
                <w:tcPr>
                  <w:tcW w:w="232" w:type="pct"/>
                  <w:vAlign w:val="center"/>
                </w:tcPr>
                <w:p w14:paraId="61D11F1D">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雕刻机</w:t>
                  </w:r>
                </w:p>
              </w:tc>
              <w:tc>
                <w:tcPr>
                  <w:tcW w:w="641" w:type="pct"/>
                  <w:vAlign w:val="center"/>
                </w:tcPr>
                <w:p w14:paraId="678148D2">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11A25D0D">
                  <w:pPr>
                    <w:adjustRightInd w:val="0"/>
                    <w:snapToGrid w:val="0"/>
                    <w:jc w:val="center"/>
                    <w:rPr>
                      <w:rFonts w:hint="eastAsia"/>
                      <w:color w:val="auto"/>
                      <w:sz w:val="18"/>
                      <w:szCs w:val="18"/>
                    </w:rPr>
                  </w:pPr>
                </w:p>
              </w:tc>
              <w:tc>
                <w:tcPr>
                  <w:tcW w:w="262" w:type="pct"/>
                  <w:vAlign w:val="center"/>
                </w:tcPr>
                <w:p w14:paraId="73C1E214">
                  <w:pPr>
                    <w:adjustRightInd w:val="0"/>
                    <w:snapToGrid w:val="0"/>
                    <w:jc w:val="center"/>
                    <w:rPr>
                      <w:rFonts w:hint="default"/>
                      <w:color w:val="auto"/>
                      <w:sz w:val="18"/>
                      <w:szCs w:val="18"/>
                      <w:lang w:val="en-US" w:eastAsia="zh-CN"/>
                    </w:rPr>
                  </w:pPr>
                  <w:r>
                    <w:rPr>
                      <w:rFonts w:hint="eastAsia"/>
                      <w:color w:val="auto"/>
                      <w:sz w:val="18"/>
                      <w:szCs w:val="18"/>
                      <w:lang w:val="en-US" w:eastAsia="zh-CN"/>
                    </w:rPr>
                    <w:t>118</w:t>
                  </w:r>
                </w:p>
              </w:tc>
              <w:tc>
                <w:tcPr>
                  <w:tcW w:w="178" w:type="pct"/>
                  <w:vAlign w:val="center"/>
                </w:tcPr>
                <w:p w14:paraId="53C7E97F">
                  <w:pPr>
                    <w:adjustRightInd w:val="0"/>
                    <w:snapToGrid w:val="0"/>
                    <w:jc w:val="center"/>
                    <w:rPr>
                      <w:rFonts w:hint="default"/>
                      <w:color w:val="auto"/>
                      <w:sz w:val="18"/>
                      <w:szCs w:val="18"/>
                      <w:lang w:val="en-US" w:eastAsia="zh-CN"/>
                    </w:rPr>
                  </w:pPr>
                  <w:r>
                    <w:rPr>
                      <w:rFonts w:hint="eastAsia"/>
                      <w:color w:val="auto"/>
                      <w:sz w:val="18"/>
                      <w:szCs w:val="18"/>
                      <w:lang w:val="en-US" w:eastAsia="zh-CN"/>
                    </w:rPr>
                    <w:t>270</w:t>
                  </w:r>
                </w:p>
              </w:tc>
              <w:tc>
                <w:tcPr>
                  <w:tcW w:w="188" w:type="pct"/>
                  <w:vAlign w:val="center"/>
                </w:tcPr>
                <w:p w14:paraId="392CF203">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05179390">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31EBA003">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5FE88922">
                  <w:pPr>
                    <w:adjustRightInd w:val="0"/>
                    <w:snapToGrid w:val="0"/>
                    <w:jc w:val="center"/>
                    <w:rPr>
                      <w:rFonts w:hint="eastAsia"/>
                      <w:color w:val="auto"/>
                      <w:sz w:val="18"/>
                      <w:szCs w:val="18"/>
                      <w:lang w:val="en-US" w:eastAsia="zh-CN"/>
                    </w:rPr>
                  </w:pPr>
                </w:p>
              </w:tc>
              <w:tc>
                <w:tcPr>
                  <w:tcW w:w="534" w:type="pct"/>
                  <w:vAlign w:val="center"/>
                </w:tcPr>
                <w:p w14:paraId="5A818EB2">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45CB394A">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1F46DB52">
                  <w:pPr>
                    <w:adjustRightInd w:val="0"/>
                    <w:snapToGrid w:val="0"/>
                    <w:jc w:val="center"/>
                    <w:rPr>
                      <w:rFonts w:hint="eastAsia"/>
                      <w:color w:val="auto"/>
                      <w:sz w:val="18"/>
                      <w:szCs w:val="18"/>
                    </w:rPr>
                  </w:pPr>
                  <w:r>
                    <w:rPr>
                      <w:rFonts w:hint="eastAsia"/>
                      <w:color w:val="auto"/>
                      <w:sz w:val="18"/>
                      <w:szCs w:val="18"/>
                    </w:rPr>
                    <w:t>1</w:t>
                  </w:r>
                </w:p>
              </w:tc>
            </w:tr>
            <w:tr w14:paraId="4BF26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0623541B">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22</w:t>
                  </w:r>
                </w:p>
              </w:tc>
              <w:tc>
                <w:tcPr>
                  <w:tcW w:w="225" w:type="pct"/>
                  <w:vMerge w:val="continue"/>
                  <w:tcBorders>
                    <w:left w:val="single" w:color="auto" w:sz="4" w:space="0"/>
                  </w:tcBorders>
                  <w:vAlign w:val="center"/>
                </w:tcPr>
                <w:p w14:paraId="57D82004">
                  <w:pPr>
                    <w:pStyle w:val="223"/>
                    <w:autoSpaceDE/>
                    <w:autoSpaceDN/>
                    <w:snapToGrid w:val="0"/>
                    <w:jc w:val="center"/>
                    <w:rPr>
                      <w:rFonts w:hint="eastAsia"/>
                      <w:color w:val="auto"/>
                      <w:sz w:val="18"/>
                      <w:szCs w:val="18"/>
                      <w:lang w:val="en-US" w:eastAsia="zh-CN"/>
                    </w:rPr>
                  </w:pPr>
                </w:p>
              </w:tc>
              <w:tc>
                <w:tcPr>
                  <w:tcW w:w="232" w:type="pct"/>
                  <w:vAlign w:val="center"/>
                </w:tcPr>
                <w:p w14:paraId="71D9EA2F">
                  <w:pPr>
                    <w:keepNext w:val="0"/>
                    <w:keepLines w:val="0"/>
                    <w:widowControl/>
                    <w:suppressLineNumbers w:val="0"/>
                    <w:jc w:val="center"/>
                    <w:textAlignment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ascii="Times New Roman" w:hAnsi="Times New Roman" w:eastAsia="宋体-简" w:cs="Times New Roman"/>
                      <w:i w:val="0"/>
                      <w:iCs w:val="0"/>
                      <w:color w:val="auto"/>
                      <w:kern w:val="0"/>
                      <w:sz w:val="18"/>
                      <w:szCs w:val="18"/>
                      <w:u w:val="none"/>
                      <w:lang w:val="en-US" w:eastAsia="zh-CN" w:bidi="ar"/>
                    </w:rPr>
                    <w:t>循环泵</w:t>
                  </w:r>
                </w:p>
              </w:tc>
              <w:tc>
                <w:tcPr>
                  <w:tcW w:w="641" w:type="pct"/>
                  <w:vAlign w:val="center"/>
                </w:tcPr>
                <w:p w14:paraId="09474B07">
                  <w:pPr>
                    <w:adjustRightInd w:val="0"/>
                    <w:snapToGrid w:val="0"/>
                    <w:jc w:val="center"/>
                    <w:rPr>
                      <w:rFonts w:hint="eastAsia"/>
                      <w:color w:val="auto"/>
                      <w:sz w:val="18"/>
                      <w:szCs w:val="18"/>
                      <w:lang w:val="en-US" w:eastAsia="zh-CN"/>
                    </w:rPr>
                  </w:pPr>
                  <w:r>
                    <w:rPr>
                      <w:rFonts w:hint="eastAsia"/>
                      <w:color w:val="auto"/>
                      <w:sz w:val="18"/>
                      <w:szCs w:val="18"/>
                      <w:lang w:val="en-US" w:eastAsia="zh-CN"/>
                    </w:rPr>
                    <w:t>90/1</w:t>
                  </w:r>
                </w:p>
              </w:tc>
              <w:tc>
                <w:tcPr>
                  <w:tcW w:w="534" w:type="pct"/>
                  <w:vMerge w:val="continue"/>
                  <w:vAlign w:val="center"/>
                </w:tcPr>
                <w:p w14:paraId="4DE8C395">
                  <w:pPr>
                    <w:adjustRightInd w:val="0"/>
                    <w:snapToGrid w:val="0"/>
                    <w:jc w:val="center"/>
                    <w:rPr>
                      <w:rFonts w:hint="eastAsia"/>
                      <w:color w:val="auto"/>
                      <w:sz w:val="18"/>
                      <w:szCs w:val="18"/>
                    </w:rPr>
                  </w:pPr>
                </w:p>
              </w:tc>
              <w:tc>
                <w:tcPr>
                  <w:tcW w:w="262" w:type="pct"/>
                  <w:vAlign w:val="center"/>
                </w:tcPr>
                <w:p w14:paraId="671BD93C">
                  <w:pPr>
                    <w:adjustRightInd w:val="0"/>
                    <w:snapToGrid w:val="0"/>
                    <w:jc w:val="center"/>
                    <w:rPr>
                      <w:rFonts w:hint="default"/>
                      <w:color w:val="auto"/>
                      <w:sz w:val="18"/>
                      <w:szCs w:val="18"/>
                      <w:lang w:val="en-US" w:eastAsia="zh-CN"/>
                    </w:rPr>
                  </w:pPr>
                  <w:r>
                    <w:rPr>
                      <w:rFonts w:hint="eastAsia"/>
                      <w:color w:val="auto"/>
                      <w:sz w:val="18"/>
                      <w:szCs w:val="18"/>
                      <w:lang w:val="en-US" w:eastAsia="zh-CN"/>
                    </w:rPr>
                    <w:t>124</w:t>
                  </w:r>
                </w:p>
              </w:tc>
              <w:tc>
                <w:tcPr>
                  <w:tcW w:w="178" w:type="pct"/>
                  <w:vAlign w:val="center"/>
                </w:tcPr>
                <w:p w14:paraId="3AB675D1">
                  <w:pPr>
                    <w:adjustRightInd w:val="0"/>
                    <w:snapToGrid w:val="0"/>
                    <w:jc w:val="center"/>
                    <w:rPr>
                      <w:rFonts w:hint="default"/>
                      <w:color w:val="auto"/>
                      <w:sz w:val="18"/>
                      <w:szCs w:val="18"/>
                      <w:lang w:val="en-US" w:eastAsia="zh-CN"/>
                    </w:rPr>
                  </w:pPr>
                  <w:r>
                    <w:rPr>
                      <w:rFonts w:hint="eastAsia"/>
                      <w:color w:val="auto"/>
                      <w:sz w:val="18"/>
                      <w:szCs w:val="18"/>
                      <w:lang w:val="en-US" w:eastAsia="zh-CN"/>
                    </w:rPr>
                    <w:t>250</w:t>
                  </w:r>
                </w:p>
              </w:tc>
              <w:tc>
                <w:tcPr>
                  <w:tcW w:w="188" w:type="pct"/>
                  <w:vAlign w:val="center"/>
                </w:tcPr>
                <w:p w14:paraId="320F5246">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334" w:type="pct"/>
                  <w:vAlign w:val="center"/>
                </w:tcPr>
                <w:p w14:paraId="77C033E5">
                  <w:pPr>
                    <w:adjustRightInd w:val="0"/>
                    <w:snapToGrid w:val="0"/>
                    <w:jc w:val="center"/>
                    <w:rPr>
                      <w:rFonts w:hint="default"/>
                      <w:color w:val="auto"/>
                      <w:sz w:val="18"/>
                      <w:szCs w:val="18"/>
                      <w:lang w:val="en-US" w:eastAsia="zh-CN"/>
                    </w:rPr>
                  </w:pPr>
                  <w:r>
                    <w:rPr>
                      <w:rFonts w:hint="eastAsia"/>
                      <w:color w:val="auto"/>
                      <w:sz w:val="18"/>
                      <w:szCs w:val="18"/>
                      <w:lang w:val="en-US" w:eastAsia="zh-CN"/>
                    </w:rPr>
                    <w:t>25</w:t>
                  </w:r>
                </w:p>
              </w:tc>
              <w:tc>
                <w:tcPr>
                  <w:tcW w:w="415" w:type="pct"/>
                  <w:vAlign w:val="center"/>
                </w:tcPr>
                <w:p w14:paraId="7EEE66B1">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09225C8E">
                  <w:pPr>
                    <w:adjustRightInd w:val="0"/>
                    <w:snapToGrid w:val="0"/>
                    <w:jc w:val="center"/>
                    <w:rPr>
                      <w:rFonts w:hint="eastAsia"/>
                      <w:color w:val="auto"/>
                      <w:sz w:val="18"/>
                      <w:szCs w:val="18"/>
                      <w:lang w:val="en-US" w:eastAsia="zh-CN"/>
                    </w:rPr>
                  </w:pPr>
                </w:p>
              </w:tc>
              <w:tc>
                <w:tcPr>
                  <w:tcW w:w="534" w:type="pct"/>
                  <w:vAlign w:val="center"/>
                </w:tcPr>
                <w:p w14:paraId="12160D05">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70A5D2A6">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7DFD2B82">
                  <w:pPr>
                    <w:adjustRightInd w:val="0"/>
                    <w:snapToGrid w:val="0"/>
                    <w:jc w:val="center"/>
                    <w:rPr>
                      <w:rFonts w:hint="eastAsia"/>
                      <w:color w:val="auto"/>
                      <w:sz w:val="18"/>
                      <w:szCs w:val="18"/>
                    </w:rPr>
                  </w:pPr>
                  <w:r>
                    <w:rPr>
                      <w:rFonts w:hint="eastAsia"/>
                      <w:color w:val="auto"/>
                      <w:sz w:val="18"/>
                      <w:szCs w:val="18"/>
                    </w:rPr>
                    <w:t>1</w:t>
                  </w:r>
                </w:p>
              </w:tc>
            </w:tr>
            <w:tr w14:paraId="72DCD0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11248B36">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23</w:t>
                  </w:r>
                </w:p>
              </w:tc>
              <w:tc>
                <w:tcPr>
                  <w:tcW w:w="225" w:type="pct"/>
                  <w:vMerge w:val="restart"/>
                  <w:tcBorders>
                    <w:left w:val="single" w:color="auto" w:sz="4" w:space="0"/>
                  </w:tcBorders>
                  <w:vAlign w:val="center"/>
                </w:tcPr>
                <w:p w14:paraId="16AEAAB4">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一车间</w:t>
                  </w:r>
                </w:p>
              </w:tc>
              <w:tc>
                <w:tcPr>
                  <w:tcW w:w="232" w:type="pct"/>
                  <w:vAlign w:val="center"/>
                </w:tcPr>
                <w:p w14:paraId="542D34A0">
                  <w:pPr>
                    <w:keepNext w:val="0"/>
                    <w:keepLines w:val="0"/>
                    <w:widowControl/>
                    <w:suppressLineNumbers w:val="0"/>
                    <w:jc w:val="center"/>
                    <w:textAlignment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切割机</w:t>
                  </w:r>
                </w:p>
              </w:tc>
              <w:tc>
                <w:tcPr>
                  <w:tcW w:w="641" w:type="pct"/>
                  <w:vAlign w:val="center"/>
                </w:tcPr>
                <w:p w14:paraId="7D43210A">
                  <w:pPr>
                    <w:adjustRightInd w:val="0"/>
                    <w:snapToGrid w:val="0"/>
                    <w:jc w:val="center"/>
                    <w:rPr>
                      <w:rFonts w:hint="default"/>
                      <w:color w:val="auto"/>
                      <w:sz w:val="18"/>
                      <w:szCs w:val="18"/>
                      <w:lang w:val="en-US" w:eastAsia="zh-CN"/>
                    </w:rPr>
                  </w:pPr>
                  <w:r>
                    <w:rPr>
                      <w:rFonts w:hint="eastAsia"/>
                      <w:color w:val="auto"/>
                      <w:sz w:val="18"/>
                      <w:szCs w:val="18"/>
                      <w:lang w:val="en-US" w:eastAsia="zh-CN"/>
                    </w:rPr>
                    <w:t>85/1</w:t>
                  </w:r>
                </w:p>
              </w:tc>
              <w:tc>
                <w:tcPr>
                  <w:tcW w:w="534" w:type="pct"/>
                  <w:vMerge w:val="continue"/>
                  <w:vAlign w:val="center"/>
                </w:tcPr>
                <w:p w14:paraId="20EC55E8">
                  <w:pPr>
                    <w:adjustRightInd w:val="0"/>
                    <w:snapToGrid w:val="0"/>
                    <w:jc w:val="center"/>
                    <w:rPr>
                      <w:rFonts w:hint="eastAsia"/>
                      <w:color w:val="auto"/>
                      <w:sz w:val="18"/>
                      <w:szCs w:val="18"/>
                    </w:rPr>
                  </w:pPr>
                </w:p>
              </w:tc>
              <w:tc>
                <w:tcPr>
                  <w:tcW w:w="262" w:type="pct"/>
                  <w:vAlign w:val="center"/>
                </w:tcPr>
                <w:p w14:paraId="44EF26D7">
                  <w:pPr>
                    <w:adjustRightInd w:val="0"/>
                    <w:snapToGrid w:val="0"/>
                    <w:jc w:val="center"/>
                    <w:rPr>
                      <w:rFonts w:hint="default"/>
                      <w:color w:val="auto"/>
                      <w:sz w:val="18"/>
                      <w:szCs w:val="18"/>
                      <w:lang w:val="en-US" w:eastAsia="zh-CN"/>
                    </w:rPr>
                  </w:pPr>
                  <w:r>
                    <w:rPr>
                      <w:rFonts w:hint="eastAsia"/>
                      <w:color w:val="auto"/>
                      <w:sz w:val="18"/>
                      <w:szCs w:val="18"/>
                      <w:lang w:val="en-US" w:eastAsia="zh-CN"/>
                    </w:rPr>
                    <w:t>15</w:t>
                  </w:r>
                </w:p>
              </w:tc>
              <w:tc>
                <w:tcPr>
                  <w:tcW w:w="178" w:type="pct"/>
                  <w:vAlign w:val="center"/>
                </w:tcPr>
                <w:p w14:paraId="3F35EA02">
                  <w:pPr>
                    <w:adjustRightInd w:val="0"/>
                    <w:snapToGrid w:val="0"/>
                    <w:jc w:val="center"/>
                    <w:rPr>
                      <w:rFonts w:hint="default"/>
                      <w:color w:val="auto"/>
                      <w:sz w:val="18"/>
                      <w:szCs w:val="18"/>
                      <w:lang w:val="en-US" w:eastAsia="zh-CN"/>
                    </w:rPr>
                  </w:pPr>
                  <w:r>
                    <w:rPr>
                      <w:rFonts w:hint="eastAsia"/>
                      <w:color w:val="auto"/>
                      <w:sz w:val="18"/>
                      <w:szCs w:val="18"/>
                      <w:lang w:val="en-US" w:eastAsia="zh-CN"/>
                    </w:rPr>
                    <w:t>165</w:t>
                  </w:r>
                </w:p>
              </w:tc>
              <w:tc>
                <w:tcPr>
                  <w:tcW w:w="188" w:type="pct"/>
                  <w:vAlign w:val="center"/>
                </w:tcPr>
                <w:p w14:paraId="7475CA0A">
                  <w:pPr>
                    <w:adjustRightInd w:val="0"/>
                    <w:snapToGrid w:val="0"/>
                    <w:jc w:val="center"/>
                    <w:rPr>
                      <w:rFonts w:hint="default"/>
                      <w:color w:val="auto"/>
                      <w:sz w:val="18"/>
                      <w:szCs w:val="18"/>
                      <w:lang w:val="en-US" w:eastAsia="zh-CN"/>
                    </w:rPr>
                  </w:pPr>
                  <w:r>
                    <w:rPr>
                      <w:rFonts w:hint="eastAsia"/>
                      <w:color w:val="auto"/>
                      <w:sz w:val="18"/>
                      <w:szCs w:val="18"/>
                      <w:lang w:val="en-US" w:eastAsia="zh-CN"/>
                    </w:rPr>
                    <w:t>2</w:t>
                  </w:r>
                </w:p>
              </w:tc>
              <w:tc>
                <w:tcPr>
                  <w:tcW w:w="334" w:type="pct"/>
                  <w:vAlign w:val="center"/>
                </w:tcPr>
                <w:p w14:paraId="7E705B61">
                  <w:pPr>
                    <w:adjustRightInd w:val="0"/>
                    <w:snapToGrid w:val="0"/>
                    <w:jc w:val="center"/>
                    <w:rPr>
                      <w:rFonts w:hint="eastAsia"/>
                      <w:color w:val="auto"/>
                      <w:sz w:val="18"/>
                      <w:szCs w:val="18"/>
                      <w:lang w:val="en-US" w:eastAsia="zh-CN"/>
                    </w:rPr>
                  </w:pPr>
                  <w:r>
                    <w:rPr>
                      <w:rFonts w:hint="eastAsia"/>
                      <w:color w:val="auto"/>
                      <w:sz w:val="18"/>
                      <w:szCs w:val="18"/>
                      <w:lang w:val="en-US" w:eastAsia="zh-CN"/>
                    </w:rPr>
                    <w:t>5</w:t>
                  </w:r>
                </w:p>
              </w:tc>
              <w:tc>
                <w:tcPr>
                  <w:tcW w:w="415" w:type="pct"/>
                  <w:vAlign w:val="center"/>
                </w:tcPr>
                <w:p w14:paraId="33B5D855">
                  <w:pPr>
                    <w:adjustRightInd w:val="0"/>
                    <w:snapToGrid w:val="0"/>
                    <w:jc w:val="center"/>
                    <w:rPr>
                      <w:rFonts w:hint="eastAsia"/>
                      <w:color w:val="auto"/>
                      <w:sz w:val="18"/>
                      <w:szCs w:val="18"/>
                      <w:lang w:val="en-US" w:eastAsia="zh-CN"/>
                    </w:rPr>
                  </w:pPr>
                  <w:r>
                    <w:rPr>
                      <w:rFonts w:hint="eastAsia"/>
                      <w:color w:val="auto"/>
                      <w:sz w:val="18"/>
                      <w:szCs w:val="18"/>
                      <w:lang w:val="en-US" w:eastAsia="zh-CN"/>
                    </w:rPr>
                    <w:t>75.0</w:t>
                  </w:r>
                </w:p>
              </w:tc>
              <w:tc>
                <w:tcPr>
                  <w:tcW w:w="626" w:type="pct"/>
                  <w:vMerge w:val="continue"/>
                  <w:vAlign w:val="center"/>
                </w:tcPr>
                <w:p w14:paraId="21B7EFCB">
                  <w:pPr>
                    <w:adjustRightInd w:val="0"/>
                    <w:snapToGrid w:val="0"/>
                    <w:jc w:val="center"/>
                    <w:rPr>
                      <w:rFonts w:hint="eastAsia"/>
                      <w:color w:val="auto"/>
                      <w:sz w:val="18"/>
                      <w:szCs w:val="18"/>
                      <w:lang w:val="en-US" w:eastAsia="zh-CN"/>
                    </w:rPr>
                  </w:pPr>
                </w:p>
              </w:tc>
              <w:tc>
                <w:tcPr>
                  <w:tcW w:w="534" w:type="pct"/>
                  <w:vAlign w:val="center"/>
                </w:tcPr>
                <w:p w14:paraId="671FA624">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1B579A58">
                  <w:pPr>
                    <w:adjustRightInd w:val="0"/>
                    <w:snapToGrid w:val="0"/>
                    <w:jc w:val="center"/>
                    <w:rPr>
                      <w:rFonts w:hint="eastAsia"/>
                      <w:color w:val="auto"/>
                      <w:sz w:val="18"/>
                      <w:szCs w:val="18"/>
                      <w:lang w:val="en-US" w:eastAsia="zh-CN"/>
                    </w:rPr>
                  </w:pPr>
                  <w:r>
                    <w:rPr>
                      <w:rFonts w:hint="eastAsia"/>
                      <w:color w:val="auto"/>
                      <w:sz w:val="18"/>
                      <w:szCs w:val="18"/>
                      <w:lang w:val="en-US" w:eastAsia="zh-CN"/>
                    </w:rPr>
                    <w:t>55.0</w:t>
                  </w:r>
                </w:p>
              </w:tc>
              <w:tc>
                <w:tcPr>
                  <w:tcW w:w="279" w:type="pct"/>
                  <w:vAlign w:val="center"/>
                </w:tcPr>
                <w:p w14:paraId="51EB0350">
                  <w:pPr>
                    <w:adjustRightInd w:val="0"/>
                    <w:snapToGrid w:val="0"/>
                    <w:jc w:val="center"/>
                    <w:rPr>
                      <w:rFonts w:hint="eastAsia"/>
                      <w:color w:val="auto"/>
                      <w:sz w:val="18"/>
                      <w:szCs w:val="18"/>
                    </w:rPr>
                  </w:pPr>
                  <w:r>
                    <w:rPr>
                      <w:rFonts w:hint="eastAsia"/>
                      <w:color w:val="auto"/>
                      <w:sz w:val="18"/>
                      <w:szCs w:val="18"/>
                    </w:rPr>
                    <w:t>1</w:t>
                  </w:r>
                </w:p>
              </w:tc>
            </w:tr>
            <w:tr w14:paraId="53071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593AF5F8">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24</w:t>
                  </w:r>
                </w:p>
              </w:tc>
              <w:tc>
                <w:tcPr>
                  <w:tcW w:w="225" w:type="pct"/>
                  <w:vMerge w:val="continue"/>
                  <w:tcBorders>
                    <w:left w:val="single" w:color="auto" w:sz="4" w:space="0"/>
                  </w:tcBorders>
                  <w:vAlign w:val="center"/>
                </w:tcPr>
                <w:p w14:paraId="429D4CE8">
                  <w:pPr>
                    <w:pStyle w:val="223"/>
                    <w:autoSpaceDE/>
                    <w:autoSpaceDN/>
                    <w:snapToGrid w:val="0"/>
                    <w:jc w:val="center"/>
                    <w:rPr>
                      <w:rFonts w:hint="eastAsia"/>
                      <w:color w:val="auto"/>
                      <w:sz w:val="18"/>
                      <w:szCs w:val="18"/>
                      <w:lang w:val="en-US" w:eastAsia="zh-CN"/>
                    </w:rPr>
                  </w:pPr>
                </w:p>
              </w:tc>
              <w:tc>
                <w:tcPr>
                  <w:tcW w:w="232" w:type="pct"/>
                  <w:vAlign w:val="center"/>
                </w:tcPr>
                <w:p w14:paraId="62C007DE">
                  <w:pPr>
                    <w:keepNext w:val="0"/>
                    <w:keepLines w:val="0"/>
                    <w:widowControl/>
                    <w:suppressLineNumbers w:val="0"/>
                    <w:jc w:val="center"/>
                    <w:textAlignment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雕刻机</w:t>
                  </w:r>
                </w:p>
              </w:tc>
              <w:tc>
                <w:tcPr>
                  <w:tcW w:w="641" w:type="pct"/>
                  <w:vAlign w:val="center"/>
                </w:tcPr>
                <w:p w14:paraId="0B58EDC7">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34C3923E">
                  <w:pPr>
                    <w:adjustRightInd w:val="0"/>
                    <w:snapToGrid w:val="0"/>
                    <w:jc w:val="center"/>
                    <w:rPr>
                      <w:rFonts w:hint="eastAsia"/>
                      <w:color w:val="auto"/>
                      <w:sz w:val="18"/>
                      <w:szCs w:val="18"/>
                    </w:rPr>
                  </w:pPr>
                </w:p>
              </w:tc>
              <w:tc>
                <w:tcPr>
                  <w:tcW w:w="262" w:type="pct"/>
                  <w:vAlign w:val="center"/>
                </w:tcPr>
                <w:p w14:paraId="0E0FA9E5">
                  <w:pPr>
                    <w:adjustRightInd w:val="0"/>
                    <w:snapToGrid w:val="0"/>
                    <w:jc w:val="center"/>
                    <w:rPr>
                      <w:rFonts w:hint="default"/>
                      <w:color w:val="auto"/>
                      <w:sz w:val="18"/>
                      <w:szCs w:val="18"/>
                      <w:lang w:val="en-US" w:eastAsia="zh-CN"/>
                    </w:rPr>
                  </w:pPr>
                  <w:r>
                    <w:rPr>
                      <w:rFonts w:hint="eastAsia"/>
                      <w:color w:val="auto"/>
                      <w:sz w:val="18"/>
                      <w:szCs w:val="18"/>
                      <w:lang w:val="en-US" w:eastAsia="zh-CN"/>
                    </w:rPr>
                    <w:t>25</w:t>
                  </w:r>
                </w:p>
              </w:tc>
              <w:tc>
                <w:tcPr>
                  <w:tcW w:w="178" w:type="pct"/>
                  <w:vAlign w:val="center"/>
                </w:tcPr>
                <w:p w14:paraId="1B16511F">
                  <w:pPr>
                    <w:adjustRightInd w:val="0"/>
                    <w:snapToGrid w:val="0"/>
                    <w:jc w:val="center"/>
                    <w:rPr>
                      <w:rFonts w:hint="default"/>
                      <w:color w:val="auto"/>
                      <w:sz w:val="18"/>
                      <w:szCs w:val="18"/>
                      <w:lang w:val="en-US" w:eastAsia="zh-CN"/>
                    </w:rPr>
                  </w:pPr>
                  <w:r>
                    <w:rPr>
                      <w:rFonts w:hint="eastAsia"/>
                      <w:color w:val="auto"/>
                      <w:sz w:val="18"/>
                      <w:szCs w:val="18"/>
                      <w:lang w:val="en-US" w:eastAsia="zh-CN"/>
                    </w:rPr>
                    <w:t>270</w:t>
                  </w:r>
                </w:p>
              </w:tc>
              <w:tc>
                <w:tcPr>
                  <w:tcW w:w="188" w:type="pct"/>
                  <w:vAlign w:val="center"/>
                </w:tcPr>
                <w:p w14:paraId="1AD43DFF">
                  <w:pPr>
                    <w:adjustRightInd w:val="0"/>
                    <w:snapToGrid w:val="0"/>
                    <w:jc w:val="center"/>
                    <w:rPr>
                      <w:rFonts w:hint="default"/>
                      <w:color w:val="auto"/>
                      <w:sz w:val="18"/>
                      <w:szCs w:val="18"/>
                      <w:lang w:val="en-US" w:eastAsia="zh-CN"/>
                    </w:rPr>
                  </w:pPr>
                  <w:r>
                    <w:rPr>
                      <w:rFonts w:hint="eastAsia"/>
                      <w:color w:val="auto"/>
                      <w:sz w:val="18"/>
                      <w:szCs w:val="18"/>
                      <w:lang w:val="en-US" w:eastAsia="zh-CN"/>
                    </w:rPr>
                    <w:t>1.2</w:t>
                  </w:r>
                </w:p>
              </w:tc>
              <w:tc>
                <w:tcPr>
                  <w:tcW w:w="334" w:type="pct"/>
                  <w:vAlign w:val="center"/>
                </w:tcPr>
                <w:p w14:paraId="6A19DE39">
                  <w:pPr>
                    <w:adjustRightInd w:val="0"/>
                    <w:snapToGrid w:val="0"/>
                    <w:jc w:val="center"/>
                    <w:rPr>
                      <w:rFonts w:hint="default"/>
                      <w:color w:val="auto"/>
                      <w:sz w:val="18"/>
                      <w:szCs w:val="18"/>
                      <w:lang w:val="en-US" w:eastAsia="zh-CN"/>
                    </w:rPr>
                  </w:pPr>
                  <w:r>
                    <w:rPr>
                      <w:rFonts w:hint="eastAsia"/>
                      <w:color w:val="auto"/>
                      <w:sz w:val="18"/>
                      <w:szCs w:val="18"/>
                      <w:lang w:val="en-US" w:eastAsia="zh-CN"/>
                    </w:rPr>
                    <w:t>6</w:t>
                  </w:r>
                </w:p>
              </w:tc>
              <w:tc>
                <w:tcPr>
                  <w:tcW w:w="415" w:type="pct"/>
                  <w:vAlign w:val="center"/>
                </w:tcPr>
                <w:p w14:paraId="001F7ED1">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5A106DF1">
                  <w:pPr>
                    <w:adjustRightInd w:val="0"/>
                    <w:snapToGrid w:val="0"/>
                    <w:jc w:val="center"/>
                    <w:rPr>
                      <w:rFonts w:hint="eastAsia"/>
                      <w:color w:val="auto"/>
                      <w:sz w:val="18"/>
                      <w:szCs w:val="18"/>
                      <w:lang w:val="en-US" w:eastAsia="zh-CN"/>
                    </w:rPr>
                  </w:pPr>
                </w:p>
              </w:tc>
              <w:tc>
                <w:tcPr>
                  <w:tcW w:w="534" w:type="pct"/>
                  <w:vAlign w:val="center"/>
                </w:tcPr>
                <w:p w14:paraId="142C264B">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20465FA0">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1C5AA93E">
                  <w:pPr>
                    <w:adjustRightInd w:val="0"/>
                    <w:snapToGrid w:val="0"/>
                    <w:jc w:val="center"/>
                    <w:rPr>
                      <w:rFonts w:hint="eastAsia"/>
                      <w:color w:val="auto"/>
                      <w:sz w:val="18"/>
                      <w:szCs w:val="18"/>
                    </w:rPr>
                  </w:pPr>
                  <w:r>
                    <w:rPr>
                      <w:rFonts w:hint="eastAsia"/>
                      <w:color w:val="auto"/>
                      <w:sz w:val="18"/>
                      <w:szCs w:val="18"/>
                    </w:rPr>
                    <w:t>1</w:t>
                  </w:r>
                </w:p>
              </w:tc>
            </w:tr>
            <w:tr w14:paraId="3EE61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06177300">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25</w:t>
                  </w:r>
                </w:p>
              </w:tc>
              <w:tc>
                <w:tcPr>
                  <w:tcW w:w="225" w:type="pct"/>
                  <w:vMerge w:val="continue"/>
                  <w:tcBorders>
                    <w:left w:val="single" w:color="auto" w:sz="4" w:space="0"/>
                  </w:tcBorders>
                  <w:vAlign w:val="center"/>
                </w:tcPr>
                <w:p w14:paraId="6FD22292">
                  <w:pPr>
                    <w:pStyle w:val="223"/>
                    <w:autoSpaceDE/>
                    <w:autoSpaceDN/>
                    <w:snapToGrid w:val="0"/>
                    <w:jc w:val="center"/>
                    <w:rPr>
                      <w:rFonts w:hint="eastAsia"/>
                      <w:color w:val="auto"/>
                      <w:sz w:val="18"/>
                      <w:szCs w:val="18"/>
                      <w:lang w:val="en-US" w:eastAsia="zh-CN"/>
                    </w:rPr>
                  </w:pPr>
                </w:p>
              </w:tc>
              <w:tc>
                <w:tcPr>
                  <w:tcW w:w="232" w:type="pct"/>
                  <w:vAlign w:val="center"/>
                </w:tcPr>
                <w:p w14:paraId="43FC44D7">
                  <w:pPr>
                    <w:keepNext w:val="0"/>
                    <w:keepLines w:val="0"/>
                    <w:widowControl/>
                    <w:suppressLineNumbers w:val="0"/>
                    <w:jc w:val="center"/>
                    <w:textAlignment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打磨机</w:t>
                  </w:r>
                </w:p>
              </w:tc>
              <w:tc>
                <w:tcPr>
                  <w:tcW w:w="641" w:type="pct"/>
                  <w:vAlign w:val="center"/>
                </w:tcPr>
                <w:p w14:paraId="313A9219">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3C6BB97F">
                  <w:pPr>
                    <w:adjustRightInd w:val="0"/>
                    <w:snapToGrid w:val="0"/>
                    <w:jc w:val="center"/>
                    <w:rPr>
                      <w:rFonts w:hint="eastAsia"/>
                      <w:color w:val="auto"/>
                      <w:sz w:val="18"/>
                      <w:szCs w:val="18"/>
                    </w:rPr>
                  </w:pPr>
                </w:p>
              </w:tc>
              <w:tc>
                <w:tcPr>
                  <w:tcW w:w="262" w:type="pct"/>
                  <w:vAlign w:val="center"/>
                </w:tcPr>
                <w:p w14:paraId="4A810E24">
                  <w:pPr>
                    <w:adjustRightInd w:val="0"/>
                    <w:snapToGrid w:val="0"/>
                    <w:jc w:val="center"/>
                    <w:rPr>
                      <w:rFonts w:hint="default"/>
                      <w:color w:val="auto"/>
                      <w:sz w:val="18"/>
                      <w:szCs w:val="18"/>
                      <w:lang w:val="en-US" w:eastAsia="zh-CN"/>
                    </w:rPr>
                  </w:pPr>
                  <w:r>
                    <w:rPr>
                      <w:rFonts w:hint="eastAsia"/>
                      <w:color w:val="auto"/>
                      <w:sz w:val="18"/>
                      <w:szCs w:val="18"/>
                      <w:lang w:val="en-US" w:eastAsia="zh-CN"/>
                    </w:rPr>
                    <w:t>35</w:t>
                  </w:r>
                </w:p>
              </w:tc>
              <w:tc>
                <w:tcPr>
                  <w:tcW w:w="178" w:type="pct"/>
                  <w:vAlign w:val="center"/>
                </w:tcPr>
                <w:p w14:paraId="4A90D9F3">
                  <w:pPr>
                    <w:adjustRightInd w:val="0"/>
                    <w:snapToGrid w:val="0"/>
                    <w:jc w:val="center"/>
                    <w:rPr>
                      <w:rFonts w:hint="eastAsia"/>
                      <w:color w:val="auto"/>
                      <w:sz w:val="18"/>
                      <w:szCs w:val="18"/>
                      <w:lang w:val="en-US" w:eastAsia="zh-CN"/>
                    </w:rPr>
                  </w:pPr>
                  <w:r>
                    <w:rPr>
                      <w:rFonts w:hint="eastAsia"/>
                      <w:color w:val="auto"/>
                      <w:sz w:val="18"/>
                      <w:szCs w:val="18"/>
                      <w:lang w:val="en-US" w:eastAsia="zh-CN"/>
                    </w:rPr>
                    <w:t>270</w:t>
                  </w:r>
                </w:p>
              </w:tc>
              <w:tc>
                <w:tcPr>
                  <w:tcW w:w="188" w:type="pct"/>
                  <w:vAlign w:val="center"/>
                </w:tcPr>
                <w:p w14:paraId="60A72330">
                  <w:pPr>
                    <w:adjustRightInd w:val="0"/>
                    <w:snapToGrid w:val="0"/>
                    <w:jc w:val="center"/>
                    <w:rPr>
                      <w:rFonts w:hint="eastAsia"/>
                      <w:color w:val="auto"/>
                      <w:sz w:val="18"/>
                      <w:szCs w:val="18"/>
                      <w:lang w:val="en-US" w:eastAsia="zh-CN"/>
                    </w:rPr>
                  </w:pPr>
                  <w:r>
                    <w:rPr>
                      <w:rFonts w:hint="eastAsia"/>
                      <w:color w:val="auto"/>
                      <w:sz w:val="18"/>
                      <w:szCs w:val="18"/>
                      <w:lang w:val="en-US" w:eastAsia="zh-CN"/>
                    </w:rPr>
                    <w:t>1.2</w:t>
                  </w:r>
                </w:p>
              </w:tc>
              <w:tc>
                <w:tcPr>
                  <w:tcW w:w="334" w:type="pct"/>
                  <w:vAlign w:val="center"/>
                </w:tcPr>
                <w:p w14:paraId="15D22B8A">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587BDAAC">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53FA3936">
                  <w:pPr>
                    <w:adjustRightInd w:val="0"/>
                    <w:snapToGrid w:val="0"/>
                    <w:jc w:val="center"/>
                    <w:rPr>
                      <w:rFonts w:hint="eastAsia"/>
                      <w:color w:val="auto"/>
                      <w:sz w:val="18"/>
                      <w:szCs w:val="18"/>
                      <w:lang w:val="en-US" w:eastAsia="zh-CN"/>
                    </w:rPr>
                  </w:pPr>
                </w:p>
              </w:tc>
              <w:tc>
                <w:tcPr>
                  <w:tcW w:w="534" w:type="pct"/>
                  <w:vAlign w:val="center"/>
                </w:tcPr>
                <w:p w14:paraId="25A2BAE0">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6F6608B8">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284C73DA">
                  <w:pPr>
                    <w:adjustRightInd w:val="0"/>
                    <w:snapToGrid w:val="0"/>
                    <w:jc w:val="center"/>
                    <w:rPr>
                      <w:rFonts w:hint="eastAsia"/>
                      <w:color w:val="auto"/>
                      <w:sz w:val="18"/>
                      <w:szCs w:val="18"/>
                    </w:rPr>
                  </w:pPr>
                  <w:r>
                    <w:rPr>
                      <w:rFonts w:hint="eastAsia"/>
                      <w:color w:val="auto"/>
                      <w:sz w:val="18"/>
                      <w:szCs w:val="18"/>
                    </w:rPr>
                    <w:t>1</w:t>
                  </w:r>
                </w:p>
              </w:tc>
            </w:tr>
            <w:tr w14:paraId="6CE11B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319C1ACC">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26</w:t>
                  </w:r>
                </w:p>
              </w:tc>
              <w:tc>
                <w:tcPr>
                  <w:tcW w:w="225" w:type="pct"/>
                  <w:vMerge w:val="continue"/>
                  <w:tcBorders>
                    <w:left w:val="single" w:color="auto" w:sz="4" w:space="0"/>
                  </w:tcBorders>
                  <w:vAlign w:val="center"/>
                </w:tcPr>
                <w:p w14:paraId="5A6BFD91">
                  <w:pPr>
                    <w:pStyle w:val="223"/>
                    <w:autoSpaceDE/>
                    <w:autoSpaceDN/>
                    <w:snapToGrid w:val="0"/>
                    <w:jc w:val="center"/>
                    <w:rPr>
                      <w:rFonts w:hint="eastAsia"/>
                      <w:color w:val="auto"/>
                      <w:sz w:val="18"/>
                      <w:szCs w:val="18"/>
                      <w:lang w:val="en-US" w:eastAsia="zh-CN"/>
                    </w:rPr>
                  </w:pPr>
                </w:p>
              </w:tc>
              <w:tc>
                <w:tcPr>
                  <w:tcW w:w="232" w:type="pct"/>
                  <w:shd w:val="clear" w:color="auto" w:fill="auto"/>
                  <w:vAlign w:val="center"/>
                </w:tcPr>
                <w:p w14:paraId="41E0F1C0">
                  <w:pPr>
                    <w:keepNext w:val="0"/>
                    <w:keepLines w:val="0"/>
                    <w:widowControl/>
                    <w:suppressLineNumbers w:val="0"/>
                    <w:jc w:val="center"/>
                    <w:textAlignment w:val="center"/>
                    <w:rPr>
                      <w:rFonts w:hint="eastAsia" w:ascii="Times New Roman" w:hAnsi="Times New Roman" w:eastAsia="宋体" w:cs="Times New Roman"/>
                      <w:color w:val="auto"/>
                      <w:kern w:val="2"/>
                      <w:sz w:val="18"/>
                      <w:szCs w:val="18"/>
                      <w:u w:val="none"/>
                      <w:lang w:val="en-US" w:eastAsia="zh-CN" w:bidi="ar"/>
                    </w:rPr>
                  </w:pPr>
                  <w:r>
                    <w:rPr>
                      <w:rStyle w:val="380"/>
                      <w:rFonts w:hint="eastAsia" w:ascii="Times New Roman" w:hAnsi="Times New Roman" w:cs="Times New Roman"/>
                      <w:color w:val="auto"/>
                      <w:sz w:val="18"/>
                      <w:szCs w:val="18"/>
                      <w:lang w:val="en-US" w:eastAsia="zh-CN" w:bidi="ar"/>
                    </w:rPr>
                    <w:t>隧道窑</w:t>
                  </w:r>
                </w:p>
              </w:tc>
              <w:tc>
                <w:tcPr>
                  <w:tcW w:w="641" w:type="pct"/>
                  <w:shd w:val="clear" w:color="auto" w:fill="auto"/>
                  <w:vAlign w:val="center"/>
                </w:tcPr>
                <w:p w14:paraId="18B072CF">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80/1</w:t>
                  </w:r>
                </w:p>
              </w:tc>
              <w:tc>
                <w:tcPr>
                  <w:tcW w:w="534" w:type="pct"/>
                  <w:vMerge w:val="continue"/>
                  <w:shd w:val="clear" w:color="auto" w:fill="auto"/>
                  <w:vAlign w:val="center"/>
                </w:tcPr>
                <w:p w14:paraId="405EF029">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262" w:type="pct"/>
                  <w:shd w:val="clear" w:color="auto" w:fill="auto"/>
                  <w:vAlign w:val="center"/>
                </w:tcPr>
                <w:p w14:paraId="502B9A4F">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55</w:t>
                  </w:r>
                </w:p>
              </w:tc>
              <w:tc>
                <w:tcPr>
                  <w:tcW w:w="178" w:type="pct"/>
                  <w:vAlign w:val="center"/>
                </w:tcPr>
                <w:p w14:paraId="47F4C72B">
                  <w:pPr>
                    <w:adjustRightInd w:val="0"/>
                    <w:snapToGrid w:val="0"/>
                    <w:jc w:val="center"/>
                    <w:rPr>
                      <w:rFonts w:hint="eastAsia"/>
                      <w:color w:val="auto"/>
                      <w:sz w:val="18"/>
                      <w:szCs w:val="18"/>
                      <w:lang w:val="en-US" w:eastAsia="zh-CN"/>
                    </w:rPr>
                  </w:pPr>
                  <w:r>
                    <w:rPr>
                      <w:rFonts w:hint="eastAsia"/>
                      <w:color w:val="auto"/>
                      <w:sz w:val="18"/>
                      <w:szCs w:val="18"/>
                      <w:lang w:val="en-US" w:eastAsia="zh-CN"/>
                    </w:rPr>
                    <w:t>260</w:t>
                  </w:r>
                </w:p>
              </w:tc>
              <w:tc>
                <w:tcPr>
                  <w:tcW w:w="188" w:type="pct"/>
                  <w:vAlign w:val="center"/>
                </w:tcPr>
                <w:p w14:paraId="6D884A49">
                  <w:pPr>
                    <w:adjustRightInd w:val="0"/>
                    <w:snapToGrid w:val="0"/>
                    <w:jc w:val="center"/>
                    <w:rPr>
                      <w:rFonts w:hint="eastAsia"/>
                      <w:color w:val="auto"/>
                      <w:sz w:val="18"/>
                      <w:szCs w:val="18"/>
                      <w:lang w:val="en-US" w:eastAsia="zh-CN"/>
                    </w:rPr>
                  </w:pPr>
                  <w:r>
                    <w:rPr>
                      <w:rFonts w:hint="eastAsia"/>
                      <w:color w:val="auto"/>
                      <w:sz w:val="18"/>
                      <w:szCs w:val="18"/>
                      <w:lang w:val="en-US" w:eastAsia="zh-CN"/>
                    </w:rPr>
                    <w:t>1.2</w:t>
                  </w:r>
                </w:p>
              </w:tc>
              <w:tc>
                <w:tcPr>
                  <w:tcW w:w="334" w:type="pct"/>
                  <w:vAlign w:val="center"/>
                </w:tcPr>
                <w:p w14:paraId="57A46C7E">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5CB3E873">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Merge w:val="continue"/>
                  <w:vAlign w:val="center"/>
                </w:tcPr>
                <w:p w14:paraId="65E6C228">
                  <w:pPr>
                    <w:adjustRightInd w:val="0"/>
                    <w:snapToGrid w:val="0"/>
                    <w:jc w:val="center"/>
                    <w:rPr>
                      <w:rFonts w:hint="eastAsia"/>
                      <w:color w:val="auto"/>
                      <w:sz w:val="18"/>
                      <w:szCs w:val="18"/>
                      <w:lang w:val="en-US" w:eastAsia="zh-CN"/>
                    </w:rPr>
                  </w:pPr>
                </w:p>
              </w:tc>
              <w:tc>
                <w:tcPr>
                  <w:tcW w:w="534" w:type="pct"/>
                  <w:vAlign w:val="center"/>
                </w:tcPr>
                <w:p w14:paraId="1E4EB660">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29FCC764">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5573BB56">
                  <w:pPr>
                    <w:adjustRightInd w:val="0"/>
                    <w:snapToGrid w:val="0"/>
                    <w:jc w:val="center"/>
                    <w:rPr>
                      <w:rFonts w:hint="eastAsia"/>
                      <w:color w:val="auto"/>
                      <w:sz w:val="18"/>
                      <w:szCs w:val="18"/>
                    </w:rPr>
                  </w:pPr>
                  <w:r>
                    <w:rPr>
                      <w:rFonts w:hint="eastAsia"/>
                      <w:color w:val="auto"/>
                      <w:sz w:val="18"/>
                      <w:szCs w:val="18"/>
                    </w:rPr>
                    <w:t>1</w:t>
                  </w:r>
                </w:p>
              </w:tc>
            </w:tr>
            <w:tr w14:paraId="6076B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112ACF66">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27</w:t>
                  </w:r>
                </w:p>
              </w:tc>
              <w:tc>
                <w:tcPr>
                  <w:tcW w:w="225" w:type="pct"/>
                  <w:vMerge w:val="continue"/>
                  <w:tcBorders>
                    <w:left w:val="single" w:color="auto" w:sz="4" w:space="0"/>
                  </w:tcBorders>
                  <w:vAlign w:val="center"/>
                </w:tcPr>
                <w:p w14:paraId="57F99D99">
                  <w:pPr>
                    <w:pStyle w:val="223"/>
                    <w:autoSpaceDE/>
                    <w:autoSpaceDN/>
                    <w:snapToGrid w:val="0"/>
                    <w:jc w:val="center"/>
                    <w:rPr>
                      <w:rFonts w:hint="eastAsia"/>
                      <w:color w:val="auto"/>
                      <w:sz w:val="18"/>
                      <w:szCs w:val="18"/>
                      <w:lang w:val="en-US" w:eastAsia="zh-CN"/>
                    </w:rPr>
                  </w:pPr>
                </w:p>
              </w:tc>
              <w:tc>
                <w:tcPr>
                  <w:tcW w:w="232" w:type="pct"/>
                  <w:vAlign w:val="center"/>
                </w:tcPr>
                <w:p w14:paraId="1A3FBABC">
                  <w:pPr>
                    <w:keepNext w:val="0"/>
                    <w:keepLines w:val="0"/>
                    <w:widowControl/>
                    <w:suppressLineNumbers w:val="0"/>
                    <w:jc w:val="center"/>
                    <w:textAlignment w:val="center"/>
                    <w:rPr>
                      <w:rStyle w:val="380"/>
                      <w:rFonts w:hint="default" w:ascii="Times New Roman" w:hAnsi="Times New Roman" w:cs="Times New Roman"/>
                      <w:color w:val="auto"/>
                      <w:sz w:val="18"/>
                      <w:szCs w:val="18"/>
                      <w:lang w:val="en-US" w:eastAsia="zh-CN" w:bidi="ar"/>
                    </w:rPr>
                  </w:pPr>
                  <w:r>
                    <w:rPr>
                      <w:rStyle w:val="380"/>
                      <w:rFonts w:hint="eastAsia" w:ascii="Times New Roman" w:hAnsi="Times New Roman" w:cs="Times New Roman"/>
                      <w:color w:val="auto"/>
                      <w:sz w:val="18"/>
                      <w:szCs w:val="18"/>
                      <w:lang w:val="en-US" w:eastAsia="zh-CN" w:bidi="ar"/>
                    </w:rPr>
                    <w:t>成型机</w:t>
                  </w:r>
                </w:p>
              </w:tc>
              <w:tc>
                <w:tcPr>
                  <w:tcW w:w="641" w:type="pct"/>
                  <w:vAlign w:val="center"/>
                </w:tcPr>
                <w:p w14:paraId="55332D07">
                  <w:pPr>
                    <w:adjustRightInd w:val="0"/>
                    <w:snapToGrid w:val="0"/>
                    <w:jc w:val="center"/>
                    <w:rPr>
                      <w:rFonts w:hint="default"/>
                      <w:color w:val="auto"/>
                      <w:sz w:val="18"/>
                      <w:szCs w:val="18"/>
                      <w:lang w:val="en-US" w:eastAsia="zh-CN"/>
                    </w:rPr>
                  </w:pPr>
                  <w:r>
                    <w:rPr>
                      <w:rFonts w:hint="eastAsia"/>
                      <w:color w:val="auto"/>
                      <w:sz w:val="18"/>
                      <w:szCs w:val="18"/>
                      <w:lang w:val="en-US" w:eastAsia="zh-CN"/>
                    </w:rPr>
                    <w:t>75/1</w:t>
                  </w:r>
                </w:p>
              </w:tc>
              <w:tc>
                <w:tcPr>
                  <w:tcW w:w="534" w:type="pct"/>
                  <w:vMerge w:val="continue"/>
                  <w:vAlign w:val="center"/>
                </w:tcPr>
                <w:p w14:paraId="1C4E782E">
                  <w:pPr>
                    <w:adjustRightInd w:val="0"/>
                    <w:snapToGrid w:val="0"/>
                    <w:jc w:val="center"/>
                    <w:rPr>
                      <w:rFonts w:hint="eastAsia"/>
                      <w:color w:val="auto"/>
                      <w:sz w:val="18"/>
                      <w:szCs w:val="18"/>
                    </w:rPr>
                  </w:pPr>
                </w:p>
              </w:tc>
              <w:tc>
                <w:tcPr>
                  <w:tcW w:w="262" w:type="pct"/>
                  <w:vAlign w:val="center"/>
                </w:tcPr>
                <w:p w14:paraId="404B176F">
                  <w:pPr>
                    <w:adjustRightInd w:val="0"/>
                    <w:snapToGrid w:val="0"/>
                    <w:jc w:val="center"/>
                    <w:rPr>
                      <w:rFonts w:hint="default"/>
                      <w:color w:val="auto"/>
                      <w:sz w:val="18"/>
                      <w:szCs w:val="18"/>
                      <w:lang w:val="en-US" w:eastAsia="zh-CN"/>
                    </w:rPr>
                  </w:pPr>
                  <w:r>
                    <w:rPr>
                      <w:rFonts w:hint="eastAsia"/>
                      <w:color w:val="auto"/>
                      <w:sz w:val="18"/>
                      <w:szCs w:val="18"/>
                      <w:lang w:val="en-US" w:eastAsia="zh-CN"/>
                    </w:rPr>
                    <w:t>65</w:t>
                  </w:r>
                </w:p>
              </w:tc>
              <w:tc>
                <w:tcPr>
                  <w:tcW w:w="178" w:type="pct"/>
                  <w:vAlign w:val="center"/>
                </w:tcPr>
                <w:p w14:paraId="270B0375">
                  <w:pPr>
                    <w:adjustRightInd w:val="0"/>
                    <w:snapToGrid w:val="0"/>
                    <w:jc w:val="center"/>
                    <w:rPr>
                      <w:rFonts w:hint="eastAsia"/>
                      <w:color w:val="auto"/>
                      <w:sz w:val="18"/>
                      <w:szCs w:val="18"/>
                      <w:lang w:val="en-US" w:eastAsia="zh-CN"/>
                    </w:rPr>
                  </w:pPr>
                  <w:r>
                    <w:rPr>
                      <w:rFonts w:hint="eastAsia"/>
                      <w:color w:val="auto"/>
                      <w:sz w:val="18"/>
                      <w:szCs w:val="18"/>
                      <w:lang w:val="en-US" w:eastAsia="zh-CN"/>
                    </w:rPr>
                    <w:t>260</w:t>
                  </w:r>
                </w:p>
              </w:tc>
              <w:tc>
                <w:tcPr>
                  <w:tcW w:w="188" w:type="pct"/>
                  <w:vAlign w:val="center"/>
                </w:tcPr>
                <w:p w14:paraId="3D8264D7">
                  <w:pPr>
                    <w:adjustRightInd w:val="0"/>
                    <w:snapToGrid w:val="0"/>
                    <w:jc w:val="center"/>
                    <w:rPr>
                      <w:rFonts w:hint="eastAsia"/>
                      <w:color w:val="auto"/>
                      <w:sz w:val="18"/>
                      <w:szCs w:val="18"/>
                      <w:lang w:val="en-US" w:eastAsia="zh-CN"/>
                    </w:rPr>
                  </w:pPr>
                  <w:r>
                    <w:rPr>
                      <w:rFonts w:hint="eastAsia"/>
                      <w:color w:val="auto"/>
                      <w:sz w:val="18"/>
                      <w:szCs w:val="18"/>
                      <w:lang w:val="en-US" w:eastAsia="zh-CN"/>
                    </w:rPr>
                    <w:t>1.2</w:t>
                  </w:r>
                </w:p>
              </w:tc>
              <w:tc>
                <w:tcPr>
                  <w:tcW w:w="334" w:type="pct"/>
                  <w:vAlign w:val="center"/>
                </w:tcPr>
                <w:p w14:paraId="491E45FC">
                  <w:pPr>
                    <w:adjustRightInd w:val="0"/>
                    <w:snapToGrid w:val="0"/>
                    <w:jc w:val="center"/>
                    <w:rPr>
                      <w:rFonts w:hint="eastAsia"/>
                      <w:color w:val="auto"/>
                      <w:sz w:val="18"/>
                      <w:szCs w:val="18"/>
                      <w:lang w:val="en-US" w:eastAsia="zh-CN"/>
                    </w:rPr>
                  </w:pPr>
                  <w:r>
                    <w:rPr>
                      <w:rFonts w:hint="eastAsia"/>
                      <w:color w:val="auto"/>
                      <w:sz w:val="18"/>
                      <w:szCs w:val="18"/>
                      <w:lang w:val="en-US" w:eastAsia="zh-CN"/>
                    </w:rPr>
                    <w:t>6</w:t>
                  </w:r>
                </w:p>
              </w:tc>
              <w:tc>
                <w:tcPr>
                  <w:tcW w:w="415" w:type="pct"/>
                  <w:vAlign w:val="center"/>
                </w:tcPr>
                <w:p w14:paraId="1C855720">
                  <w:pPr>
                    <w:adjustRightInd w:val="0"/>
                    <w:snapToGrid w:val="0"/>
                    <w:jc w:val="center"/>
                    <w:rPr>
                      <w:rFonts w:hint="default"/>
                      <w:color w:val="auto"/>
                      <w:sz w:val="18"/>
                      <w:szCs w:val="18"/>
                      <w:lang w:val="en-US" w:eastAsia="zh-CN"/>
                    </w:rPr>
                  </w:pPr>
                  <w:r>
                    <w:rPr>
                      <w:rFonts w:hint="eastAsia"/>
                      <w:color w:val="auto"/>
                      <w:sz w:val="18"/>
                      <w:szCs w:val="18"/>
                      <w:lang w:val="en-US" w:eastAsia="zh-CN"/>
                    </w:rPr>
                    <w:t>65.0</w:t>
                  </w:r>
                </w:p>
              </w:tc>
              <w:tc>
                <w:tcPr>
                  <w:tcW w:w="626" w:type="pct"/>
                  <w:vMerge w:val="continue"/>
                  <w:vAlign w:val="center"/>
                </w:tcPr>
                <w:p w14:paraId="3C8348C4">
                  <w:pPr>
                    <w:adjustRightInd w:val="0"/>
                    <w:snapToGrid w:val="0"/>
                    <w:jc w:val="center"/>
                    <w:rPr>
                      <w:rFonts w:hint="eastAsia"/>
                      <w:color w:val="auto"/>
                      <w:sz w:val="18"/>
                      <w:szCs w:val="18"/>
                      <w:lang w:val="en-US" w:eastAsia="zh-CN"/>
                    </w:rPr>
                  </w:pPr>
                </w:p>
              </w:tc>
              <w:tc>
                <w:tcPr>
                  <w:tcW w:w="534" w:type="pct"/>
                  <w:vAlign w:val="center"/>
                </w:tcPr>
                <w:p w14:paraId="23FC4102">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31FB166D">
                  <w:pPr>
                    <w:adjustRightInd w:val="0"/>
                    <w:snapToGrid w:val="0"/>
                    <w:jc w:val="center"/>
                    <w:rPr>
                      <w:rFonts w:hint="eastAsia"/>
                      <w:color w:val="auto"/>
                      <w:sz w:val="18"/>
                      <w:szCs w:val="18"/>
                      <w:lang w:val="en-US" w:eastAsia="zh-CN"/>
                    </w:rPr>
                  </w:pPr>
                  <w:r>
                    <w:rPr>
                      <w:rFonts w:hint="eastAsia"/>
                      <w:color w:val="auto"/>
                      <w:sz w:val="18"/>
                      <w:szCs w:val="18"/>
                      <w:lang w:val="en-US" w:eastAsia="zh-CN"/>
                    </w:rPr>
                    <w:t>45.0</w:t>
                  </w:r>
                </w:p>
              </w:tc>
              <w:tc>
                <w:tcPr>
                  <w:tcW w:w="279" w:type="pct"/>
                  <w:vAlign w:val="center"/>
                </w:tcPr>
                <w:p w14:paraId="61BFDC91">
                  <w:pPr>
                    <w:adjustRightInd w:val="0"/>
                    <w:snapToGrid w:val="0"/>
                    <w:jc w:val="center"/>
                    <w:rPr>
                      <w:rFonts w:hint="eastAsia"/>
                      <w:color w:val="auto"/>
                      <w:sz w:val="18"/>
                      <w:szCs w:val="18"/>
                    </w:rPr>
                  </w:pPr>
                  <w:r>
                    <w:rPr>
                      <w:rFonts w:hint="eastAsia"/>
                      <w:color w:val="auto"/>
                      <w:sz w:val="18"/>
                      <w:szCs w:val="18"/>
                    </w:rPr>
                    <w:t>1</w:t>
                  </w:r>
                </w:p>
              </w:tc>
            </w:tr>
            <w:tr w14:paraId="75ACC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1" w:hRule="atLeast"/>
              </w:trPr>
              <w:tc>
                <w:tcPr>
                  <w:tcW w:w="133" w:type="pct"/>
                  <w:tcBorders>
                    <w:right w:val="single" w:color="auto" w:sz="4" w:space="0"/>
                  </w:tcBorders>
                  <w:vAlign w:val="center"/>
                </w:tcPr>
                <w:p w14:paraId="1F3DB73D">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28</w:t>
                  </w:r>
                </w:p>
              </w:tc>
              <w:tc>
                <w:tcPr>
                  <w:tcW w:w="225" w:type="pct"/>
                  <w:tcBorders>
                    <w:left w:val="single" w:color="auto" w:sz="4" w:space="0"/>
                  </w:tcBorders>
                  <w:vAlign w:val="center"/>
                </w:tcPr>
                <w:p w14:paraId="236B4295">
                  <w:pPr>
                    <w:pStyle w:val="223"/>
                    <w:autoSpaceDE/>
                    <w:autoSpaceDN/>
                    <w:snapToGrid w:val="0"/>
                    <w:jc w:val="center"/>
                    <w:rPr>
                      <w:rFonts w:hint="default"/>
                      <w:color w:val="auto"/>
                      <w:sz w:val="18"/>
                      <w:szCs w:val="18"/>
                      <w:lang w:val="en-US" w:eastAsia="zh-CN"/>
                    </w:rPr>
                  </w:pPr>
                  <w:r>
                    <w:rPr>
                      <w:rFonts w:hint="eastAsia"/>
                      <w:color w:val="auto"/>
                      <w:sz w:val="18"/>
                      <w:szCs w:val="18"/>
                      <w:lang w:val="en-US" w:eastAsia="zh-CN"/>
                    </w:rPr>
                    <w:t>锅炉房</w:t>
                  </w:r>
                </w:p>
              </w:tc>
              <w:tc>
                <w:tcPr>
                  <w:tcW w:w="232" w:type="pct"/>
                  <w:vAlign w:val="center"/>
                </w:tcPr>
                <w:p w14:paraId="47A5206C">
                  <w:pPr>
                    <w:adjustRightInd w:val="0"/>
                    <w:snapToGrid w:val="0"/>
                    <w:jc w:val="center"/>
                    <w:rPr>
                      <w:rFonts w:hint="default" w:ascii="Times New Roman" w:hAnsi="Times New Roman" w:eastAsia="宋体-简" w:cs="Times New Roman"/>
                      <w:i w:val="0"/>
                      <w:iCs w:val="0"/>
                      <w:color w:val="auto"/>
                      <w:kern w:val="0"/>
                      <w:sz w:val="18"/>
                      <w:szCs w:val="18"/>
                      <w:u w:val="none"/>
                      <w:lang w:val="en-US" w:eastAsia="zh-CN" w:bidi="ar"/>
                    </w:rPr>
                  </w:pPr>
                  <w:r>
                    <w:rPr>
                      <w:rFonts w:hint="eastAsia" w:eastAsia="宋体-简" w:cs="Times New Roman"/>
                      <w:i w:val="0"/>
                      <w:iCs w:val="0"/>
                      <w:color w:val="auto"/>
                      <w:kern w:val="0"/>
                      <w:sz w:val="18"/>
                      <w:szCs w:val="18"/>
                      <w:u w:val="none"/>
                      <w:lang w:val="en-US" w:eastAsia="zh-CN" w:bidi="ar"/>
                    </w:rPr>
                    <w:t>锅炉</w:t>
                  </w:r>
                </w:p>
              </w:tc>
              <w:tc>
                <w:tcPr>
                  <w:tcW w:w="641" w:type="pct"/>
                  <w:vAlign w:val="center"/>
                </w:tcPr>
                <w:p w14:paraId="6AE766CC">
                  <w:pPr>
                    <w:adjustRightInd w:val="0"/>
                    <w:snapToGrid w:val="0"/>
                    <w:jc w:val="center"/>
                    <w:rPr>
                      <w:rFonts w:hint="eastAsia"/>
                      <w:color w:val="auto"/>
                      <w:sz w:val="18"/>
                      <w:szCs w:val="18"/>
                      <w:lang w:val="en-US" w:eastAsia="zh-CN"/>
                    </w:rPr>
                  </w:pPr>
                  <w:r>
                    <w:rPr>
                      <w:rFonts w:hint="eastAsia"/>
                      <w:color w:val="auto"/>
                      <w:sz w:val="18"/>
                      <w:szCs w:val="18"/>
                      <w:lang w:val="en-US" w:eastAsia="zh-CN"/>
                    </w:rPr>
                    <w:t>80/1</w:t>
                  </w:r>
                </w:p>
              </w:tc>
              <w:tc>
                <w:tcPr>
                  <w:tcW w:w="534" w:type="pct"/>
                  <w:vMerge w:val="continue"/>
                  <w:vAlign w:val="center"/>
                </w:tcPr>
                <w:p w14:paraId="59F8962D">
                  <w:pPr>
                    <w:adjustRightInd w:val="0"/>
                    <w:snapToGrid w:val="0"/>
                    <w:jc w:val="center"/>
                    <w:rPr>
                      <w:rFonts w:hint="eastAsia"/>
                      <w:color w:val="auto"/>
                      <w:sz w:val="18"/>
                      <w:szCs w:val="18"/>
                    </w:rPr>
                  </w:pPr>
                </w:p>
              </w:tc>
              <w:tc>
                <w:tcPr>
                  <w:tcW w:w="262" w:type="pct"/>
                  <w:vAlign w:val="center"/>
                </w:tcPr>
                <w:p w14:paraId="758ADF51">
                  <w:pPr>
                    <w:adjustRightInd w:val="0"/>
                    <w:snapToGrid w:val="0"/>
                    <w:jc w:val="center"/>
                    <w:rPr>
                      <w:rFonts w:hint="default"/>
                      <w:color w:val="auto"/>
                      <w:sz w:val="18"/>
                      <w:szCs w:val="18"/>
                      <w:lang w:val="en-US" w:eastAsia="zh-CN"/>
                    </w:rPr>
                  </w:pPr>
                  <w:r>
                    <w:rPr>
                      <w:rFonts w:hint="eastAsia"/>
                      <w:color w:val="auto"/>
                      <w:sz w:val="18"/>
                      <w:szCs w:val="18"/>
                      <w:lang w:val="en-US" w:eastAsia="zh-CN"/>
                    </w:rPr>
                    <w:t>20</w:t>
                  </w:r>
                </w:p>
              </w:tc>
              <w:tc>
                <w:tcPr>
                  <w:tcW w:w="178" w:type="pct"/>
                  <w:vAlign w:val="center"/>
                </w:tcPr>
                <w:p w14:paraId="63CE37D9">
                  <w:pPr>
                    <w:adjustRightInd w:val="0"/>
                    <w:snapToGrid w:val="0"/>
                    <w:jc w:val="center"/>
                    <w:rPr>
                      <w:rFonts w:hint="default"/>
                      <w:color w:val="auto"/>
                      <w:sz w:val="18"/>
                      <w:szCs w:val="18"/>
                      <w:lang w:val="en-US" w:eastAsia="zh-CN"/>
                    </w:rPr>
                  </w:pPr>
                  <w:r>
                    <w:rPr>
                      <w:rFonts w:hint="eastAsia"/>
                      <w:color w:val="auto"/>
                      <w:sz w:val="18"/>
                      <w:szCs w:val="18"/>
                      <w:lang w:val="en-US" w:eastAsia="zh-CN"/>
                    </w:rPr>
                    <w:t>78</w:t>
                  </w:r>
                </w:p>
              </w:tc>
              <w:tc>
                <w:tcPr>
                  <w:tcW w:w="188" w:type="pct"/>
                  <w:vAlign w:val="center"/>
                </w:tcPr>
                <w:p w14:paraId="60FE376A">
                  <w:pPr>
                    <w:adjustRightInd w:val="0"/>
                    <w:snapToGrid w:val="0"/>
                    <w:jc w:val="center"/>
                    <w:rPr>
                      <w:rFonts w:hint="default"/>
                      <w:color w:val="auto"/>
                      <w:sz w:val="18"/>
                      <w:szCs w:val="18"/>
                      <w:lang w:val="en-US" w:eastAsia="zh-CN"/>
                    </w:rPr>
                  </w:pPr>
                  <w:r>
                    <w:rPr>
                      <w:rFonts w:hint="eastAsia"/>
                      <w:color w:val="auto"/>
                      <w:sz w:val="18"/>
                      <w:szCs w:val="18"/>
                      <w:lang w:val="en-US" w:eastAsia="zh-CN"/>
                    </w:rPr>
                    <w:t>2</w:t>
                  </w:r>
                </w:p>
              </w:tc>
              <w:tc>
                <w:tcPr>
                  <w:tcW w:w="334" w:type="pct"/>
                  <w:vAlign w:val="center"/>
                </w:tcPr>
                <w:p w14:paraId="57A4256A">
                  <w:pPr>
                    <w:adjustRightInd w:val="0"/>
                    <w:snapToGrid w:val="0"/>
                    <w:jc w:val="center"/>
                    <w:rPr>
                      <w:rFonts w:hint="eastAsia"/>
                      <w:color w:val="auto"/>
                      <w:sz w:val="18"/>
                      <w:szCs w:val="18"/>
                      <w:lang w:val="en-US" w:eastAsia="zh-CN"/>
                    </w:rPr>
                  </w:pPr>
                  <w:r>
                    <w:rPr>
                      <w:rFonts w:hint="eastAsia"/>
                      <w:color w:val="auto"/>
                      <w:sz w:val="18"/>
                      <w:szCs w:val="18"/>
                      <w:lang w:val="en-US" w:eastAsia="zh-CN"/>
                    </w:rPr>
                    <w:t>2</w:t>
                  </w:r>
                </w:p>
              </w:tc>
              <w:tc>
                <w:tcPr>
                  <w:tcW w:w="415" w:type="pct"/>
                  <w:vAlign w:val="center"/>
                </w:tcPr>
                <w:p w14:paraId="2544D5B7">
                  <w:pPr>
                    <w:adjustRightInd w:val="0"/>
                    <w:snapToGrid w:val="0"/>
                    <w:jc w:val="center"/>
                    <w:rPr>
                      <w:rFonts w:hint="eastAsia"/>
                      <w:color w:val="auto"/>
                      <w:sz w:val="18"/>
                      <w:szCs w:val="18"/>
                      <w:lang w:val="en-US" w:eastAsia="zh-CN"/>
                    </w:rPr>
                  </w:pPr>
                  <w:r>
                    <w:rPr>
                      <w:rFonts w:hint="eastAsia"/>
                      <w:color w:val="auto"/>
                      <w:sz w:val="18"/>
                      <w:szCs w:val="18"/>
                      <w:lang w:val="en-US" w:eastAsia="zh-CN"/>
                    </w:rPr>
                    <w:t>70.0</w:t>
                  </w:r>
                </w:p>
              </w:tc>
              <w:tc>
                <w:tcPr>
                  <w:tcW w:w="626" w:type="pct"/>
                  <w:vAlign w:val="center"/>
                </w:tcPr>
                <w:p w14:paraId="4322E1AB">
                  <w:pPr>
                    <w:adjustRightInd w:val="0"/>
                    <w:snapToGrid w:val="0"/>
                    <w:jc w:val="center"/>
                    <w:rPr>
                      <w:rFonts w:hint="default"/>
                      <w:color w:val="auto"/>
                      <w:sz w:val="18"/>
                      <w:szCs w:val="18"/>
                      <w:lang w:val="en-US" w:eastAsia="zh-CN"/>
                    </w:rPr>
                  </w:pPr>
                  <w:r>
                    <w:rPr>
                      <w:rFonts w:hint="eastAsia"/>
                      <w:color w:val="auto"/>
                      <w:sz w:val="18"/>
                      <w:szCs w:val="18"/>
                      <w:lang w:val="en-US" w:eastAsia="zh-CN"/>
                    </w:rPr>
                    <w:t>24h</w:t>
                  </w:r>
                </w:p>
              </w:tc>
              <w:tc>
                <w:tcPr>
                  <w:tcW w:w="534" w:type="pct"/>
                  <w:vAlign w:val="center"/>
                </w:tcPr>
                <w:p w14:paraId="08EB1C09">
                  <w:pPr>
                    <w:adjustRightInd w:val="0"/>
                    <w:snapToGrid w:val="0"/>
                    <w:jc w:val="center"/>
                    <w:rPr>
                      <w:rFonts w:hint="eastAsia"/>
                      <w:color w:val="auto"/>
                      <w:sz w:val="18"/>
                      <w:szCs w:val="18"/>
                    </w:rPr>
                  </w:pPr>
                  <w:r>
                    <w:rPr>
                      <w:rFonts w:hint="eastAsia"/>
                      <w:color w:val="auto"/>
                      <w:sz w:val="18"/>
                      <w:szCs w:val="18"/>
                    </w:rPr>
                    <w:t>20</w:t>
                  </w:r>
                </w:p>
              </w:tc>
              <w:tc>
                <w:tcPr>
                  <w:tcW w:w="410" w:type="pct"/>
                  <w:vAlign w:val="center"/>
                </w:tcPr>
                <w:p w14:paraId="582D0F62">
                  <w:pPr>
                    <w:adjustRightInd w:val="0"/>
                    <w:snapToGrid w:val="0"/>
                    <w:jc w:val="center"/>
                    <w:rPr>
                      <w:rFonts w:hint="eastAsia"/>
                      <w:color w:val="auto"/>
                      <w:sz w:val="18"/>
                      <w:szCs w:val="18"/>
                      <w:lang w:val="en-US" w:eastAsia="zh-CN"/>
                    </w:rPr>
                  </w:pPr>
                  <w:r>
                    <w:rPr>
                      <w:rFonts w:hint="eastAsia"/>
                      <w:color w:val="auto"/>
                      <w:sz w:val="18"/>
                      <w:szCs w:val="18"/>
                      <w:lang w:val="en-US" w:eastAsia="zh-CN"/>
                    </w:rPr>
                    <w:t>50.0</w:t>
                  </w:r>
                </w:p>
              </w:tc>
              <w:tc>
                <w:tcPr>
                  <w:tcW w:w="279" w:type="pct"/>
                  <w:vAlign w:val="center"/>
                </w:tcPr>
                <w:p w14:paraId="129427E1">
                  <w:pPr>
                    <w:adjustRightInd w:val="0"/>
                    <w:snapToGrid w:val="0"/>
                    <w:jc w:val="center"/>
                    <w:rPr>
                      <w:rFonts w:hint="eastAsia"/>
                      <w:color w:val="auto"/>
                      <w:sz w:val="18"/>
                      <w:szCs w:val="18"/>
                    </w:rPr>
                  </w:pPr>
                  <w:r>
                    <w:rPr>
                      <w:rFonts w:hint="eastAsia"/>
                      <w:color w:val="auto"/>
                      <w:sz w:val="18"/>
                      <w:szCs w:val="18"/>
                    </w:rPr>
                    <w:t>1</w:t>
                  </w:r>
                </w:p>
              </w:tc>
            </w:tr>
          </w:tbl>
          <w:p w14:paraId="7B795F86">
            <w:pPr>
              <w:pStyle w:val="155"/>
              <w:spacing w:before="0" w:after="0" w:line="240" w:lineRule="auto"/>
              <w:rPr>
                <w:rFonts w:eastAsia="宋体"/>
                <w:color w:val="auto"/>
                <w:sz w:val="18"/>
                <w:szCs w:val="18"/>
              </w:rPr>
            </w:pPr>
            <w:r>
              <w:rPr>
                <w:rFonts w:eastAsia="宋体"/>
                <w:color w:val="auto"/>
                <w:sz w:val="18"/>
                <w:szCs w:val="18"/>
              </w:rPr>
              <w:t>表</w:t>
            </w:r>
            <w:r>
              <w:rPr>
                <w:rFonts w:hint="eastAsia" w:eastAsia="宋体"/>
                <w:color w:val="auto"/>
                <w:sz w:val="18"/>
                <w:szCs w:val="18"/>
              </w:rPr>
              <w:t>4</w:t>
            </w:r>
            <w:r>
              <w:rPr>
                <w:rFonts w:hint="eastAsia" w:eastAsia="宋体"/>
                <w:color w:val="auto"/>
                <w:sz w:val="18"/>
                <w:szCs w:val="18"/>
                <w:lang w:val="en-US" w:eastAsia="zh-CN"/>
              </w:rPr>
              <w:t>.3</w:t>
            </w:r>
            <w:r>
              <w:rPr>
                <w:rFonts w:hint="eastAsia" w:eastAsia="宋体"/>
                <w:color w:val="auto"/>
                <w:sz w:val="18"/>
                <w:szCs w:val="18"/>
              </w:rPr>
              <w:t>-</w:t>
            </w:r>
            <w:r>
              <w:rPr>
                <w:rFonts w:hint="eastAsia" w:eastAsia="宋体"/>
                <w:color w:val="auto"/>
                <w:sz w:val="18"/>
                <w:szCs w:val="18"/>
                <w:lang w:val="en-US" w:eastAsia="zh-CN"/>
              </w:rPr>
              <w:t>2</w:t>
            </w:r>
            <w:r>
              <w:rPr>
                <w:rFonts w:hint="eastAsia" w:eastAsia="宋体"/>
                <w:color w:val="auto"/>
                <w:sz w:val="18"/>
                <w:szCs w:val="18"/>
              </w:rPr>
              <w:t xml:space="preserve">  </w:t>
            </w:r>
            <w:r>
              <w:rPr>
                <w:rFonts w:eastAsia="宋体"/>
                <w:color w:val="auto"/>
                <w:sz w:val="18"/>
                <w:szCs w:val="18"/>
              </w:rPr>
              <w:t xml:space="preserve">  </w:t>
            </w:r>
            <w:r>
              <w:rPr>
                <w:rFonts w:hint="eastAsia" w:eastAsia="宋体"/>
                <w:color w:val="auto"/>
                <w:sz w:val="18"/>
                <w:szCs w:val="18"/>
              </w:rPr>
              <w:t>项目</w:t>
            </w:r>
            <w:r>
              <w:rPr>
                <w:rFonts w:eastAsia="宋体"/>
                <w:color w:val="auto"/>
                <w:sz w:val="18"/>
                <w:szCs w:val="18"/>
              </w:rPr>
              <w:t>噪声源</w:t>
            </w:r>
            <w:r>
              <w:rPr>
                <w:rFonts w:hint="eastAsia" w:eastAsia="宋体"/>
                <w:color w:val="auto"/>
                <w:sz w:val="18"/>
                <w:szCs w:val="18"/>
              </w:rPr>
              <w:t>强调查清单（室外声源）      单位：dB(A)</w:t>
            </w:r>
          </w:p>
          <w:tbl>
            <w:tblPr>
              <w:tblStyle w:val="48"/>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900"/>
              <w:gridCol w:w="925"/>
              <w:gridCol w:w="1430"/>
              <w:gridCol w:w="1523"/>
              <w:gridCol w:w="388"/>
              <w:gridCol w:w="374"/>
              <w:gridCol w:w="356"/>
              <w:gridCol w:w="1017"/>
            </w:tblGrid>
            <w:tr w14:paraId="5AAD3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vMerge w:val="restart"/>
                  <w:vAlign w:val="center"/>
                </w:tcPr>
                <w:p w14:paraId="65274422">
                  <w:pPr>
                    <w:pStyle w:val="223"/>
                    <w:autoSpaceDE/>
                    <w:autoSpaceDN/>
                    <w:snapToGrid w:val="0"/>
                    <w:jc w:val="center"/>
                    <w:rPr>
                      <w:color w:val="auto"/>
                      <w:sz w:val="18"/>
                      <w:szCs w:val="18"/>
                    </w:rPr>
                  </w:pPr>
                  <w:r>
                    <w:rPr>
                      <w:color w:val="auto"/>
                      <w:sz w:val="18"/>
                      <w:szCs w:val="18"/>
                    </w:rPr>
                    <w:t>声源</w:t>
                  </w:r>
                </w:p>
                <w:p w14:paraId="36D5A549">
                  <w:pPr>
                    <w:pStyle w:val="223"/>
                    <w:autoSpaceDE/>
                    <w:autoSpaceDN/>
                    <w:snapToGrid w:val="0"/>
                    <w:jc w:val="center"/>
                    <w:rPr>
                      <w:color w:val="auto"/>
                      <w:sz w:val="18"/>
                      <w:szCs w:val="18"/>
                    </w:rPr>
                  </w:pPr>
                  <w:r>
                    <w:rPr>
                      <w:color w:val="auto"/>
                      <w:sz w:val="18"/>
                      <w:szCs w:val="18"/>
                    </w:rPr>
                    <w:t>名称</w:t>
                  </w:r>
                </w:p>
              </w:tc>
              <w:tc>
                <w:tcPr>
                  <w:tcW w:w="584" w:type="pct"/>
                  <w:vMerge w:val="restart"/>
                  <w:vAlign w:val="center"/>
                </w:tcPr>
                <w:p w14:paraId="4747A402">
                  <w:pPr>
                    <w:pStyle w:val="223"/>
                    <w:autoSpaceDE/>
                    <w:autoSpaceDN/>
                    <w:snapToGrid w:val="0"/>
                    <w:jc w:val="center"/>
                    <w:rPr>
                      <w:color w:val="auto"/>
                      <w:sz w:val="18"/>
                      <w:szCs w:val="18"/>
                    </w:rPr>
                  </w:pPr>
                  <w:r>
                    <w:rPr>
                      <w:rFonts w:hint="eastAsia"/>
                      <w:color w:val="auto"/>
                      <w:sz w:val="18"/>
                      <w:szCs w:val="18"/>
                    </w:rPr>
                    <w:t>型号</w:t>
                  </w:r>
                </w:p>
              </w:tc>
              <w:tc>
                <w:tcPr>
                  <w:tcW w:w="903" w:type="pct"/>
                  <w:vAlign w:val="center"/>
                </w:tcPr>
                <w:p w14:paraId="1718B09C">
                  <w:pPr>
                    <w:pStyle w:val="223"/>
                    <w:autoSpaceDE/>
                    <w:autoSpaceDN/>
                    <w:snapToGrid w:val="0"/>
                    <w:jc w:val="center"/>
                    <w:rPr>
                      <w:color w:val="auto"/>
                      <w:sz w:val="18"/>
                      <w:szCs w:val="18"/>
                    </w:rPr>
                  </w:pPr>
                  <w:r>
                    <w:rPr>
                      <w:color w:val="auto"/>
                      <w:sz w:val="18"/>
                      <w:szCs w:val="18"/>
                    </w:rPr>
                    <w:t>声源源强</w:t>
                  </w:r>
                </w:p>
              </w:tc>
              <w:tc>
                <w:tcPr>
                  <w:tcW w:w="962" w:type="pct"/>
                  <w:vMerge w:val="restart"/>
                  <w:vAlign w:val="center"/>
                </w:tcPr>
                <w:p w14:paraId="1F166261">
                  <w:pPr>
                    <w:pStyle w:val="223"/>
                    <w:autoSpaceDE/>
                    <w:autoSpaceDN/>
                    <w:snapToGrid w:val="0"/>
                    <w:jc w:val="center"/>
                    <w:rPr>
                      <w:color w:val="auto"/>
                      <w:sz w:val="18"/>
                      <w:szCs w:val="18"/>
                    </w:rPr>
                  </w:pPr>
                  <w:r>
                    <w:rPr>
                      <w:color w:val="auto"/>
                      <w:sz w:val="18"/>
                      <w:szCs w:val="18"/>
                    </w:rPr>
                    <w:t>声源控制</w:t>
                  </w:r>
                </w:p>
                <w:p w14:paraId="773BFAD3">
                  <w:pPr>
                    <w:pStyle w:val="223"/>
                    <w:autoSpaceDE/>
                    <w:autoSpaceDN/>
                    <w:snapToGrid w:val="0"/>
                    <w:jc w:val="center"/>
                    <w:rPr>
                      <w:color w:val="auto"/>
                      <w:sz w:val="18"/>
                      <w:szCs w:val="18"/>
                    </w:rPr>
                  </w:pPr>
                  <w:r>
                    <w:rPr>
                      <w:color w:val="auto"/>
                      <w:sz w:val="18"/>
                      <w:szCs w:val="18"/>
                    </w:rPr>
                    <w:t>措施</w:t>
                  </w:r>
                </w:p>
              </w:tc>
              <w:tc>
                <w:tcPr>
                  <w:tcW w:w="706" w:type="pct"/>
                  <w:gridSpan w:val="3"/>
                  <w:vAlign w:val="center"/>
                </w:tcPr>
                <w:p w14:paraId="68ACE7A1">
                  <w:pPr>
                    <w:pStyle w:val="223"/>
                    <w:autoSpaceDE/>
                    <w:autoSpaceDN/>
                    <w:snapToGrid w:val="0"/>
                    <w:jc w:val="center"/>
                    <w:rPr>
                      <w:color w:val="auto"/>
                      <w:sz w:val="18"/>
                      <w:szCs w:val="18"/>
                    </w:rPr>
                  </w:pPr>
                  <w:r>
                    <w:rPr>
                      <w:color w:val="auto"/>
                      <w:sz w:val="18"/>
                      <w:szCs w:val="18"/>
                    </w:rPr>
                    <w:t>空间相对位置/m</w:t>
                  </w:r>
                </w:p>
              </w:tc>
              <w:tc>
                <w:tcPr>
                  <w:tcW w:w="642" w:type="pct"/>
                  <w:vMerge w:val="restart"/>
                  <w:vAlign w:val="center"/>
                </w:tcPr>
                <w:p w14:paraId="6E1CA8DE">
                  <w:pPr>
                    <w:pStyle w:val="223"/>
                    <w:autoSpaceDE/>
                    <w:autoSpaceDN/>
                    <w:snapToGrid w:val="0"/>
                    <w:jc w:val="center"/>
                    <w:rPr>
                      <w:color w:val="auto"/>
                      <w:sz w:val="18"/>
                      <w:szCs w:val="18"/>
                    </w:rPr>
                  </w:pPr>
                  <w:r>
                    <w:rPr>
                      <w:color w:val="auto"/>
                      <w:sz w:val="18"/>
                      <w:szCs w:val="18"/>
                    </w:rPr>
                    <w:t>运行时段</w:t>
                  </w:r>
                </w:p>
              </w:tc>
            </w:tr>
            <w:tr w14:paraId="286360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vMerge w:val="continue"/>
                  <w:vAlign w:val="center"/>
                </w:tcPr>
                <w:p w14:paraId="55CF23B6">
                  <w:pPr>
                    <w:adjustRightInd w:val="0"/>
                    <w:snapToGrid w:val="0"/>
                    <w:jc w:val="center"/>
                    <w:rPr>
                      <w:color w:val="auto"/>
                      <w:sz w:val="18"/>
                      <w:szCs w:val="18"/>
                    </w:rPr>
                  </w:pPr>
                </w:p>
              </w:tc>
              <w:tc>
                <w:tcPr>
                  <w:tcW w:w="584" w:type="pct"/>
                  <w:vMerge w:val="continue"/>
                  <w:vAlign w:val="center"/>
                </w:tcPr>
                <w:p w14:paraId="0893673F">
                  <w:pPr>
                    <w:pStyle w:val="223"/>
                    <w:autoSpaceDE/>
                    <w:autoSpaceDN/>
                    <w:snapToGrid w:val="0"/>
                    <w:jc w:val="center"/>
                    <w:rPr>
                      <w:color w:val="auto"/>
                      <w:sz w:val="18"/>
                      <w:szCs w:val="18"/>
                    </w:rPr>
                  </w:pPr>
                </w:p>
              </w:tc>
              <w:tc>
                <w:tcPr>
                  <w:tcW w:w="903" w:type="pct"/>
                  <w:vAlign w:val="center"/>
                </w:tcPr>
                <w:p w14:paraId="2FC2BEDE">
                  <w:pPr>
                    <w:pStyle w:val="223"/>
                    <w:autoSpaceDE/>
                    <w:autoSpaceDN/>
                    <w:snapToGrid w:val="0"/>
                    <w:jc w:val="center"/>
                    <w:rPr>
                      <w:color w:val="auto"/>
                      <w:sz w:val="18"/>
                      <w:szCs w:val="18"/>
                    </w:rPr>
                  </w:pPr>
                  <w:r>
                    <w:rPr>
                      <w:color w:val="auto"/>
                      <w:sz w:val="18"/>
                      <w:szCs w:val="18"/>
                    </w:rPr>
                    <w:t>（声压级/距声源距离）/（dB(A)/m）</w:t>
                  </w:r>
                </w:p>
              </w:tc>
              <w:tc>
                <w:tcPr>
                  <w:tcW w:w="962" w:type="pct"/>
                  <w:vMerge w:val="continue"/>
                  <w:vAlign w:val="center"/>
                </w:tcPr>
                <w:p w14:paraId="6226C03B">
                  <w:pPr>
                    <w:adjustRightInd w:val="0"/>
                    <w:snapToGrid w:val="0"/>
                    <w:jc w:val="center"/>
                    <w:rPr>
                      <w:color w:val="auto"/>
                      <w:sz w:val="18"/>
                      <w:szCs w:val="18"/>
                    </w:rPr>
                  </w:pPr>
                </w:p>
              </w:tc>
              <w:tc>
                <w:tcPr>
                  <w:tcW w:w="245" w:type="pct"/>
                  <w:vAlign w:val="center"/>
                </w:tcPr>
                <w:p w14:paraId="0BE0E458">
                  <w:pPr>
                    <w:pStyle w:val="223"/>
                    <w:autoSpaceDE/>
                    <w:autoSpaceDN/>
                    <w:snapToGrid w:val="0"/>
                    <w:jc w:val="center"/>
                    <w:rPr>
                      <w:color w:val="auto"/>
                      <w:sz w:val="18"/>
                      <w:szCs w:val="18"/>
                    </w:rPr>
                  </w:pPr>
                  <w:r>
                    <w:rPr>
                      <w:color w:val="auto"/>
                      <w:sz w:val="18"/>
                      <w:szCs w:val="18"/>
                    </w:rPr>
                    <w:t>X</w:t>
                  </w:r>
                </w:p>
              </w:tc>
              <w:tc>
                <w:tcPr>
                  <w:tcW w:w="236" w:type="pct"/>
                  <w:vAlign w:val="center"/>
                </w:tcPr>
                <w:p w14:paraId="2F8F3E10">
                  <w:pPr>
                    <w:pStyle w:val="223"/>
                    <w:autoSpaceDE/>
                    <w:autoSpaceDN/>
                    <w:snapToGrid w:val="0"/>
                    <w:jc w:val="center"/>
                    <w:rPr>
                      <w:color w:val="auto"/>
                      <w:sz w:val="18"/>
                      <w:szCs w:val="18"/>
                    </w:rPr>
                  </w:pPr>
                  <w:r>
                    <w:rPr>
                      <w:color w:val="auto"/>
                      <w:sz w:val="18"/>
                      <w:szCs w:val="18"/>
                    </w:rPr>
                    <w:t>Y</w:t>
                  </w:r>
                </w:p>
              </w:tc>
              <w:tc>
                <w:tcPr>
                  <w:tcW w:w="225" w:type="pct"/>
                  <w:vAlign w:val="center"/>
                </w:tcPr>
                <w:p w14:paraId="3DD5110A">
                  <w:pPr>
                    <w:pStyle w:val="223"/>
                    <w:autoSpaceDE/>
                    <w:autoSpaceDN/>
                    <w:snapToGrid w:val="0"/>
                    <w:jc w:val="center"/>
                    <w:rPr>
                      <w:color w:val="auto"/>
                      <w:sz w:val="18"/>
                      <w:szCs w:val="18"/>
                    </w:rPr>
                  </w:pPr>
                  <w:r>
                    <w:rPr>
                      <w:color w:val="auto"/>
                      <w:sz w:val="18"/>
                      <w:szCs w:val="18"/>
                    </w:rPr>
                    <w:t>Z</w:t>
                  </w:r>
                </w:p>
              </w:tc>
              <w:tc>
                <w:tcPr>
                  <w:tcW w:w="642" w:type="pct"/>
                  <w:vMerge w:val="continue"/>
                  <w:vAlign w:val="center"/>
                </w:tcPr>
                <w:p w14:paraId="2668B3A1">
                  <w:pPr>
                    <w:adjustRightInd w:val="0"/>
                    <w:snapToGrid w:val="0"/>
                    <w:jc w:val="center"/>
                    <w:rPr>
                      <w:color w:val="auto"/>
                      <w:sz w:val="18"/>
                      <w:szCs w:val="18"/>
                    </w:rPr>
                  </w:pPr>
                </w:p>
              </w:tc>
            </w:tr>
            <w:tr w14:paraId="67EFF7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200" w:type="pct"/>
                  <w:shd w:val="clear" w:color="auto" w:fill="auto"/>
                  <w:vAlign w:val="center"/>
                </w:tcPr>
                <w:p w14:paraId="7E9D3B6E">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风机（1#除尘器）</w:t>
                  </w:r>
                </w:p>
              </w:tc>
              <w:tc>
                <w:tcPr>
                  <w:tcW w:w="584" w:type="pct"/>
                  <w:vAlign w:val="center"/>
                </w:tcPr>
                <w:p w14:paraId="50CFB646">
                  <w:pPr>
                    <w:adjustRightInd w:val="0"/>
                    <w:snapToGrid w:val="0"/>
                    <w:jc w:val="center"/>
                    <w:rPr>
                      <w:rFonts w:hint="default" w:ascii="Times New Roman" w:hAnsi="Times New Roman"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shd w:val="clear" w:color="auto" w:fill="auto"/>
                  <w:vAlign w:val="center"/>
                </w:tcPr>
                <w:p w14:paraId="658FD77F">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75</w:t>
                  </w:r>
                  <w:r>
                    <w:rPr>
                      <w:rFonts w:hint="eastAsia"/>
                      <w:color w:val="auto"/>
                      <w:sz w:val="18"/>
                      <w:szCs w:val="18"/>
                    </w:rPr>
                    <w:t>/1</w:t>
                  </w:r>
                </w:p>
              </w:tc>
              <w:tc>
                <w:tcPr>
                  <w:tcW w:w="962" w:type="pct"/>
                  <w:vMerge w:val="restart"/>
                  <w:vAlign w:val="center"/>
                </w:tcPr>
                <w:p w14:paraId="32A47870">
                  <w:pPr>
                    <w:adjustRightInd w:val="0"/>
                    <w:snapToGrid w:val="0"/>
                    <w:jc w:val="center"/>
                    <w:rPr>
                      <w:color w:val="auto"/>
                      <w:sz w:val="18"/>
                      <w:szCs w:val="18"/>
                    </w:rPr>
                  </w:pPr>
                  <w:r>
                    <w:rPr>
                      <w:rFonts w:hint="eastAsia"/>
                      <w:color w:val="auto"/>
                      <w:sz w:val="18"/>
                      <w:szCs w:val="18"/>
                    </w:rPr>
                    <w:t>选用低噪设备、隔声罩、减振、消声</w:t>
                  </w:r>
                </w:p>
              </w:tc>
              <w:tc>
                <w:tcPr>
                  <w:tcW w:w="245" w:type="pct"/>
                  <w:vAlign w:val="center"/>
                </w:tcPr>
                <w:p w14:paraId="7362BD20">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105</w:t>
                  </w:r>
                </w:p>
              </w:tc>
              <w:tc>
                <w:tcPr>
                  <w:tcW w:w="236" w:type="pct"/>
                  <w:vAlign w:val="center"/>
                </w:tcPr>
                <w:p w14:paraId="7F46287C">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170</w:t>
                  </w:r>
                </w:p>
              </w:tc>
              <w:tc>
                <w:tcPr>
                  <w:tcW w:w="225" w:type="pct"/>
                  <w:vAlign w:val="center"/>
                </w:tcPr>
                <w:p w14:paraId="11458B48">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0.5</w:t>
                  </w:r>
                </w:p>
              </w:tc>
              <w:tc>
                <w:tcPr>
                  <w:tcW w:w="642" w:type="pct"/>
                  <w:vAlign w:val="center"/>
                </w:tcPr>
                <w:p w14:paraId="2A4CE7A9">
                  <w:pPr>
                    <w:adjustRightInd w:val="0"/>
                    <w:snapToGrid w:val="0"/>
                    <w:jc w:val="center"/>
                    <w:rPr>
                      <w:rFonts w:hint="default"/>
                      <w:color w:val="auto"/>
                      <w:sz w:val="18"/>
                      <w:szCs w:val="18"/>
                      <w:lang w:val="en-US" w:eastAsia="zh-CN"/>
                    </w:rPr>
                  </w:pPr>
                  <w:r>
                    <w:rPr>
                      <w:rFonts w:hint="eastAsia"/>
                      <w:color w:val="auto"/>
                      <w:sz w:val="18"/>
                      <w:szCs w:val="18"/>
                      <w:lang w:val="en-US" w:eastAsia="zh-CN"/>
                    </w:rPr>
                    <w:t>8h</w:t>
                  </w:r>
                </w:p>
              </w:tc>
            </w:tr>
            <w:tr w14:paraId="77AB6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shd w:val="clear" w:color="auto" w:fill="auto"/>
                  <w:vAlign w:val="center"/>
                </w:tcPr>
                <w:p w14:paraId="5A94D715">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风机（2#除尘器）</w:t>
                  </w:r>
                </w:p>
              </w:tc>
              <w:tc>
                <w:tcPr>
                  <w:tcW w:w="584" w:type="pct"/>
                  <w:vAlign w:val="center"/>
                </w:tcPr>
                <w:p w14:paraId="01286084">
                  <w:pPr>
                    <w:adjustRightInd w:val="0"/>
                    <w:snapToGrid w:val="0"/>
                    <w:jc w:val="center"/>
                    <w:rPr>
                      <w:rFonts w:hint="default" w:ascii="Times New Roman" w:hAnsi="Times New Roman"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shd w:val="clear" w:color="auto" w:fill="auto"/>
                  <w:vAlign w:val="center"/>
                </w:tcPr>
                <w:p w14:paraId="6F3C57F5">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85</w:t>
                  </w:r>
                  <w:r>
                    <w:rPr>
                      <w:rFonts w:hint="eastAsia"/>
                      <w:color w:val="auto"/>
                      <w:sz w:val="18"/>
                      <w:szCs w:val="18"/>
                    </w:rPr>
                    <w:t>/1</w:t>
                  </w:r>
                </w:p>
              </w:tc>
              <w:tc>
                <w:tcPr>
                  <w:tcW w:w="962" w:type="pct"/>
                  <w:vMerge w:val="continue"/>
                  <w:vAlign w:val="center"/>
                </w:tcPr>
                <w:p w14:paraId="7FA0E366">
                  <w:pPr>
                    <w:adjustRightInd w:val="0"/>
                    <w:snapToGrid w:val="0"/>
                    <w:jc w:val="center"/>
                    <w:rPr>
                      <w:rFonts w:hint="eastAsia"/>
                      <w:color w:val="auto"/>
                      <w:sz w:val="18"/>
                      <w:szCs w:val="18"/>
                    </w:rPr>
                  </w:pPr>
                </w:p>
              </w:tc>
              <w:tc>
                <w:tcPr>
                  <w:tcW w:w="245" w:type="pct"/>
                  <w:vAlign w:val="center"/>
                </w:tcPr>
                <w:p w14:paraId="58DD5893">
                  <w:pPr>
                    <w:adjustRightInd w:val="0"/>
                    <w:snapToGrid w:val="0"/>
                    <w:jc w:val="center"/>
                    <w:rPr>
                      <w:rFonts w:hint="default"/>
                      <w:color w:val="auto"/>
                      <w:sz w:val="18"/>
                      <w:szCs w:val="18"/>
                      <w:lang w:val="en-US" w:eastAsia="zh-CN"/>
                    </w:rPr>
                  </w:pPr>
                  <w:r>
                    <w:rPr>
                      <w:rFonts w:hint="eastAsia"/>
                      <w:color w:val="auto"/>
                      <w:sz w:val="18"/>
                      <w:szCs w:val="18"/>
                      <w:lang w:val="en-US" w:eastAsia="zh-CN"/>
                    </w:rPr>
                    <w:t>70</w:t>
                  </w:r>
                </w:p>
              </w:tc>
              <w:tc>
                <w:tcPr>
                  <w:tcW w:w="236" w:type="pct"/>
                  <w:vAlign w:val="center"/>
                </w:tcPr>
                <w:p w14:paraId="175420CC">
                  <w:pPr>
                    <w:adjustRightInd w:val="0"/>
                    <w:snapToGrid w:val="0"/>
                    <w:jc w:val="center"/>
                    <w:rPr>
                      <w:rFonts w:hint="default"/>
                      <w:color w:val="auto"/>
                      <w:sz w:val="18"/>
                      <w:szCs w:val="18"/>
                      <w:lang w:val="en-US" w:eastAsia="zh-CN"/>
                    </w:rPr>
                  </w:pPr>
                  <w:r>
                    <w:rPr>
                      <w:rFonts w:hint="eastAsia"/>
                      <w:color w:val="auto"/>
                      <w:sz w:val="18"/>
                      <w:szCs w:val="18"/>
                      <w:lang w:val="en-US" w:eastAsia="zh-CN"/>
                    </w:rPr>
                    <w:t>170</w:t>
                  </w:r>
                </w:p>
              </w:tc>
              <w:tc>
                <w:tcPr>
                  <w:tcW w:w="225" w:type="pct"/>
                  <w:vAlign w:val="center"/>
                </w:tcPr>
                <w:p w14:paraId="7C539BF0">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0.5</w:t>
                  </w:r>
                </w:p>
              </w:tc>
              <w:tc>
                <w:tcPr>
                  <w:tcW w:w="642" w:type="pct"/>
                  <w:vAlign w:val="center"/>
                </w:tcPr>
                <w:p w14:paraId="2C471278">
                  <w:pPr>
                    <w:adjustRightInd w:val="0"/>
                    <w:snapToGrid w:val="0"/>
                    <w:jc w:val="center"/>
                    <w:rPr>
                      <w:rFonts w:hint="eastAsia"/>
                      <w:color w:val="auto"/>
                      <w:sz w:val="18"/>
                      <w:szCs w:val="18"/>
                      <w:lang w:val="en-US" w:eastAsia="zh-CN"/>
                    </w:rPr>
                  </w:pPr>
                  <w:r>
                    <w:rPr>
                      <w:rFonts w:hint="eastAsia"/>
                      <w:color w:val="auto"/>
                      <w:sz w:val="18"/>
                      <w:szCs w:val="18"/>
                      <w:lang w:val="en-US" w:eastAsia="zh-CN"/>
                    </w:rPr>
                    <w:t>8h</w:t>
                  </w:r>
                </w:p>
              </w:tc>
            </w:tr>
            <w:tr w14:paraId="0D053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shd w:val="clear" w:color="auto" w:fill="auto"/>
                  <w:vAlign w:val="center"/>
                </w:tcPr>
                <w:p w14:paraId="12DB44EF">
                  <w:pPr>
                    <w:adjustRightInd w:val="0"/>
                    <w:snapToGrid w:val="0"/>
                    <w:jc w:val="center"/>
                    <w:rPr>
                      <w:rFonts w:hint="eastAsia" w:ascii="Times New Roman" w:hAnsi="Times New Roman"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风机</w:t>
                  </w:r>
                </w:p>
                <w:p w14:paraId="5B0AD594">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kern w:val="2"/>
                      <w:sz w:val="18"/>
                      <w:szCs w:val="18"/>
                      <w:lang w:val="en-US" w:eastAsia="zh-CN" w:bidi="ar-SA"/>
                    </w:rPr>
                    <w:t>（有机废气处理装置）</w:t>
                  </w:r>
                </w:p>
              </w:tc>
              <w:tc>
                <w:tcPr>
                  <w:tcW w:w="584" w:type="pct"/>
                  <w:vAlign w:val="center"/>
                </w:tcPr>
                <w:p w14:paraId="7B52F47C">
                  <w:pPr>
                    <w:adjustRightInd w:val="0"/>
                    <w:snapToGrid w:val="0"/>
                    <w:jc w:val="center"/>
                    <w:rPr>
                      <w:rFonts w:hint="default" w:ascii="Times New Roman" w:hAnsi="Times New Roman"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shd w:val="clear" w:color="auto" w:fill="auto"/>
                  <w:vAlign w:val="center"/>
                </w:tcPr>
                <w:p w14:paraId="3A629C83">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80</w:t>
                  </w:r>
                  <w:r>
                    <w:rPr>
                      <w:rFonts w:hint="eastAsia"/>
                      <w:color w:val="auto"/>
                      <w:sz w:val="18"/>
                      <w:szCs w:val="18"/>
                    </w:rPr>
                    <w:t>/1</w:t>
                  </w:r>
                </w:p>
              </w:tc>
              <w:tc>
                <w:tcPr>
                  <w:tcW w:w="962" w:type="pct"/>
                  <w:vMerge w:val="continue"/>
                  <w:vAlign w:val="center"/>
                </w:tcPr>
                <w:p w14:paraId="4EE2610D">
                  <w:pPr>
                    <w:adjustRightInd w:val="0"/>
                    <w:snapToGrid w:val="0"/>
                    <w:jc w:val="center"/>
                    <w:rPr>
                      <w:rFonts w:hint="eastAsia"/>
                      <w:color w:val="auto"/>
                      <w:sz w:val="18"/>
                      <w:szCs w:val="18"/>
                    </w:rPr>
                  </w:pPr>
                </w:p>
              </w:tc>
              <w:tc>
                <w:tcPr>
                  <w:tcW w:w="245" w:type="pct"/>
                  <w:vAlign w:val="center"/>
                </w:tcPr>
                <w:p w14:paraId="3935D7BF">
                  <w:pPr>
                    <w:adjustRightInd w:val="0"/>
                    <w:snapToGrid w:val="0"/>
                    <w:jc w:val="center"/>
                    <w:rPr>
                      <w:rFonts w:hint="default"/>
                      <w:color w:val="auto"/>
                      <w:sz w:val="18"/>
                      <w:szCs w:val="18"/>
                      <w:lang w:val="en-US" w:eastAsia="zh-CN"/>
                    </w:rPr>
                  </w:pPr>
                  <w:r>
                    <w:rPr>
                      <w:rFonts w:hint="eastAsia"/>
                      <w:color w:val="auto"/>
                      <w:sz w:val="18"/>
                      <w:szCs w:val="18"/>
                      <w:lang w:val="en-US" w:eastAsia="zh-CN"/>
                    </w:rPr>
                    <w:t>100</w:t>
                  </w:r>
                </w:p>
              </w:tc>
              <w:tc>
                <w:tcPr>
                  <w:tcW w:w="236" w:type="pct"/>
                  <w:vAlign w:val="center"/>
                </w:tcPr>
                <w:p w14:paraId="0306B0C7">
                  <w:pPr>
                    <w:adjustRightInd w:val="0"/>
                    <w:snapToGrid w:val="0"/>
                    <w:jc w:val="center"/>
                    <w:rPr>
                      <w:rFonts w:hint="default"/>
                      <w:color w:val="auto"/>
                      <w:sz w:val="18"/>
                      <w:szCs w:val="18"/>
                      <w:lang w:val="en-US" w:eastAsia="zh-CN"/>
                    </w:rPr>
                  </w:pPr>
                  <w:r>
                    <w:rPr>
                      <w:rFonts w:hint="eastAsia"/>
                      <w:color w:val="auto"/>
                      <w:sz w:val="18"/>
                      <w:szCs w:val="18"/>
                      <w:lang w:val="en-US" w:eastAsia="zh-CN"/>
                    </w:rPr>
                    <w:t>170</w:t>
                  </w:r>
                </w:p>
              </w:tc>
              <w:tc>
                <w:tcPr>
                  <w:tcW w:w="225" w:type="pct"/>
                  <w:vAlign w:val="center"/>
                </w:tcPr>
                <w:p w14:paraId="24F425A1">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0.5</w:t>
                  </w:r>
                </w:p>
              </w:tc>
              <w:tc>
                <w:tcPr>
                  <w:tcW w:w="642" w:type="pct"/>
                  <w:vAlign w:val="center"/>
                </w:tcPr>
                <w:p w14:paraId="696E3CBF">
                  <w:pPr>
                    <w:adjustRightInd w:val="0"/>
                    <w:snapToGrid w:val="0"/>
                    <w:jc w:val="center"/>
                    <w:rPr>
                      <w:rFonts w:hint="eastAsia"/>
                      <w:color w:val="auto"/>
                      <w:sz w:val="18"/>
                      <w:szCs w:val="18"/>
                      <w:lang w:val="en-US" w:eastAsia="zh-CN"/>
                    </w:rPr>
                  </w:pPr>
                  <w:r>
                    <w:rPr>
                      <w:rFonts w:hint="eastAsia"/>
                      <w:color w:val="auto"/>
                      <w:sz w:val="18"/>
                      <w:szCs w:val="18"/>
                      <w:lang w:val="en-US" w:eastAsia="zh-CN"/>
                    </w:rPr>
                    <w:t>8h</w:t>
                  </w:r>
                </w:p>
              </w:tc>
            </w:tr>
            <w:tr w14:paraId="6486B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shd w:val="clear" w:color="auto" w:fill="auto"/>
                  <w:vAlign w:val="center"/>
                </w:tcPr>
                <w:p w14:paraId="5938119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风机（锅炉）</w:t>
                  </w:r>
                </w:p>
              </w:tc>
              <w:tc>
                <w:tcPr>
                  <w:tcW w:w="584" w:type="pct"/>
                  <w:vAlign w:val="center"/>
                </w:tcPr>
                <w:p w14:paraId="0E374D0E">
                  <w:pPr>
                    <w:adjustRightInd w:val="0"/>
                    <w:snapToGrid w:val="0"/>
                    <w:jc w:val="center"/>
                    <w:rPr>
                      <w:rFonts w:hint="eastAsia" w:ascii="Times New Roman" w:hAnsi="Times New Roman"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vAlign w:val="center"/>
                </w:tcPr>
                <w:p w14:paraId="191E4456">
                  <w:pPr>
                    <w:adjustRightInd w:val="0"/>
                    <w:snapToGrid w:val="0"/>
                    <w:jc w:val="center"/>
                    <w:rPr>
                      <w:rFonts w:hint="eastAsia"/>
                      <w:color w:val="auto"/>
                      <w:sz w:val="18"/>
                      <w:szCs w:val="18"/>
                      <w:lang w:val="en-US" w:eastAsia="zh-CN"/>
                    </w:rPr>
                  </w:pPr>
                  <w:r>
                    <w:rPr>
                      <w:rFonts w:hint="eastAsia"/>
                      <w:color w:val="auto"/>
                      <w:sz w:val="18"/>
                      <w:szCs w:val="18"/>
                      <w:lang w:val="en-US" w:eastAsia="zh-CN"/>
                    </w:rPr>
                    <w:t>80</w:t>
                  </w:r>
                  <w:r>
                    <w:rPr>
                      <w:rFonts w:hint="eastAsia"/>
                      <w:color w:val="auto"/>
                      <w:sz w:val="18"/>
                      <w:szCs w:val="18"/>
                    </w:rPr>
                    <w:t>/1</w:t>
                  </w:r>
                </w:p>
              </w:tc>
              <w:tc>
                <w:tcPr>
                  <w:tcW w:w="962" w:type="pct"/>
                  <w:vMerge w:val="continue"/>
                  <w:vAlign w:val="center"/>
                </w:tcPr>
                <w:p w14:paraId="3D9506AB">
                  <w:pPr>
                    <w:adjustRightInd w:val="0"/>
                    <w:snapToGrid w:val="0"/>
                    <w:jc w:val="center"/>
                    <w:rPr>
                      <w:rFonts w:hint="eastAsia"/>
                      <w:color w:val="auto"/>
                      <w:sz w:val="18"/>
                      <w:szCs w:val="18"/>
                    </w:rPr>
                  </w:pPr>
                </w:p>
              </w:tc>
              <w:tc>
                <w:tcPr>
                  <w:tcW w:w="245" w:type="pct"/>
                  <w:vAlign w:val="center"/>
                </w:tcPr>
                <w:p w14:paraId="43339B15">
                  <w:pPr>
                    <w:adjustRightInd w:val="0"/>
                    <w:snapToGrid w:val="0"/>
                    <w:jc w:val="center"/>
                    <w:rPr>
                      <w:rFonts w:hint="default"/>
                      <w:color w:val="auto"/>
                      <w:sz w:val="18"/>
                      <w:szCs w:val="18"/>
                      <w:lang w:val="en-US" w:eastAsia="zh-CN"/>
                    </w:rPr>
                  </w:pPr>
                  <w:r>
                    <w:rPr>
                      <w:rFonts w:hint="eastAsia"/>
                      <w:color w:val="auto"/>
                      <w:sz w:val="18"/>
                      <w:szCs w:val="18"/>
                      <w:lang w:val="en-US" w:eastAsia="zh-CN"/>
                    </w:rPr>
                    <w:t>20</w:t>
                  </w:r>
                </w:p>
              </w:tc>
              <w:tc>
                <w:tcPr>
                  <w:tcW w:w="236" w:type="pct"/>
                  <w:vAlign w:val="center"/>
                </w:tcPr>
                <w:p w14:paraId="63BF2350">
                  <w:pPr>
                    <w:adjustRightInd w:val="0"/>
                    <w:snapToGrid w:val="0"/>
                    <w:jc w:val="center"/>
                    <w:rPr>
                      <w:rFonts w:hint="default"/>
                      <w:color w:val="auto"/>
                      <w:sz w:val="18"/>
                      <w:szCs w:val="18"/>
                      <w:lang w:val="en-US" w:eastAsia="zh-CN"/>
                    </w:rPr>
                  </w:pPr>
                  <w:r>
                    <w:rPr>
                      <w:rFonts w:hint="eastAsia"/>
                      <w:color w:val="auto"/>
                      <w:sz w:val="18"/>
                      <w:szCs w:val="18"/>
                      <w:lang w:val="en-US" w:eastAsia="zh-CN"/>
                    </w:rPr>
                    <w:t>80</w:t>
                  </w:r>
                </w:p>
              </w:tc>
              <w:tc>
                <w:tcPr>
                  <w:tcW w:w="225" w:type="pct"/>
                  <w:vAlign w:val="center"/>
                </w:tcPr>
                <w:p w14:paraId="31DE49EE">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0.5</w:t>
                  </w:r>
                </w:p>
              </w:tc>
              <w:tc>
                <w:tcPr>
                  <w:tcW w:w="642" w:type="pct"/>
                  <w:vAlign w:val="center"/>
                </w:tcPr>
                <w:p w14:paraId="69506ACF">
                  <w:pPr>
                    <w:adjustRightInd w:val="0"/>
                    <w:snapToGrid w:val="0"/>
                    <w:jc w:val="center"/>
                    <w:rPr>
                      <w:rFonts w:hint="default"/>
                      <w:color w:val="auto"/>
                      <w:sz w:val="18"/>
                      <w:szCs w:val="18"/>
                      <w:lang w:val="en-US" w:eastAsia="zh-CN"/>
                    </w:rPr>
                  </w:pPr>
                  <w:r>
                    <w:rPr>
                      <w:rFonts w:hint="eastAsia"/>
                      <w:color w:val="auto"/>
                      <w:sz w:val="18"/>
                      <w:szCs w:val="18"/>
                      <w:lang w:val="en-US" w:eastAsia="zh-CN"/>
                    </w:rPr>
                    <w:t>24h</w:t>
                  </w:r>
                </w:p>
              </w:tc>
            </w:tr>
            <w:tr w14:paraId="516BA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200" w:type="pct"/>
                  <w:shd w:val="clear" w:color="auto" w:fill="auto"/>
                  <w:vAlign w:val="center"/>
                </w:tcPr>
                <w:p w14:paraId="221E8CF4">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风机（隧道窑）</w:t>
                  </w:r>
                </w:p>
              </w:tc>
              <w:tc>
                <w:tcPr>
                  <w:tcW w:w="584" w:type="pct"/>
                  <w:shd w:val="clear" w:color="auto" w:fill="auto"/>
                  <w:vAlign w:val="center"/>
                </w:tcPr>
                <w:p w14:paraId="584E5315">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shd w:val="clear" w:color="auto" w:fill="auto"/>
                  <w:vAlign w:val="center"/>
                </w:tcPr>
                <w:p w14:paraId="751A3D20">
                  <w:pPr>
                    <w:adjustRightInd w:val="0"/>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80</w:t>
                  </w:r>
                  <w:r>
                    <w:rPr>
                      <w:rFonts w:hint="eastAsia"/>
                      <w:color w:val="auto"/>
                      <w:sz w:val="18"/>
                      <w:szCs w:val="18"/>
                    </w:rPr>
                    <w:t>/1</w:t>
                  </w:r>
                </w:p>
              </w:tc>
              <w:tc>
                <w:tcPr>
                  <w:tcW w:w="962" w:type="pct"/>
                  <w:vMerge w:val="continue"/>
                  <w:shd w:val="clear" w:color="auto" w:fill="auto"/>
                  <w:vAlign w:val="center"/>
                </w:tcPr>
                <w:p w14:paraId="69F12A16">
                  <w:pPr>
                    <w:adjustRightInd w:val="0"/>
                    <w:snapToGrid w:val="0"/>
                    <w:jc w:val="center"/>
                    <w:rPr>
                      <w:rFonts w:hint="eastAsia" w:ascii="Times New Roman" w:hAnsi="Times New Roman" w:eastAsia="宋体" w:cs="Times New Roman"/>
                      <w:color w:val="auto"/>
                      <w:kern w:val="2"/>
                      <w:sz w:val="18"/>
                      <w:szCs w:val="18"/>
                      <w:lang w:val="en-US" w:eastAsia="zh-CN" w:bidi="ar-SA"/>
                    </w:rPr>
                  </w:pPr>
                </w:p>
              </w:tc>
              <w:tc>
                <w:tcPr>
                  <w:tcW w:w="245" w:type="pct"/>
                  <w:shd w:val="clear" w:color="auto" w:fill="auto"/>
                  <w:vAlign w:val="center"/>
                </w:tcPr>
                <w:p w14:paraId="4B1791BB">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70</w:t>
                  </w:r>
                </w:p>
              </w:tc>
              <w:tc>
                <w:tcPr>
                  <w:tcW w:w="236" w:type="pct"/>
                  <w:shd w:val="clear" w:color="auto" w:fill="auto"/>
                  <w:vAlign w:val="center"/>
                </w:tcPr>
                <w:p w14:paraId="387A50D1">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277</w:t>
                  </w:r>
                </w:p>
              </w:tc>
              <w:tc>
                <w:tcPr>
                  <w:tcW w:w="225" w:type="pct"/>
                  <w:shd w:val="clear" w:color="auto" w:fill="auto"/>
                  <w:vAlign w:val="center"/>
                </w:tcPr>
                <w:p w14:paraId="65C6C991">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0.5</w:t>
                  </w:r>
                </w:p>
              </w:tc>
              <w:tc>
                <w:tcPr>
                  <w:tcW w:w="642" w:type="pct"/>
                  <w:vAlign w:val="center"/>
                </w:tcPr>
                <w:p w14:paraId="7A648B26">
                  <w:pPr>
                    <w:adjustRightInd w:val="0"/>
                    <w:snapToGrid w:val="0"/>
                    <w:jc w:val="center"/>
                    <w:rPr>
                      <w:rFonts w:hint="default"/>
                      <w:color w:val="auto"/>
                      <w:sz w:val="18"/>
                      <w:szCs w:val="18"/>
                      <w:lang w:val="en-US" w:eastAsia="zh-CN"/>
                    </w:rPr>
                  </w:pPr>
                  <w:r>
                    <w:rPr>
                      <w:rFonts w:hint="eastAsia"/>
                      <w:color w:val="auto"/>
                      <w:sz w:val="18"/>
                      <w:szCs w:val="18"/>
                      <w:lang w:val="en-US" w:eastAsia="zh-CN"/>
                    </w:rPr>
                    <w:t>24h</w:t>
                  </w:r>
                </w:p>
              </w:tc>
            </w:tr>
            <w:tr w14:paraId="738789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200" w:type="pct"/>
                  <w:shd w:val="clear" w:color="auto" w:fill="auto"/>
                  <w:vAlign w:val="center"/>
                </w:tcPr>
                <w:p w14:paraId="146D3468">
                  <w:pPr>
                    <w:adjustRightInd w:val="0"/>
                    <w:snapToGrid w:val="0"/>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水</w:t>
                  </w:r>
                  <w:r>
                    <w:rPr>
                      <w:color w:val="auto"/>
                      <w:sz w:val="18"/>
                      <w:szCs w:val="18"/>
                    </w:rPr>
                    <w:t>泵</w:t>
                  </w:r>
                </w:p>
              </w:tc>
              <w:tc>
                <w:tcPr>
                  <w:tcW w:w="584" w:type="pct"/>
                  <w:shd w:val="clear" w:color="auto" w:fill="auto"/>
                  <w:vAlign w:val="center"/>
                </w:tcPr>
                <w:p w14:paraId="2D69ADC1">
                  <w:pPr>
                    <w:adjustRightInd w:val="0"/>
                    <w:snapToGrid w:val="0"/>
                    <w:jc w:val="center"/>
                    <w:rPr>
                      <w:rFonts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903" w:type="pct"/>
                  <w:shd w:val="clear" w:color="auto" w:fill="auto"/>
                  <w:vAlign w:val="center"/>
                </w:tcPr>
                <w:p w14:paraId="33667637">
                  <w:pPr>
                    <w:adjustRightInd w:val="0"/>
                    <w:snapToGrid w:val="0"/>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95</w:t>
                  </w:r>
                  <w:r>
                    <w:rPr>
                      <w:rFonts w:hint="eastAsia"/>
                      <w:color w:val="auto"/>
                      <w:sz w:val="18"/>
                      <w:szCs w:val="18"/>
                    </w:rPr>
                    <w:t>/1</w:t>
                  </w:r>
                </w:p>
              </w:tc>
              <w:tc>
                <w:tcPr>
                  <w:tcW w:w="962" w:type="pct"/>
                  <w:vMerge w:val="continue"/>
                  <w:vAlign w:val="center"/>
                </w:tcPr>
                <w:p w14:paraId="3785041D">
                  <w:pPr>
                    <w:adjustRightInd w:val="0"/>
                    <w:snapToGrid w:val="0"/>
                    <w:jc w:val="center"/>
                    <w:rPr>
                      <w:color w:val="auto"/>
                      <w:sz w:val="18"/>
                      <w:szCs w:val="18"/>
                    </w:rPr>
                  </w:pPr>
                </w:p>
              </w:tc>
              <w:tc>
                <w:tcPr>
                  <w:tcW w:w="245" w:type="pct"/>
                  <w:shd w:val="clear" w:color="auto" w:fill="auto"/>
                  <w:vAlign w:val="center"/>
                </w:tcPr>
                <w:p w14:paraId="304200EF">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20</w:t>
                  </w:r>
                </w:p>
              </w:tc>
              <w:tc>
                <w:tcPr>
                  <w:tcW w:w="236" w:type="pct"/>
                  <w:shd w:val="clear" w:color="auto" w:fill="auto"/>
                  <w:vAlign w:val="center"/>
                </w:tcPr>
                <w:p w14:paraId="19F53AB0">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60</w:t>
                  </w:r>
                </w:p>
              </w:tc>
              <w:tc>
                <w:tcPr>
                  <w:tcW w:w="225" w:type="pct"/>
                  <w:shd w:val="clear" w:color="auto" w:fill="auto"/>
                  <w:vAlign w:val="center"/>
                </w:tcPr>
                <w:p w14:paraId="613A7D1F">
                  <w:pPr>
                    <w:adjustRightInd w:val="0"/>
                    <w:snapToGrid w:val="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-0.5</w:t>
                  </w:r>
                </w:p>
              </w:tc>
              <w:tc>
                <w:tcPr>
                  <w:tcW w:w="642" w:type="pct"/>
                  <w:vAlign w:val="center"/>
                </w:tcPr>
                <w:p w14:paraId="058AB8CE">
                  <w:pPr>
                    <w:adjustRightInd w:val="0"/>
                    <w:snapToGrid w:val="0"/>
                    <w:jc w:val="center"/>
                    <w:rPr>
                      <w:color w:val="auto"/>
                      <w:sz w:val="18"/>
                      <w:szCs w:val="18"/>
                    </w:rPr>
                  </w:pPr>
                  <w:r>
                    <w:rPr>
                      <w:rFonts w:hint="eastAsia"/>
                      <w:color w:val="auto"/>
                      <w:sz w:val="18"/>
                      <w:szCs w:val="18"/>
                      <w:lang w:val="en-US" w:eastAsia="zh-CN"/>
                    </w:rPr>
                    <w:t>8h</w:t>
                  </w:r>
                </w:p>
              </w:tc>
            </w:tr>
          </w:tbl>
          <w:p w14:paraId="44F0529C">
            <w:pPr>
              <w:spacing w:line="360" w:lineRule="auto"/>
              <w:ind w:firstLine="436" w:firstLineChars="200"/>
              <w:rPr>
                <w:color w:val="auto"/>
                <w:spacing w:val="4"/>
                <w:szCs w:val="21"/>
              </w:rPr>
            </w:pPr>
            <w:r>
              <w:rPr>
                <w:rFonts w:hint="eastAsia"/>
                <w:color w:val="auto"/>
                <w:spacing w:val="4"/>
                <w:szCs w:val="21"/>
              </w:rPr>
              <w:t>（2）噪声影响及预测分析</w:t>
            </w:r>
          </w:p>
          <w:p w14:paraId="10E03DE9">
            <w:pPr>
              <w:spacing w:line="360" w:lineRule="auto"/>
              <w:ind w:firstLine="420" w:firstLineChars="200"/>
              <w:rPr>
                <w:color w:val="auto"/>
              </w:rPr>
            </w:pPr>
            <w:r>
              <w:rPr>
                <w:color w:val="auto"/>
              </w:rPr>
              <w:t>采用《环境影响评价技术导则</w:t>
            </w:r>
            <w:r>
              <w:rPr>
                <w:rFonts w:hint="eastAsia"/>
                <w:color w:val="auto"/>
              </w:rPr>
              <w:t xml:space="preserve">   </w:t>
            </w:r>
            <w:r>
              <w:rPr>
                <w:color w:val="auto"/>
              </w:rPr>
              <w:t>声环境》（HJ2.4-20</w:t>
            </w:r>
            <w:r>
              <w:rPr>
                <w:rFonts w:hint="eastAsia"/>
                <w:color w:val="auto"/>
              </w:rPr>
              <w:t>21</w:t>
            </w:r>
            <w:r>
              <w:rPr>
                <w:color w:val="auto"/>
              </w:rPr>
              <w:t>）预测模式：</w:t>
            </w:r>
          </w:p>
          <w:p w14:paraId="43D6CDD8">
            <w:pPr>
              <w:spacing w:line="360" w:lineRule="auto"/>
              <w:ind w:firstLine="200"/>
              <w:jc w:val="center"/>
              <w:rPr>
                <w:color w:val="auto"/>
              </w:rPr>
            </w:pPr>
            <w:r>
              <w:rPr>
                <w:color w:val="auto"/>
              </w:rPr>
              <w:drawing>
                <wp:inline distT="0" distB="0" distL="0" distR="0">
                  <wp:extent cx="2182495" cy="172720"/>
                  <wp:effectExtent l="0" t="0" r="8255" b="17780"/>
                  <wp:docPr id="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9"/>
                          <pic:cNvPicPr>
                            <a:picLocks noChangeAspect="1" noChangeArrowheads="1"/>
                          </pic:cNvPicPr>
                        </pic:nvPicPr>
                        <pic:blipFill>
                          <a:blip r:embed="rId20" cstate="print"/>
                          <a:srcRect/>
                          <a:stretch>
                            <a:fillRect/>
                          </a:stretch>
                        </pic:blipFill>
                        <pic:spPr>
                          <a:xfrm>
                            <a:off x="0" y="0"/>
                            <a:ext cx="2182495" cy="172720"/>
                          </a:xfrm>
                          <a:prstGeom prst="rect">
                            <a:avLst/>
                          </a:prstGeom>
                          <a:noFill/>
                          <a:ln w="9525">
                            <a:noFill/>
                            <a:miter lim="800000"/>
                            <a:headEnd/>
                            <a:tailEnd/>
                          </a:ln>
                        </pic:spPr>
                      </pic:pic>
                    </a:graphicData>
                  </a:graphic>
                </wp:inline>
              </w:drawing>
            </w:r>
          </w:p>
          <w:p w14:paraId="16EE4849">
            <w:pPr>
              <w:spacing w:line="360" w:lineRule="auto"/>
              <w:ind w:firstLine="420" w:firstLineChars="200"/>
              <w:rPr>
                <w:color w:val="auto"/>
              </w:rPr>
            </w:pPr>
            <w:r>
              <w:rPr>
                <w:color w:val="auto"/>
              </w:rPr>
              <w:t>式中：L</w:t>
            </w:r>
            <w:r>
              <w:rPr>
                <w:rFonts w:hint="eastAsia"/>
                <w:color w:val="auto"/>
                <w:vertAlign w:val="subscript"/>
              </w:rPr>
              <w:t>p</w:t>
            </w:r>
            <w:r>
              <w:rPr>
                <w:color w:val="auto"/>
              </w:rPr>
              <w:t>（r）为距声源r处的A声级；</w:t>
            </w:r>
          </w:p>
          <w:p w14:paraId="2FAB734E">
            <w:pPr>
              <w:spacing w:line="360" w:lineRule="auto"/>
              <w:ind w:left="1470" w:leftChars="450" w:hanging="525" w:hangingChars="250"/>
              <w:rPr>
                <w:color w:val="auto"/>
              </w:rPr>
            </w:pPr>
            <w:r>
              <w:rPr>
                <w:rFonts w:hint="eastAsia"/>
                <w:color w:val="auto"/>
              </w:rPr>
              <w:t>D</w:t>
            </w:r>
            <w:r>
              <w:rPr>
                <w:rFonts w:hint="eastAsia"/>
                <w:color w:val="auto"/>
                <w:vertAlign w:val="subscript"/>
              </w:rPr>
              <w:t>c</w:t>
            </w:r>
            <w:r>
              <w:rPr>
                <w:rFonts w:hint="eastAsia"/>
                <w:color w:val="auto"/>
              </w:rPr>
              <w:t>为指向性校正，它描述点声源的等效连续声压级与产生声功率级L w 的全向点声源在规定方向的声级的偏差程度，dB</w:t>
            </w:r>
          </w:p>
          <w:p w14:paraId="5A0B7050">
            <w:pPr>
              <w:spacing w:line="360" w:lineRule="auto"/>
              <w:ind w:firstLine="991" w:firstLineChars="472"/>
              <w:rPr>
                <w:color w:val="auto"/>
              </w:rPr>
            </w:pPr>
            <w:r>
              <w:rPr>
                <w:color w:val="auto"/>
              </w:rPr>
              <w:t>L</w:t>
            </w:r>
            <w:r>
              <w:rPr>
                <w:color w:val="auto"/>
                <w:vertAlign w:val="subscript"/>
              </w:rPr>
              <w:t>A</w:t>
            </w:r>
            <w:r>
              <w:rPr>
                <w:color w:val="auto"/>
              </w:rPr>
              <w:t>（r</w:t>
            </w:r>
            <w:r>
              <w:rPr>
                <w:color w:val="auto"/>
                <w:vertAlign w:val="subscript"/>
              </w:rPr>
              <w:t>0</w:t>
            </w:r>
            <w:r>
              <w:rPr>
                <w:color w:val="auto"/>
              </w:rPr>
              <w:t>）为参考位置r</w:t>
            </w:r>
            <w:r>
              <w:rPr>
                <w:color w:val="auto"/>
                <w:vertAlign w:val="subscript"/>
              </w:rPr>
              <w:t>0</w:t>
            </w:r>
            <w:r>
              <w:rPr>
                <w:color w:val="auto"/>
              </w:rPr>
              <w:t>的A声级；</w:t>
            </w:r>
          </w:p>
          <w:p w14:paraId="5A58045C">
            <w:pPr>
              <w:spacing w:line="360" w:lineRule="auto"/>
              <w:ind w:firstLine="991" w:firstLineChars="472"/>
              <w:rPr>
                <w:color w:val="auto"/>
              </w:rPr>
            </w:pPr>
            <w:r>
              <w:rPr>
                <w:color w:val="auto"/>
              </w:rPr>
              <w:t>A</w:t>
            </w:r>
            <w:r>
              <w:rPr>
                <w:color w:val="auto"/>
                <w:vertAlign w:val="subscript"/>
              </w:rPr>
              <w:t>div</w:t>
            </w:r>
            <w:r>
              <w:rPr>
                <w:color w:val="auto"/>
              </w:rPr>
              <w:t>为声波几何发散引起的A声级衰减量；</w:t>
            </w:r>
          </w:p>
          <w:p w14:paraId="56D60087">
            <w:pPr>
              <w:spacing w:line="360" w:lineRule="auto"/>
              <w:ind w:firstLine="991" w:firstLineChars="472"/>
              <w:rPr>
                <w:color w:val="auto"/>
              </w:rPr>
            </w:pPr>
            <w:r>
              <w:rPr>
                <w:color w:val="auto"/>
              </w:rPr>
              <w:t>A</w:t>
            </w:r>
            <w:r>
              <w:rPr>
                <w:color w:val="auto"/>
                <w:vertAlign w:val="subscript"/>
              </w:rPr>
              <w:t>atm</w:t>
            </w:r>
            <w:r>
              <w:rPr>
                <w:color w:val="auto"/>
              </w:rPr>
              <w:t>为大气吸收引起的A声级衰减量；</w:t>
            </w:r>
          </w:p>
          <w:p w14:paraId="3FF0F9EE">
            <w:pPr>
              <w:spacing w:line="360" w:lineRule="auto"/>
              <w:ind w:firstLine="991" w:firstLineChars="472"/>
              <w:rPr>
                <w:color w:val="auto"/>
              </w:rPr>
            </w:pPr>
            <w:r>
              <w:rPr>
                <w:color w:val="auto"/>
              </w:rPr>
              <w:t>A</w:t>
            </w:r>
            <w:r>
              <w:rPr>
                <w:color w:val="auto"/>
                <w:vertAlign w:val="subscript"/>
              </w:rPr>
              <w:t>gr</w:t>
            </w:r>
            <w:r>
              <w:rPr>
                <w:color w:val="auto"/>
              </w:rPr>
              <w:t>为地面效应引起的A声级衰减量；</w:t>
            </w:r>
          </w:p>
          <w:p w14:paraId="61164291">
            <w:pPr>
              <w:spacing w:line="360" w:lineRule="auto"/>
              <w:ind w:firstLine="991" w:firstLineChars="472"/>
              <w:rPr>
                <w:color w:val="auto"/>
              </w:rPr>
            </w:pPr>
            <w:r>
              <w:rPr>
                <w:color w:val="auto"/>
              </w:rPr>
              <w:t>A</w:t>
            </w:r>
            <w:r>
              <w:rPr>
                <w:color w:val="auto"/>
                <w:vertAlign w:val="subscript"/>
              </w:rPr>
              <w:t>bar</w:t>
            </w:r>
            <w:r>
              <w:rPr>
                <w:color w:val="auto"/>
              </w:rPr>
              <w:t>为声屏障引起的A声级衰减量；</w:t>
            </w:r>
          </w:p>
          <w:p w14:paraId="75DF601B">
            <w:pPr>
              <w:spacing w:line="360" w:lineRule="auto"/>
              <w:ind w:firstLine="991" w:firstLineChars="472"/>
              <w:rPr>
                <w:color w:val="auto"/>
              </w:rPr>
            </w:pPr>
            <w:r>
              <w:rPr>
                <w:color w:val="auto"/>
              </w:rPr>
              <w:t>A</w:t>
            </w:r>
            <w:r>
              <w:rPr>
                <w:color w:val="auto"/>
                <w:vertAlign w:val="subscript"/>
              </w:rPr>
              <w:t>misc</w:t>
            </w:r>
            <w:r>
              <w:rPr>
                <w:color w:val="auto"/>
              </w:rPr>
              <w:t>为其他多方面效应引起的A声级衰减量。</w:t>
            </w:r>
          </w:p>
          <w:p w14:paraId="6A078017">
            <w:pPr>
              <w:spacing w:line="360" w:lineRule="auto"/>
              <w:ind w:firstLine="371" w:firstLineChars="177"/>
              <w:rPr>
                <w:color w:val="auto"/>
              </w:rPr>
            </w:pPr>
            <w:r>
              <w:rPr>
                <w:color w:val="auto"/>
              </w:rPr>
              <w:t>根据表</w:t>
            </w:r>
            <w:r>
              <w:rPr>
                <w:rFonts w:hint="eastAsia"/>
                <w:color w:val="auto"/>
              </w:rPr>
              <w:t>4-</w:t>
            </w:r>
            <w:r>
              <w:rPr>
                <w:rFonts w:hint="eastAsia"/>
                <w:color w:val="auto"/>
                <w:lang w:val="en-US" w:eastAsia="zh-CN"/>
              </w:rPr>
              <w:t>6</w:t>
            </w:r>
            <w:r>
              <w:rPr>
                <w:rFonts w:hint="eastAsia"/>
                <w:color w:val="auto"/>
              </w:rPr>
              <w:t>~</w:t>
            </w:r>
            <w:r>
              <w:rPr>
                <w:rFonts w:hint="eastAsia"/>
                <w:color w:val="auto"/>
                <w:lang w:val="en-US" w:eastAsia="zh-CN"/>
              </w:rPr>
              <w:t>4-7</w:t>
            </w:r>
            <w:r>
              <w:rPr>
                <w:color w:val="auto"/>
              </w:rPr>
              <w:t>中各噪声源的噪声水平及其采取的降噪及隔声效果，考虑Adiv的衰减量，来预测本工程主要噪声源对周围声环境的影响几何发散引起的A声级衰减量的计算公式如下：</w:t>
            </w:r>
          </w:p>
          <w:p w14:paraId="44AA109B">
            <w:pPr>
              <w:spacing w:line="360" w:lineRule="auto"/>
              <w:ind w:firstLine="371" w:firstLineChars="177"/>
              <w:jc w:val="center"/>
              <w:rPr>
                <w:color w:val="auto"/>
              </w:rPr>
            </w:pPr>
            <w:r>
              <w:rPr>
                <w:color w:val="auto"/>
                <w:position w:val="-30"/>
              </w:rPr>
              <w:object>
                <v:shape id="_x0000_i1025" o:spt="75" type="#_x0000_t75" style="height:29.85pt;width:117.2pt;" o:ole="t" filled="f" o:preferrelative="t" stroked="f" coordsize="21600,21600">
                  <v:path/>
                  <v:fill on="f" focussize="0,0"/>
                  <v:stroke on="f" joinstyle="miter"/>
                  <v:imagedata r:id="rId22" o:title=""/>
                  <o:lock v:ext="edit" aspectratio="t"/>
                  <w10:wrap type="none"/>
                  <w10:anchorlock/>
                </v:shape>
                <o:OLEObject Type="Embed" ProgID="Equation.3" ShapeID="_x0000_i1025" DrawAspect="Content" ObjectID="_1468075725" r:id="rId21">
                  <o:LockedField>false</o:LockedField>
                </o:OLEObject>
              </w:object>
            </w:r>
          </w:p>
          <w:p w14:paraId="6E93CDBB">
            <w:pPr>
              <w:spacing w:line="360" w:lineRule="auto"/>
              <w:ind w:firstLine="420" w:firstLineChars="200"/>
              <w:rPr>
                <w:color w:val="auto"/>
              </w:rPr>
            </w:pPr>
            <w:r>
              <w:rPr>
                <w:color w:val="auto"/>
              </w:rPr>
              <w:t>对多个声源同时存在时，其总A声级用下式计算：</w:t>
            </w:r>
          </w:p>
          <w:p w14:paraId="07D69C1F">
            <w:pPr>
              <w:spacing w:line="360" w:lineRule="auto"/>
              <w:ind w:firstLine="420" w:firstLineChars="200"/>
              <w:jc w:val="center"/>
              <w:rPr>
                <w:color w:val="auto"/>
              </w:rPr>
            </w:pPr>
            <w:r>
              <w:rPr>
                <w:color w:val="auto"/>
                <w:position w:val="-28"/>
              </w:rPr>
              <w:object>
                <v:shape id="_x0000_i1026" o:spt="75" type="#_x0000_t75" style="height:29.85pt;width:101.85pt;" o:ole="t" filled="f" o:preferrelative="t" stroked="f" coordsize="21600,21600">
                  <v:path/>
                  <v:fill on="f" focussize="0,0"/>
                  <v:stroke on="f" joinstyle="miter"/>
                  <v:imagedata r:id="rId24" o:title=""/>
                  <o:lock v:ext="edit" aspectratio="t"/>
                  <w10:wrap type="none"/>
                  <w10:anchorlock/>
                </v:shape>
                <o:OLEObject Type="Embed" ProgID="Equation.3" ShapeID="_x0000_i1026" DrawAspect="Content" ObjectID="_1468075726" r:id="rId23">
                  <o:LockedField>false</o:LockedField>
                </o:OLEObject>
              </w:object>
            </w:r>
          </w:p>
          <w:p w14:paraId="331E9070">
            <w:pPr>
              <w:spacing w:line="360" w:lineRule="auto"/>
              <w:ind w:firstLine="420" w:firstLineChars="200"/>
              <w:rPr>
                <w:rFonts w:hint="default" w:eastAsia="宋体"/>
                <w:color w:val="auto"/>
                <w:spacing w:val="4"/>
                <w:szCs w:val="21"/>
                <w:lang w:val="en-US" w:eastAsia="zh-CN"/>
              </w:rPr>
            </w:pPr>
            <w:r>
              <w:rPr>
                <w:color w:val="auto"/>
              </w:rPr>
              <w:t>式中：L</w:t>
            </w:r>
            <w:r>
              <w:rPr>
                <w:color w:val="auto"/>
                <w:vertAlign w:val="subscript"/>
              </w:rPr>
              <w:t>eqg</w:t>
            </w:r>
            <w:r>
              <w:rPr>
                <w:color w:val="auto"/>
              </w:rPr>
              <w:t>为本项目声源在预测点的等效声级贡献值，dB（A）；L</w:t>
            </w:r>
            <w:r>
              <w:rPr>
                <w:color w:val="auto"/>
                <w:vertAlign w:val="subscript"/>
              </w:rPr>
              <w:t>Ai</w:t>
            </w:r>
            <w:r>
              <w:rPr>
                <w:color w:val="auto"/>
              </w:rPr>
              <w:t>为i声源在预测点产生的A声级，dB（A）；T预测计算的时间段，s；t</w:t>
            </w:r>
            <w:r>
              <w:rPr>
                <w:color w:val="auto"/>
                <w:vertAlign w:val="subscript"/>
              </w:rPr>
              <w:t>i</w:t>
            </w:r>
            <w:r>
              <w:rPr>
                <w:color w:val="auto"/>
              </w:rPr>
              <w:t>为i声源在T时段内的运行时间，s。</w:t>
            </w:r>
            <w:r>
              <w:rPr>
                <w:rFonts w:hint="eastAsia"/>
                <w:color w:val="auto"/>
                <w:lang w:val="en-US" w:eastAsia="zh-CN"/>
              </w:rPr>
              <w:t xml:space="preserve">    </w:t>
            </w:r>
          </w:p>
          <w:p w14:paraId="20D4927C">
            <w:pPr>
              <w:spacing w:line="360" w:lineRule="auto"/>
              <w:ind w:firstLine="436" w:firstLineChars="200"/>
              <w:rPr>
                <w:color w:val="auto"/>
                <w:spacing w:val="4"/>
                <w:szCs w:val="21"/>
              </w:rPr>
            </w:pPr>
            <w:r>
              <w:rPr>
                <w:color w:val="auto"/>
                <w:spacing w:val="4"/>
                <w:szCs w:val="21"/>
              </w:rPr>
              <w:t>采用模式预测法对项目运营后的厂界噪声进行预测</w:t>
            </w:r>
            <w:r>
              <w:rPr>
                <w:rFonts w:hint="eastAsia"/>
                <w:color w:val="auto"/>
                <w:spacing w:val="4"/>
                <w:szCs w:val="21"/>
              </w:rPr>
              <w:t>，</w:t>
            </w:r>
            <w:r>
              <w:rPr>
                <w:rFonts w:hint="eastAsia"/>
                <w:color w:val="auto"/>
                <w:spacing w:val="4"/>
                <w:szCs w:val="21"/>
                <w:lang w:val="en-US" w:eastAsia="zh-CN"/>
              </w:rPr>
              <w:t>预测</w:t>
            </w:r>
            <w:r>
              <w:rPr>
                <w:rFonts w:hint="eastAsia"/>
                <w:color w:val="auto"/>
                <w:spacing w:val="4"/>
                <w:szCs w:val="21"/>
              </w:rPr>
              <w:t>结果见表4</w:t>
            </w:r>
            <w:r>
              <w:rPr>
                <w:rFonts w:hint="eastAsia"/>
                <w:color w:val="auto"/>
                <w:spacing w:val="4"/>
                <w:szCs w:val="21"/>
                <w:lang w:val="en-US" w:eastAsia="zh-CN"/>
              </w:rPr>
              <w:t>.3</w:t>
            </w:r>
            <w:r>
              <w:rPr>
                <w:rFonts w:hint="eastAsia"/>
                <w:color w:val="auto"/>
                <w:spacing w:val="4"/>
                <w:szCs w:val="21"/>
              </w:rPr>
              <w:t>-</w:t>
            </w:r>
            <w:r>
              <w:rPr>
                <w:rFonts w:hint="eastAsia"/>
                <w:color w:val="auto"/>
                <w:spacing w:val="4"/>
                <w:szCs w:val="21"/>
                <w:lang w:val="en-US" w:eastAsia="zh-CN"/>
              </w:rPr>
              <w:t>3所示</w:t>
            </w:r>
            <w:r>
              <w:rPr>
                <w:rFonts w:hint="eastAsia"/>
                <w:color w:val="auto"/>
                <w:spacing w:val="4"/>
                <w:szCs w:val="21"/>
              </w:rPr>
              <w:t>。</w:t>
            </w:r>
          </w:p>
          <w:p w14:paraId="460EA8D7">
            <w:pPr>
              <w:jc w:val="center"/>
              <w:rPr>
                <w:b/>
                <w:color w:val="auto"/>
                <w:sz w:val="18"/>
                <w:szCs w:val="18"/>
              </w:rPr>
            </w:pPr>
            <w:r>
              <w:rPr>
                <w:b/>
                <w:color w:val="auto"/>
                <w:sz w:val="18"/>
                <w:szCs w:val="18"/>
              </w:rPr>
              <w:t>表</w:t>
            </w:r>
            <w:r>
              <w:rPr>
                <w:rFonts w:hint="eastAsia"/>
                <w:b/>
                <w:color w:val="auto"/>
                <w:sz w:val="18"/>
                <w:szCs w:val="18"/>
              </w:rPr>
              <w:t>4</w:t>
            </w:r>
            <w:r>
              <w:rPr>
                <w:rFonts w:hint="eastAsia"/>
                <w:b/>
                <w:color w:val="auto"/>
                <w:sz w:val="18"/>
                <w:szCs w:val="18"/>
                <w:lang w:val="en-US" w:eastAsia="zh-CN"/>
              </w:rPr>
              <w:t>.3</w:t>
            </w:r>
            <w:r>
              <w:rPr>
                <w:rFonts w:hint="eastAsia"/>
                <w:b/>
                <w:color w:val="auto"/>
                <w:sz w:val="18"/>
                <w:szCs w:val="18"/>
              </w:rPr>
              <w:t>-</w:t>
            </w:r>
            <w:r>
              <w:rPr>
                <w:rFonts w:hint="eastAsia"/>
                <w:b/>
                <w:color w:val="auto"/>
                <w:sz w:val="18"/>
                <w:szCs w:val="18"/>
                <w:lang w:val="en-US" w:eastAsia="zh-CN"/>
              </w:rPr>
              <w:t>3</w:t>
            </w:r>
            <w:r>
              <w:rPr>
                <w:b/>
                <w:color w:val="auto"/>
                <w:sz w:val="18"/>
                <w:szCs w:val="18"/>
              </w:rPr>
              <w:t xml:space="preserve">  </w:t>
            </w:r>
            <w:r>
              <w:rPr>
                <w:rFonts w:hint="eastAsia"/>
                <w:b/>
                <w:color w:val="auto"/>
                <w:sz w:val="18"/>
                <w:szCs w:val="18"/>
              </w:rPr>
              <w:t xml:space="preserve">  </w:t>
            </w:r>
            <w:r>
              <w:rPr>
                <w:b/>
                <w:color w:val="auto"/>
                <w:sz w:val="18"/>
                <w:szCs w:val="18"/>
              </w:rPr>
              <w:t>项目运营期噪声预测结果（Leq  单位：dB(A)）</w:t>
            </w:r>
          </w:p>
          <w:tbl>
            <w:tblPr>
              <w:tblStyle w:val="4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373"/>
              <w:gridCol w:w="1373"/>
              <w:gridCol w:w="1375"/>
              <w:gridCol w:w="1373"/>
              <w:gridCol w:w="1375"/>
            </w:tblGrid>
            <w:tr w14:paraId="72905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vMerge w:val="restart"/>
                  <w:tcBorders>
                    <w:tl2br w:val="nil"/>
                    <w:tr2bl w:val="nil"/>
                  </w:tcBorders>
                  <w:vAlign w:val="center"/>
                </w:tcPr>
                <w:p w14:paraId="44BABC62">
                  <w:pPr>
                    <w:pStyle w:val="23"/>
                    <w:jc w:val="center"/>
                    <w:rPr>
                      <w:rFonts w:ascii="Times New Roman" w:hAnsi="Times New Roman"/>
                      <w:bCs/>
                      <w:color w:val="auto"/>
                      <w:sz w:val="18"/>
                      <w:szCs w:val="18"/>
                    </w:rPr>
                  </w:pPr>
                  <w:r>
                    <w:rPr>
                      <w:rFonts w:ascii="Times New Roman" w:hAnsi="Times New Roman"/>
                      <w:bCs/>
                      <w:color w:val="auto"/>
                      <w:sz w:val="18"/>
                      <w:szCs w:val="18"/>
                    </w:rPr>
                    <w:t>测点</w:t>
                  </w:r>
                </w:p>
              </w:tc>
              <w:tc>
                <w:tcPr>
                  <w:tcW w:w="867" w:type="pct"/>
                  <w:vMerge w:val="restart"/>
                  <w:tcBorders>
                    <w:tl2br w:val="nil"/>
                    <w:tr2bl w:val="nil"/>
                  </w:tcBorders>
                  <w:vAlign w:val="center"/>
                </w:tcPr>
                <w:p w14:paraId="5FC09DFE">
                  <w:pPr>
                    <w:pStyle w:val="23"/>
                    <w:jc w:val="center"/>
                    <w:rPr>
                      <w:rFonts w:ascii="Times New Roman" w:hAnsi="Times New Roman"/>
                      <w:bCs/>
                      <w:color w:val="auto"/>
                      <w:sz w:val="18"/>
                      <w:szCs w:val="18"/>
                    </w:rPr>
                  </w:pPr>
                  <w:r>
                    <w:rPr>
                      <w:rFonts w:ascii="Times New Roman" w:hAnsi="Times New Roman"/>
                      <w:bCs/>
                      <w:color w:val="auto"/>
                      <w:sz w:val="18"/>
                      <w:szCs w:val="18"/>
                    </w:rPr>
                    <w:t>位置</w:t>
                  </w:r>
                </w:p>
              </w:tc>
              <w:tc>
                <w:tcPr>
                  <w:tcW w:w="1735" w:type="pct"/>
                  <w:gridSpan w:val="2"/>
                  <w:tcBorders>
                    <w:tl2br w:val="nil"/>
                    <w:tr2bl w:val="nil"/>
                  </w:tcBorders>
                  <w:vAlign w:val="center"/>
                </w:tcPr>
                <w:p w14:paraId="0DA38144">
                  <w:pPr>
                    <w:pStyle w:val="23"/>
                    <w:jc w:val="center"/>
                    <w:rPr>
                      <w:rFonts w:ascii="Times New Roman" w:hAnsi="Times New Roman"/>
                      <w:bCs/>
                      <w:color w:val="auto"/>
                      <w:sz w:val="18"/>
                      <w:szCs w:val="18"/>
                    </w:rPr>
                  </w:pPr>
                  <w:r>
                    <w:rPr>
                      <w:rFonts w:ascii="Times New Roman" w:hAnsi="Times New Roman"/>
                      <w:bCs/>
                      <w:color w:val="auto"/>
                      <w:sz w:val="18"/>
                      <w:szCs w:val="18"/>
                    </w:rPr>
                    <w:t>昼间</w:t>
                  </w:r>
                </w:p>
              </w:tc>
              <w:tc>
                <w:tcPr>
                  <w:tcW w:w="1735" w:type="pct"/>
                  <w:gridSpan w:val="2"/>
                  <w:tcBorders>
                    <w:tl2br w:val="nil"/>
                    <w:tr2bl w:val="nil"/>
                  </w:tcBorders>
                  <w:vAlign w:val="center"/>
                </w:tcPr>
                <w:p w14:paraId="42A262ED">
                  <w:pPr>
                    <w:pStyle w:val="23"/>
                    <w:jc w:val="center"/>
                    <w:rPr>
                      <w:rFonts w:hint="eastAsia" w:ascii="Times New Roman" w:hAnsi="Times New Roman" w:eastAsia="宋体"/>
                      <w:bCs/>
                      <w:color w:val="auto"/>
                      <w:sz w:val="18"/>
                      <w:szCs w:val="18"/>
                      <w:lang w:val="en-US" w:eastAsia="zh-CN"/>
                    </w:rPr>
                  </w:pPr>
                  <w:r>
                    <w:rPr>
                      <w:rFonts w:hint="eastAsia" w:ascii="Times New Roman" w:hAnsi="Times New Roman"/>
                      <w:bCs/>
                      <w:color w:val="auto"/>
                      <w:sz w:val="18"/>
                      <w:szCs w:val="18"/>
                      <w:lang w:val="en-US" w:eastAsia="zh-CN"/>
                    </w:rPr>
                    <w:t>夜间</w:t>
                  </w:r>
                </w:p>
              </w:tc>
            </w:tr>
            <w:tr w14:paraId="431D37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vMerge w:val="continue"/>
                  <w:tcBorders>
                    <w:tl2br w:val="nil"/>
                    <w:tr2bl w:val="nil"/>
                  </w:tcBorders>
                  <w:vAlign w:val="center"/>
                </w:tcPr>
                <w:p w14:paraId="655E921A">
                  <w:pPr>
                    <w:pStyle w:val="23"/>
                    <w:jc w:val="center"/>
                    <w:rPr>
                      <w:rFonts w:ascii="Times New Roman" w:hAnsi="Times New Roman"/>
                      <w:bCs/>
                      <w:color w:val="auto"/>
                      <w:sz w:val="18"/>
                      <w:szCs w:val="18"/>
                    </w:rPr>
                  </w:pPr>
                </w:p>
              </w:tc>
              <w:tc>
                <w:tcPr>
                  <w:tcW w:w="867" w:type="pct"/>
                  <w:vMerge w:val="continue"/>
                  <w:tcBorders>
                    <w:tl2br w:val="nil"/>
                    <w:tr2bl w:val="nil"/>
                  </w:tcBorders>
                  <w:vAlign w:val="center"/>
                </w:tcPr>
                <w:p w14:paraId="5EFEBEBF">
                  <w:pPr>
                    <w:pStyle w:val="23"/>
                    <w:jc w:val="center"/>
                    <w:rPr>
                      <w:rFonts w:ascii="Times New Roman" w:hAnsi="Times New Roman"/>
                      <w:bCs/>
                      <w:color w:val="auto"/>
                      <w:sz w:val="18"/>
                      <w:szCs w:val="18"/>
                    </w:rPr>
                  </w:pPr>
                </w:p>
              </w:tc>
              <w:tc>
                <w:tcPr>
                  <w:tcW w:w="867" w:type="pct"/>
                  <w:tcBorders>
                    <w:tl2br w:val="nil"/>
                    <w:tr2bl w:val="nil"/>
                  </w:tcBorders>
                  <w:vAlign w:val="center"/>
                </w:tcPr>
                <w:p w14:paraId="370BCB80">
                  <w:pPr>
                    <w:pStyle w:val="23"/>
                    <w:jc w:val="center"/>
                    <w:rPr>
                      <w:rFonts w:ascii="Times New Roman" w:hAnsi="Times New Roman"/>
                      <w:bCs/>
                      <w:color w:val="auto"/>
                      <w:sz w:val="18"/>
                      <w:szCs w:val="18"/>
                    </w:rPr>
                  </w:pPr>
                  <w:r>
                    <w:rPr>
                      <w:rFonts w:hint="eastAsia" w:ascii="Times New Roman" w:hAnsi="Times New Roman"/>
                      <w:bCs/>
                      <w:color w:val="auto"/>
                      <w:sz w:val="18"/>
                      <w:szCs w:val="18"/>
                      <w:lang w:val="en-US" w:eastAsia="zh-CN"/>
                    </w:rPr>
                    <w:t>贡献</w:t>
                  </w:r>
                  <w:r>
                    <w:rPr>
                      <w:rFonts w:hint="eastAsia" w:ascii="Times New Roman" w:hAnsi="Times New Roman"/>
                      <w:bCs/>
                      <w:color w:val="auto"/>
                      <w:sz w:val="18"/>
                      <w:szCs w:val="18"/>
                    </w:rPr>
                    <w:t>值</w:t>
                  </w:r>
                </w:p>
              </w:tc>
              <w:tc>
                <w:tcPr>
                  <w:tcW w:w="867" w:type="pct"/>
                  <w:tcBorders>
                    <w:tl2br w:val="nil"/>
                    <w:tr2bl w:val="nil"/>
                  </w:tcBorders>
                  <w:shd w:val="clear" w:color="auto" w:fill="auto"/>
                  <w:vAlign w:val="center"/>
                </w:tcPr>
                <w:p w14:paraId="5A6D387B">
                  <w:pPr>
                    <w:pStyle w:val="23"/>
                    <w:jc w:val="center"/>
                    <w:rPr>
                      <w:rFonts w:hint="eastAsia" w:ascii="Times New Roman" w:hAnsi="Times New Roman" w:eastAsia="宋体" w:cs="Times New Roman"/>
                      <w:bCs/>
                      <w:color w:val="auto"/>
                      <w:kern w:val="2"/>
                      <w:sz w:val="18"/>
                      <w:szCs w:val="18"/>
                      <w:lang w:val="en-US" w:eastAsia="zh-CN" w:bidi="ar-SA"/>
                    </w:rPr>
                  </w:pPr>
                  <w:r>
                    <w:rPr>
                      <w:rFonts w:ascii="Times New Roman" w:hAnsi="Times New Roman"/>
                      <w:bCs/>
                      <w:color w:val="auto"/>
                      <w:sz w:val="18"/>
                      <w:szCs w:val="18"/>
                    </w:rPr>
                    <w:t>标准值</w:t>
                  </w:r>
                </w:p>
              </w:tc>
              <w:tc>
                <w:tcPr>
                  <w:tcW w:w="867" w:type="pct"/>
                  <w:tcBorders>
                    <w:tl2br w:val="nil"/>
                    <w:tr2bl w:val="nil"/>
                  </w:tcBorders>
                  <w:vAlign w:val="center"/>
                </w:tcPr>
                <w:p w14:paraId="68587637">
                  <w:pPr>
                    <w:pStyle w:val="23"/>
                    <w:jc w:val="center"/>
                    <w:rPr>
                      <w:rFonts w:ascii="Times New Roman" w:hAnsi="Times New Roman"/>
                      <w:bCs/>
                      <w:color w:val="auto"/>
                      <w:sz w:val="18"/>
                      <w:szCs w:val="18"/>
                    </w:rPr>
                  </w:pPr>
                  <w:r>
                    <w:rPr>
                      <w:rFonts w:hint="eastAsia" w:ascii="Times New Roman" w:hAnsi="Times New Roman"/>
                      <w:bCs/>
                      <w:color w:val="auto"/>
                      <w:sz w:val="18"/>
                      <w:szCs w:val="18"/>
                      <w:lang w:val="en-US" w:eastAsia="zh-CN"/>
                    </w:rPr>
                    <w:t>贡献</w:t>
                  </w:r>
                  <w:r>
                    <w:rPr>
                      <w:rFonts w:hint="eastAsia" w:ascii="Times New Roman" w:hAnsi="Times New Roman"/>
                      <w:bCs/>
                      <w:color w:val="auto"/>
                      <w:sz w:val="18"/>
                      <w:szCs w:val="18"/>
                    </w:rPr>
                    <w:t>值</w:t>
                  </w:r>
                </w:p>
              </w:tc>
              <w:tc>
                <w:tcPr>
                  <w:tcW w:w="867" w:type="pct"/>
                  <w:tcBorders>
                    <w:tl2br w:val="nil"/>
                    <w:tr2bl w:val="nil"/>
                  </w:tcBorders>
                  <w:vAlign w:val="center"/>
                </w:tcPr>
                <w:p w14:paraId="4E6E8284">
                  <w:pPr>
                    <w:pStyle w:val="23"/>
                    <w:jc w:val="center"/>
                    <w:rPr>
                      <w:rFonts w:ascii="Times New Roman" w:hAnsi="Times New Roman"/>
                      <w:bCs/>
                      <w:color w:val="auto"/>
                      <w:sz w:val="18"/>
                      <w:szCs w:val="18"/>
                    </w:rPr>
                  </w:pPr>
                  <w:r>
                    <w:rPr>
                      <w:rFonts w:ascii="Times New Roman" w:hAnsi="Times New Roman"/>
                      <w:bCs/>
                      <w:color w:val="auto"/>
                      <w:sz w:val="18"/>
                      <w:szCs w:val="18"/>
                    </w:rPr>
                    <w:t>标准值</w:t>
                  </w:r>
                </w:p>
              </w:tc>
            </w:tr>
            <w:tr w14:paraId="6DAC3B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tcBorders>
                    <w:tl2br w:val="nil"/>
                    <w:tr2bl w:val="nil"/>
                  </w:tcBorders>
                  <w:vAlign w:val="center"/>
                </w:tcPr>
                <w:p w14:paraId="4E2265B3">
                  <w:pPr>
                    <w:pStyle w:val="23"/>
                    <w:jc w:val="center"/>
                    <w:rPr>
                      <w:rFonts w:ascii="Times New Roman" w:hAnsi="Times New Roman"/>
                      <w:bCs/>
                      <w:color w:val="auto"/>
                      <w:sz w:val="18"/>
                      <w:szCs w:val="18"/>
                    </w:rPr>
                  </w:pPr>
                  <w:r>
                    <w:rPr>
                      <w:rFonts w:ascii="Times New Roman" w:hAnsi="Times New Roman"/>
                      <w:bCs/>
                      <w:color w:val="auto"/>
                      <w:sz w:val="18"/>
                      <w:szCs w:val="18"/>
                    </w:rPr>
                    <w:t>1</w:t>
                  </w:r>
                </w:p>
              </w:tc>
              <w:tc>
                <w:tcPr>
                  <w:tcW w:w="867" w:type="pct"/>
                  <w:tcBorders>
                    <w:tl2br w:val="nil"/>
                    <w:tr2bl w:val="nil"/>
                  </w:tcBorders>
                  <w:vAlign w:val="center"/>
                </w:tcPr>
                <w:p w14:paraId="5EE3F03E">
                  <w:pPr>
                    <w:pStyle w:val="23"/>
                    <w:jc w:val="center"/>
                    <w:rPr>
                      <w:rFonts w:ascii="Times New Roman" w:hAnsi="Times New Roman"/>
                      <w:bCs/>
                      <w:color w:val="auto"/>
                      <w:sz w:val="18"/>
                      <w:szCs w:val="18"/>
                    </w:rPr>
                  </w:pPr>
                  <w:r>
                    <w:rPr>
                      <w:rFonts w:ascii="Times New Roman" w:hAnsi="Times New Roman"/>
                      <w:bCs/>
                      <w:color w:val="auto"/>
                      <w:sz w:val="18"/>
                      <w:szCs w:val="18"/>
                    </w:rPr>
                    <w:t>东边界</w:t>
                  </w:r>
                </w:p>
              </w:tc>
              <w:tc>
                <w:tcPr>
                  <w:tcW w:w="867" w:type="pct"/>
                  <w:tcBorders>
                    <w:tl2br w:val="nil"/>
                    <w:tr2bl w:val="nil"/>
                  </w:tcBorders>
                  <w:vAlign w:val="center"/>
                </w:tcPr>
                <w:p w14:paraId="78C7CA27">
                  <w:pPr>
                    <w:pStyle w:val="23"/>
                    <w:jc w:val="center"/>
                    <w:rPr>
                      <w:rFonts w:hint="eastAsia" w:ascii="Times New Roman" w:hAnsi="Times New Roman" w:eastAsia="宋体"/>
                      <w:bCs/>
                      <w:color w:val="auto"/>
                      <w:sz w:val="18"/>
                      <w:szCs w:val="18"/>
                      <w:lang w:eastAsia="zh-CN"/>
                    </w:rPr>
                  </w:pPr>
                  <w:r>
                    <w:rPr>
                      <w:rFonts w:hint="eastAsia" w:ascii="Times New Roman" w:hAnsi="Times New Roman"/>
                      <w:bCs/>
                      <w:color w:val="auto"/>
                      <w:sz w:val="18"/>
                      <w:szCs w:val="18"/>
                      <w:lang w:val="en-US" w:eastAsia="zh-CN"/>
                    </w:rPr>
                    <w:t>52</w:t>
                  </w:r>
                  <w:r>
                    <w:rPr>
                      <w:rFonts w:hint="eastAsia" w:ascii="Times New Roman" w:hAnsi="Times New Roman"/>
                      <w:bCs/>
                      <w:color w:val="auto"/>
                      <w:sz w:val="18"/>
                      <w:szCs w:val="18"/>
                    </w:rPr>
                    <w:t>.</w:t>
                  </w:r>
                  <w:r>
                    <w:rPr>
                      <w:rFonts w:hint="eastAsia" w:ascii="Times New Roman" w:hAnsi="Times New Roman"/>
                      <w:bCs/>
                      <w:color w:val="auto"/>
                      <w:sz w:val="18"/>
                      <w:szCs w:val="18"/>
                      <w:lang w:val="en-US" w:eastAsia="zh-CN"/>
                    </w:rPr>
                    <w:t>1</w:t>
                  </w:r>
                </w:p>
              </w:tc>
              <w:tc>
                <w:tcPr>
                  <w:tcW w:w="867" w:type="pct"/>
                  <w:vMerge w:val="restart"/>
                  <w:tcBorders>
                    <w:tl2br w:val="nil"/>
                    <w:tr2bl w:val="nil"/>
                  </w:tcBorders>
                  <w:shd w:val="clear" w:color="auto" w:fill="auto"/>
                  <w:vAlign w:val="center"/>
                </w:tcPr>
                <w:p w14:paraId="6A427FD1">
                  <w:pPr>
                    <w:jc w:val="center"/>
                    <w:rPr>
                      <w:rFonts w:hint="eastAsia" w:ascii="Times New Roman" w:hAnsi="Times New Roman" w:eastAsia="宋体" w:cs="Times New Roman"/>
                      <w:bCs/>
                      <w:color w:val="auto"/>
                      <w:kern w:val="2"/>
                      <w:sz w:val="18"/>
                      <w:szCs w:val="18"/>
                      <w:lang w:val="en-US" w:eastAsia="zh-CN" w:bidi="ar-SA"/>
                    </w:rPr>
                  </w:pPr>
                  <w:r>
                    <w:rPr>
                      <w:rFonts w:hint="eastAsia"/>
                      <w:bCs/>
                      <w:color w:val="auto"/>
                      <w:sz w:val="18"/>
                      <w:szCs w:val="18"/>
                      <w:lang w:val="en-US" w:eastAsia="zh-CN"/>
                    </w:rPr>
                    <w:t>60</w:t>
                  </w:r>
                </w:p>
              </w:tc>
              <w:tc>
                <w:tcPr>
                  <w:tcW w:w="867" w:type="pct"/>
                  <w:tcBorders>
                    <w:tl2br w:val="nil"/>
                    <w:tr2bl w:val="nil"/>
                  </w:tcBorders>
                  <w:vAlign w:val="center"/>
                </w:tcPr>
                <w:p w14:paraId="0E4A3550">
                  <w:pPr>
                    <w:pStyle w:val="23"/>
                    <w:jc w:val="center"/>
                    <w:rPr>
                      <w:rFonts w:hint="default" w:ascii="Times New Roman" w:hAnsi="Times New Roman"/>
                      <w:bCs/>
                      <w:color w:val="auto"/>
                      <w:sz w:val="18"/>
                      <w:szCs w:val="18"/>
                      <w:lang w:val="en-US"/>
                    </w:rPr>
                  </w:pPr>
                  <w:r>
                    <w:rPr>
                      <w:rFonts w:hint="eastAsia" w:ascii="Times New Roman" w:hAnsi="Times New Roman"/>
                      <w:bCs/>
                      <w:color w:val="auto"/>
                      <w:sz w:val="18"/>
                      <w:szCs w:val="18"/>
                    </w:rPr>
                    <w:t>49.</w:t>
                  </w:r>
                  <w:r>
                    <w:rPr>
                      <w:rFonts w:hint="eastAsia" w:ascii="Times New Roman" w:hAnsi="Times New Roman"/>
                      <w:bCs/>
                      <w:color w:val="auto"/>
                      <w:sz w:val="18"/>
                      <w:szCs w:val="18"/>
                      <w:lang w:val="en-US" w:eastAsia="zh-CN"/>
                    </w:rPr>
                    <w:t>2</w:t>
                  </w:r>
                </w:p>
              </w:tc>
              <w:tc>
                <w:tcPr>
                  <w:tcW w:w="867" w:type="pct"/>
                  <w:vMerge w:val="restart"/>
                  <w:tcBorders>
                    <w:tl2br w:val="nil"/>
                    <w:tr2bl w:val="nil"/>
                  </w:tcBorders>
                  <w:vAlign w:val="center"/>
                </w:tcPr>
                <w:p w14:paraId="73E1C913">
                  <w:pPr>
                    <w:jc w:val="center"/>
                    <w:rPr>
                      <w:rFonts w:hint="eastAsia"/>
                      <w:bCs/>
                      <w:color w:val="auto"/>
                      <w:sz w:val="18"/>
                      <w:szCs w:val="18"/>
                      <w:lang w:val="en-US" w:eastAsia="zh-CN"/>
                    </w:rPr>
                  </w:pPr>
                  <w:r>
                    <w:rPr>
                      <w:rFonts w:hint="eastAsia"/>
                      <w:bCs/>
                      <w:color w:val="auto"/>
                      <w:sz w:val="18"/>
                      <w:szCs w:val="18"/>
                      <w:lang w:val="en-US" w:eastAsia="zh-CN"/>
                    </w:rPr>
                    <w:t>50</w:t>
                  </w:r>
                </w:p>
              </w:tc>
            </w:tr>
            <w:tr w14:paraId="6F9E3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tcBorders>
                    <w:tl2br w:val="nil"/>
                    <w:tr2bl w:val="nil"/>
                  </w:tcBorders>
                  <w:vAlign w:val="center"/>
                </w:tcPr>
                <w:p w14:paraId="3EDFA268">
                  <w:pPr>
                    <w:pStyle w:val="23"/>
                    <w:jc w:val="center"/>
                    <w:rPr>
                      <w:rFonts w:ascii="Times New Roman" w:hAnsi="Times New Roman"/>
                      <w:bCs/>
                      <w:color w:val="auto"/>
                      <w:sz w:val="18"/>
                      <w:szCs w:val="18"/>
                    </w:rPr>
                  </w:pPr>
                  <w:r>
                    <w:rPr>
                      <w:rFonts w:ascii="Times New Roman" w:hAnsi="Times New Roman"/>
                      <w:bCs/>
                      <w:color w:val="auto"/>
                      <w:sz w:val="18"/>
                      <w:szCs w:val="18"/>
                    </w:rPr>
                    <w:t>2</w:t>
                  </w:r>
                </w:p>
              </w:tc>
              <w:tc>
                <w:tcPr>
                  <w:tcW w:w="867" w:type="pct"/>
                  <w:tcBorders>
                    <w:tl2br w:val="nil"/>
                    <w:tr2bl w:val="nil"/>
                  </w:tcBorders>
                  <w:vAlign w:val="center"/>
                </w:tcPr>
                <w:p w14:paraId="2A878318">
                  <w:pPr>
                    <w:jc w:val="center"/>
                    <w:rPr>
                      <w:bCs/>
                      <w:color w:val="auto"/>
                      <w:sz w:val="18"/>
                      <w:szCs w:val="18"/>
                    </w:rPr>
                  </w:pPr>
                  <w:r>
                    <w:rPr>
                      <w:bCs/>
                      <w:color w:val="auto"/>
                      <w:sz w:val="18"/>
                      <w:szCs w:val="18"/>
                    </w:rPr>
                    <w:t>南边界</w:t>
                  </w:r>
                </w:p>
              </w:tc>
              <w:tc>
                <w:tcPr>
                  <w:tcW w:w="867" w:type="pct"/>
                  <w:tcBorders>
                    <w:tl2br w:val="nil"/>
                    <w:tr2bl w:val="nil"/>
                  </w:tcBorders>
                  <w:vAlign w:val="center"/>
                </w:tcPr>
                <w:p w14:paraId="771E1766">
                  <w:pPr>
                    <w:pStyle w:val="23"/>
                    <w:jc w:val="center"/>
                    <w:rPr>
                      <w:rFonts w:hint="eastAsia" w:ascii="Times New Roman" w:hAnsi="Times New Roman" w:eastAsia="宋体"/>
                      <w:bCs/>
                      <w:color w:val="auto"/>
                      <w:sz w:val="18"/>
                      <w:szCs w:val="18"/>
                      <w:lang w:eastAsia="zh-CN"/>
                    </w:rPr>
                  </w:pPr>
                  <w:r>
                    <w:rPr>
                      <w:rFonts w:hint="eastAsia" w:ascii="Times New Roman" w:hAnsi="Times New Roman"/>
                      <w:bCs/>
                      <w:color w:val="auto"/>
                      <w:sz w:val="18"/>
                      <w:szCs w:val="18"/>
                      <w:lang w:val="en-US" w:eastAsia="zh-CN"/>
                    </w:rPr>
                    <w:t>51</w:t>
                  </w:r>
                  <w:r>
                    <w:rPr>
                      <w:rFonts w:hint="eastAsia" w:ascii="Times New Roman" w:hAnsi="Times New Roman"/>
                      <w:bCs/>
                      <w:color w:val="auto"/>
                      <w:sz w:val="18"/>
                      <w:szCs w:val="18"/>
                    </w:rPr>
                    <w:t>.</w:t>
                  </w:r>
                  <w:r>
                    <w:rPr>
                      <w:rFonts w:hint="eastAsia" w:ascii="Times New Roman" w:hAnsi="Times New Roman"/>
                      <w:bCs/>
                      <w:color w:val="auto"/>
                      <w:sz w:val="18"/>
                      <w:szCs w:val="18"/>
                      <w:lang w:val="en-US" w:eastAsia="zh-CN"/>
                    </w:rPr>
                    <w:t>3</w:t>
                  </w:r>
                </w:p>
              </w:tc>
              <w:tc>
                <w:tcPr>
                  <w:tcW w:w="867" w:type="pct"/>
                  <w:vMerge w:val="continue"/>
                  <w:tcBorders>
                    <w:tl2br w:val="nil"/>
                    <w:tr2bl w:val="nil"/>
                  </w:tcBorders>
                  <w:vAlign w:val="center"/>
                </w:tcPr>
                <w:p w14:paraId="7F853A25">
                  <w:pPr>
                    <w:pStyle w:val="23"/>
                    <w:jc w:val="center"/>
                    <w:rPr>
                      <w:rFonts w:hint="eastAsia" w:ascii="Times New Roman" w:hAnsi="Times New Roman"/>
                      <w:bCs/>
                      <w:color w:val="auto"/>
                      <w:sz w:val="18"/>
                      <w:szCs w:val="18"/>
                    </w:rPr>
                  </w:pPr>
                </w:p>
              </w:tc>
              <w:tc>
                <w:tcPr>
                  <w:tcW w:w="867" w:type="pct"/>
                  <w:tcBorders>
                    <w:tl2br w:val="nil"/>
                    <w:tr2bl w:val="nil"/>
                  </w:tcBorders>
                  <w:vAlign w:val="center"/>
                </w:tcPr>
                <w:p w14:paraId="5E499FBD">
                  <w:pPr>
                    <w:pStyle w:val="23"/>
                    <w:jc w:val="center"/>
                    <w:rPr>
                      <w:rFonts w:ascii="Times New Roman" w:hAnsi="Times New Roman"/>
                      <w:bCs/>
                      <w:color w:val="auto"/>
                      <w:sz w:val="18"/>
                      <w:szCs w:val="18"/>
                    </w:rPr>
                  </w:pPr>
                  <w:r>
                    <w:rPr>
                      <w:rFonts w:hint="eastAsia" w:ascii="Times New Roman" w:hAnsi="Times New Roman"/>
                      <w:bCs/>
                      <w:color w:val="auto"/>
                      <w:sz w:val="18"/>
                      <w:szCs w:val="18"/>
                    </w:rPr>
                    <w:t>48.</w:t>
                  </w:r>
                  <w:r>
                    <w:rPr>
                      <w:rFonts w:hint="eastAsia" w:ascii="Times New Roman" w:hAnsi="Times New Roman"/>
                      <w:bCs/>
                      <w:color w:val="auto"/>
                      <w:sz w:val="18"/>
                      <w:szCs w:val="18"/>
                      <w:lang w:val="en-US" w:eastAsia="zh-CN"/>
                    </w:rPr>
                    <w:t>3</w:t>
                  </w:r>
                </w:p>
              </w:tc>
              <w:tc>
                <w:tcPr>
                  <w:tcW w:w="867" w:type="pct"/>
                  <w:vMerge w:val="continue"/>
                  <w:tcBorders>
                    <w:tl2br w:val="nil"/>
                    <w:tr2bl w:val="nil"/>
                  </w:tcBorders>
                  <w:vAlign w:val="center"/>
                </w:tcPr>
                <w:p w14:paraId="3408CAAD">
                  <w:pPr>
                    <w:jc w:val="center"/>
                    <w:rPr>
                      <w:rFonts w:ascii="Times New Roman" w:hAnsi="Times New Roman"/>
                      <w:bCs/>
                      <w:color w:val="auto"/>
                      <w:sz w:val="18"/>
                      <w:szCs w:val="18"/>
                    </w:rPr>
                  </w:pPr>
                </w:p>
              </w:tc>
            </w:tr>
            <w:tr w14:paraId="5FCA6A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tcBorders>
                    <w:tl2br w:val="nil"/>
                    <w:tr2bl w:val="nil"/>
                  </w:tcBorders>
                  <w:vAlign w:val="center"/>
                </w:tcPr>
                <w:p w14:paraId="33E3E063">
                  <w:pPr>
                    <w:pStyle w:val="23"/>
                    <w:jc w:val="center"/>
                    <w:rPr>
                      <w:rFonts w:ascii="Times New Roman" w:hAnsi="Times New Roman"/>
                      <w:bCs/>
                      <w:color w:val="auto"/>
                      <w:sz w:val="18"/>
                      <w:szCs w:val="18"/>
                    </w:rPr>
                  </w:pPr>
                  <w:r>
                    <w:rPr>
                      <w:rFonts w:ascii="Times New Roman" w:hAnsi="Times New Roman"/>
                      <w:bCs/>
                      <w:color w:val="auto"/>
                      <w:sz w:val="18"/>
                      <w:szCs w:val="18"/>
                    </w:rPr>
                    <w:t>3</w:t>
                  </w:r>
                </w:p>
              </w:tc>
              <w:tc>
                <w:tcPr>
                  <w:tcW w:w="867" w:type="pct"/>
                  <w:tcBorders>
                    <w:tl2br w:val="nil"/>
                    <w:tr2bl w:val="nil"/>
                  </w:tcBorders>
                  <w:vAlign w:val="center"/>
                </w:tcPr>
                <w:p w14:paraId="126E1313">
                  <w:pPr>
                    <w:jc w:val="center"/>
                    <w:rPr>
                      <w:bCs/>
                      <w:color w:val="auto"/>
                      <w:sz w:val="18"/>
                      <w:szCs w:val="18"/>
                    </w:rPr>
                  </w:pPr>
                  <w:r>
                    <w:rPr>
                      <w:bCs/>
                      <w:color w:val="auto"/>
                      <w:sz w:val="18"/>
                      <w:szCs w:val="18"/>
                    </w:rPr>
                    <w:t>西边界</w:t>
                  </w:r>
                </w:p>
              </w:tc>
              <w:tc>
                <w:tcPr>
                  <w:tcW w:w="867" w:type="pct"/>
                  <w:tcBorders>
                    <w:tl2br w:val="nil"/>
                    <w:tr2bl w:val="nil"/>
                  </w:tcBorders>
                  <w:vAlign w:val="center"/>
                </w:tcPr>
                <w:p w14:paraId="683ADC66">
                  <w:pPr>
                    <w:pStyle w:val="23"/>
                    <w:jc w:val="center"/>
                    <w:rPr>
                      <w:rFonts w:hint="eastAsia" w:ascii="Times New Roman" w:hAnsi="Times New Roman" w:eastAsia="宋体"/>
                      <w:bCs/>
                      <w:color w:val="auto"/>
                      <w:sz w:val="18"/>
                      <w:szCs w:val="18"/>
                      <w:lang w:eastAsia="zh-CN"/>
                    </w:rPr>
                  </w:pPr>
                  <w:r>
                    <w:rPr>
                      <w:rFonts w:hint="eastAsia" w:ascii="Times New Roman" w:hAnsi="Times New Roman"/>
                      <w:bCs/>
                      <w:color w:val="auto"/>
                      <w:sz w:val="18"/>
                      <w:szCs w:val="18"/>
                      <w:lang w:val="en-US" w:eastAsia="zh-CN"/>
                    </w:rPr>
                    <w:t>53</w:t>
                  </w:r>
                  <w:r>
                    <w:rPr>
                      <w:rFonts w:hint="eastAsia" w:ascii="Times New Roman" w:hAnsi="Times New Roman"/>
                      <w:bCs/>
                      <w:color w:val="auto"/>
                      <w:sz w:val="18"/>
                      <w:szCs w:val="18"/>
                    </w:rPr>
                    <w:t>.</w:t>
                  </w:r>
                  <w:r>
                    <w:rPr>
                      <w:rFonts w:hint="eastAsia" w:ascii="Times New Roman" w:hAnsi="Times New Roman"/>
                      <w:bCs/>
                      <w:color w:val="auto"/>
                      <w:sz w:val="18"/>
                      <w:szCs w:val="18"/>
                      <w:lang w:val="en-US" w:eastAsia="zh-CN"/>
                    </w:rPr>
                    <w:t>6</w:t>
                  </w:r>
                </w:p>
              </w:tc>
              <w:tc>
                <w:tcPr>
                  <w:tcW w:w="867" w:type="pct"/>
                  <w:vMerge w:val="continue"/>
                  <w:tcBorders>
                    <w:tl2br w:val="nil"/>
                    <w:tr2bl w:val="nil"/>
                  </w:tcBorders>
                  <w:vAlign w:val="center"/>
                </w:tcPr>
                <w:p w14:paraId="10EE6B40">
                  <w:pPr>
                    <w:pStyle w:val="23"/>
                    <w:jc w:val="center"/>
                    <w:rPr>
                      <w:rFonts w:hint="eastAsia" w:ascii="Times New Roman" w:hAnsi="Times New Roman"/>
                      <w:bCs/>
                      <w:color w:val="auto"/>
                      <w:sz w:val="18"/>
                      <w:szCs w:val="18"/>
                    </w:rPr>
                  </w:pPr>
                </w:p>
              </w:tc>
              <w:tc>
                <w:tcPr>
                  <w:tcW w:w="867" w:type="pct"/>
                  <w:tcBorders>
                    <w:tl2br w:val="nil"/>
                    <w:tr2bl w:val="nil"/>
                  </w:tcBorders>
                  <w:vAlign w:val="center"/>
                </w:tcPr>
                <w:p w14:paraId="70A81C55">
                  <w:pPr>
                    <w:pStyle w:val="23"/>
                    <w:jc w:val="center"/>
                    <w:rPr>
                      <w:rFonts w:ascii="Times New Roman" w:hAnsi="Times New Roman"/>
                      <w:bCs/>
                      <w:color w:val="auto"/>
                      <w:sz w:val="18"/>
                      <w:szCs w:val="18"/>
                    </w:rPr>
                  </w:pPr>
                  <w:r>
                    <w:rPr>
                      <w:rFonts w:hint="eastAsia" w:ascii="Times New Roman" w:hAnsi="Times New Roman"/>
                      <w:bCs/>
                      <w:color w:val="auto"/>
                      <w:sz w:val="18"/>
                      <w:szCs w:val="18"/>
                    </w:rPr>
                    <w:t>47.</w:t>
                  </w:r>
                  <w:r>
                    <w:rPr>
                      <w:rFonts w:hint="eastAsia" w:ascii="Times New Roman" w:hAnsi="Times New Roman"/>
                      <w:bCs/>
                      <w:color w:val="auto"/>
                      <w:sz w:val="18"/>
                      <w:szCs w:val="18"/>
                      <w:lang w:val="en-US" w:eastAsia="zh-CN"/>
                    </w:rPr>
                    <w:t>6</w:t>
                  </w:r>
                </w:p>
              </w:tc>
              <w:tc>
                <w:tcPr>
                  <w:tcW w:w="867" w:type="pct"/>
                  <w:vMerge w:val="continue"/>
                  <w:tcBorders>
                    <w:tl2br w:val="nil"/>
                    <w:tr2bl w:val="nil"/>
                  </w:tcBorders>
                  <w:vAlign w:val="center"/>
                </w:tcPr>
                <w:p w14:paraId="5EBD548D">
                  <w:pPr>
                    <w:jc w:val="center"/>
                    <w:rPr>
                      <w:rFonts w:ascii="Times New Roman" w:hAnsi="Times New Roman"/>
                      <w:bCs/>
                      <w:color w:val="auto"/>
                      <w:sz w:val="18"/>
                      <w:szCs w:val="18"/>
                    </w:rPr>
                  </w:pPr>
                </w:p>
              </w:tc>
            </w:tr>
            <w:tr w14:paraId="23F7B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0" w:type="pct"/>
                  <w:tcBorders>
                    <w:tl2br w:val="nil"/>
                    <w:tr2bl w:val="nil"/>
                  </w:tcBorders>
                  <w:vAlign w:val="center"/>
                </w:tcPr>
                <w:p w14:paraId="1B6B28C0">
                  <w:pPr>
                    <w:pStyle w:val="23"/>
                    <w:jc w:val="center"/>
                    <w:rPr>
                      <w:rFonts w:ascii="Times New Roman" w:hAnsi="Times New Roman"/>
                      <w:bCs/>
                      <w:color w:val="auto"/>
                      <w:sz w:val="18"/>
                      <w:szCs w:val="18"/>
                    </w:rPr>
                  </w:pPr>
                  <w:r>
                    <w:rPr>
                      <w:rFonts w:ascii="Times New Roman" w:hAnsi="Times New Roman"/>
                      <w:bCs/>
                      <w:color w:val="auto"/>
                      <w:sz w:val="18"/>
                      <w:szCs w:val="18"/>
                    </w:rPr>
                    <w:t>4</w:t>
                  </w:r>
                </w:p>
              </w:tc>
              <w:tc>
                <w:tcPr>
                  <w:tcW w:w="867" w:type="pct"/>
                  <w:tcBorders>
                    <w:tl2br w:val="nil"/>
                    <w:tr2bl w:val="nil"/>
                  </w:tcBorders>
                  <w:vAlign w:val="center"/>
                </w:tcPr>
                <w:p w14:paraId="56221741">
                  <w:pPr>
                    <w:jc w:val="center"/>
                    <w:rPr>
                      <w:bCs/>
                      <w:color w:val="auto"/>
                      <w:sz w:val="18"/>
                      <w:szCs w:val="18"/>
                    </w:rPr>
                  </w:pPr>
                  <w:r>
                    <w:rPr>
                      <w:bCs/>
                      <w:color w:val="auto"/>
                      <w:sz w:val="18"/>
                      <w:szCs w:val="18"/>
                    </w:rPr>
                    <w:t>北边界</w:t>
                  </w:r>
                </w:p>
              </w:tc>
              <w:tc>
                <w:tcPr>
                  <w:tcW w:w="867" w:type="pct"/>
                  <w:tcBorders>
                    <w:tl2br w:val="nil"/>
                    <w:tr2bl w:val="nil"/>
                  </w:tcBorders>
                  <w:vAlign w:val="center"/>
                </w:tcPr>
                <w:p w14:paraId="537E7BEB">
                  <w:pPr>
                    <w:pStyle w:val="23"/>
                    <w:jc w:val="center"/>
                    <w:rPr>
                      <w:rFonts w:ascii="Times New Roman" w:hAnsi="Times New Roman"/>
                      <w:bCs/>
                      <w:color w:val="auto"/>
                      <w:sz w:val="18"/>
                      <w:szCs w:val="18"/>
                    </w:rPr>
                  </w:pPr>
                  <w:r>
                    <w:rPr>
                      <w:rFonts w:hint="eastAsia" w:ascii="Times New Roman" w:hAnsi="Times New Roman"/>
                      <w:bCs/>
                      <w:color w:val="auto"/>
                      <w:sz w:val="18"/>
                      <w:szCs w:val="18"/>
                      <w:lang w:val="en-US" w:eastAsia="zh-CN"/>
                    </w:rPr>
                    <w:t>52</w:t>
                  </w:r>
                  <w:r>
                    <w:rPr>
                      <w:rFonts w:hint="eastAsia" w:ascii="Times New Roman" w:hAnsi="Times New Roman"/>
                      <w:bCs/>
                      <w:color w:val="auto"/>
                      <w:sz w:val="18"/>
                      <w:szCs w:val="18"/>
                    </w:rPr>
                    <w:t>.6</w:t>
                  </w:r>
                </w:p>
              </w:tc>
              <w:tc>
                <w:tcPr>
                  <w:tcW w:w="867" w:type="pct"/>
                  <w:vMerge w:val="continue"/>
                  <w:tcBorders>
                    <w:tl2br w:val="nil"/>
                    <w:tr2bl w:val="nil"/>
                  </w:tcBorders>
                  <w:vAlign w:val="center"/>
                </w:tcPr>
                <w:p w14:paraId="28FC7DCA">
                  <w:pPr>
                    <w:pStyle w:val="23"/>
                    <w:jc w:val="center"/>
                    <w:rPr>
                      <w:rFonts w:hint="eastAsia" w:ascii="Times New Roman" w:hAnsi="Times New Roman"/>
                      <w:bCs/>
                      <w:color w:val="auto"/>
                      <w:sz w:val="18"/>
                      <w:szCs w:val="18"/>
                    </w:rPr>
                  </w:pPr>
                </w:p>
              </w:tc>
              <w:tc>
                <w:tcPr>
                  <w:tcW w:w="867" w:type="pct"/>
                  <w:tcBorders>
                    <w:tl2br w:val="nil"/>
                    <w:tr2bl w:val="nil"/>
                  </w:tcBorders>
                  <w:vAlign w:val="center"/>
                </w:tcPr>
                <w:p w14:paraId="28DDFF76">
                  <w:pPr>
                    <w:pStyle w:val="23"/>
                    <w:jc w:val="center"/>
                    <w:rPr>
                      <w:rFonts w:ascii="Times New Roman" w:hAnsi="Times New Roman"/>
                      <w:bCs/>
                      <w:color w:val="auto"/>
                      <w:sz w:val="18"/>
                      <w:szCs w:val="18"/>
                    </w:rPr>
                  </w:pPr>
                  <w:r>
                    <w:rPr>
                      <w:rFonts w:hint="eastAsia" w:ascii="Times New Roman" w:hAnsi="Times New Roman"/>
                      <w:bCs/>
                      <w:color w:val="auto"/>
                      <w:sz w:val="18"/>
                      <w:szCs w:val="18"/>
                    </w:rPr>
                    <w:t>49.6</w:t>
                  </w:r>
                </w:p>
              </w:tc>
              <w:tc>
                <w:tcPr>
                  <w:tcW w:w="867" w:type="pct"/>
                  <w:vMerge w:val="continue"/>
                  <w:tcBorders>
                    <w:tl2br w:val="nil"/>
                    <w:tr2bl w:val="nil"/>
                  </w:tcBorders>
                  <w:vAlign w:val="center"/>
                </w:tcPr>
                <w:p w14:paraId="21909789">
                  <w:pPr>
                    <w:jc w:val="center"/>
                    <w:rPr>
                      <w:rFonts w:ascii="Times New Roman" w:hAnsi="Times New Roman"/>
                      <w:bCs/>
                      <w:color w:val="auto"/>
                      <w:sz w:val="18"/>
                      <w:szCs w:val="18"/>
                    </w:rPr>
                  </w:pPr>
                </w:p>
              </w:tc>
            </w:tr>
          </w:tbl>
          <w:p w14:paraId="77BFE56D">
            <w:pPr>
              <w:spacing w:line="360" w:lineRule="auto"/>
              <w:ind w:firstLine="420" w:firstLineChars="200"/>
              <w:rPr>
                <w:color w:val="auto"/>
                <w:szCs w:val="21"/>
              </w:rPr>
            </w:pPr>
            <w:r>
              <w:rPr>
                <w:color w:val="auto"/>
                <w:szCs w:val="21"/>
              </w:rPr>
              <w:t>由表</w:t>
            </w:r>
            <w:r>
              <w:rPr>
                <w:rFonts w:hint="eastAsia"/>
                <w:color w:val="auto"/>
                <w:szCs w:val="21"/>
              </w:rPr>
              <w:t>4</w:t>
            </w:r>
            <w:r>
              <w:rPr>
                <w:rFonts w:hint="eastAsia"/>
                <w:color w:val="auto"/>
                <w:szCs w:val="21"/>
                <w:lang w:val="en-US" w:eastAsia="zh-CN"/>
              </w:rPr>
              <w:t>.3</w:t>
            </w:r>
            <w:r>
              <w:rPr>
                <w:rFonts w:hint="eastAsia"/>
                <w:color w:val="auto"/>
                <w:szCs w:val="21"/>
              </w:rPr>
              <w:t>-</w:t>
            </w:r>
            <w:r>
              <w:rPr>
                <w:rFonts w:hint="eastAsia"/>
                <w:color w:val="auto"/>
                <w:szCs w:val="21"/>
                <w:lang w:val="en-US" w:eastAsia="zh-CN"/>
              </w:rPr>
              <w:t>3和图4-1</w:t>
            </w:r>
            <w:r>
              <w:rPr>
                <w:color w:val="auto"/>
                <w:szCs w:val="21"/>
              </w:rPr>
              <w:t>可看出，项目</w:t>
            </w:r>
            <w:r>
              <w:rPr>
                <w:rFonts w:hint="eastAsia"/>
                <w:color w:val="auto"/>
                <w:szCs w:val="21"/>
              </w:rPr>
              <w:t>昼</w:t>
            </w:r>
            <w:r>
              <w:rPr>
                <w:rFonts w:hint="eastAsia"/>
                <w:color w:val="auto"/>
                <w:szCs w:val="21"/>
                <w:lang w:val="en-US" w:eastAsia="zh-CN"/>
              </w:rPr>
              <w:t>夜间</w:t>
            </w:r>
            <w:r>
              <w:rPr>
                <w:color w:val="auto"/>
                <w:szCs w:val="21"/>
              </w:rPr>
              <w:t>厂界噪声未超过《工业企业厂界环境噪声排放标准》（GB12348-2008）中</w:t>
            </w:r>
            <w:r>
              <w:rPr>
                <w:rFonts w:hint="eastAsia"/>
                <w:color w:val="auto"/>
                <w:szCs w:val="21"/>
                <w:lang w:val="en-US" w:eastAsia="zh-CN"/>
              </w:rPr>
              <w:t>2</w:t>
            </w:r>
            <w:r>
              <w:rPr>
                <w:color w:val="auto"/>
                <w:szCs w:val="21"/>
              </w:rPr>
              <w:t>类标准限值要求</w:t>
            </w:r>
            <w:r>
              <w:rPr>
                <w:rFonts w:hint="eastAsia"/>
                <w:color w:val="auto"/>
                <w:szCs w:val="21"/>
                <w:lang w:eastAsia="zh-CN"/>
              </w:rPr>
              <w:t>，对周围声环境基本无影响</w:t>
            </w:r>
            <w:r>
              <w:rPr>
                <w:color w:val="auto"/>
                <w:szCs w:val="21"/>
              </w:rPr>
              <w:t>。</w:t>
            </w:r>
          </w:p>
          <w:p w14:paraId="3DF333DF">
            <w:pPr>
              <w:spacing w:line="360" w:lineRule="auto"/>
              <w:ind w:firstLine="420" w:firstLineChars="200"/>
              <w:rPr>
                <w:rFonts w:hint="eastAsia"/>
                <w:b/>
                <w:color w:val="auto"/>
                <w:szCs w:val="21"/>
                <w:lang w:val="en-US" w:eastAsia="zh-CN"/>
              </w:rPr>
            </w:pPr>
            <w:r>
              <w:rPr>
                <w:rFonts w:hint="eastAsia"/>
                <w:color w:val="auto"/>
                <w:szCs w:val="21"/>
                <w:lang w:eastAsia="zh-CN"/>
              </w:rPr>
              <w:t>根据调查，本项目所在区域处于</w:t>
            </w:r>
            <w:r>
              <w:rPr>
                <w:rFonts w:hint="eastAsia"/>
                <w:color w:val="auto"/>
                <w:szCs w:val="21"/>
                <w:lang w:val="en-US" w:eastAsia="zh-CN"/>
              </w:rPr>
              <w:t>云州区</w:t>
            </w:r>
            <w:r>
              <w:rPr>
                <w:rFonts w:hint="eastAsia"/>
                <w:color w:val="auto"/>
                <w:szCs w:val="21"/>
                <w:lang w:eastAsia="zh-CN"/>
              </w:rPr>
              <w:t>，南侧分布有村庄或居民区。</w:t>
            </w:r>
            <w:r>
              <w:rPr>
                <w:rFonts w:hint="eastAsia"/>
                <w:color w:val="auto"/>
                <w:szCs w:val="21"/>
                <w:lang w:val="en-US" w:eastAsia="zh-CN"/>
              </w:rPr>
              <w:t>本项目运输路线为主要沿园区内道路行驶，在严格按照本环评提出的防治措施后，运输过程中车辆禁鸣、限速行驶等，本项目运输过程对周围声环境的影响较小。</w:t>
            </w:r>
          </w:p>
          <w:p w14:paraId="2747E1B4">
            <w:pPr>
              <w:spacing w:line="360" w:lineRule="auto"/>
              <w:ind w:firstLine="413" w:firstLineChars="196"/>
              <w:rPr>
                <w:b/>
                <w:color w:val="auto"/>
                <w:szCs w:val="21"/>
              </w:rPr>
            </w:pPr>
            <w:r>
              <w:rPr>
                <w:rFonts w:hint="eastAsia"/>
                <w:b/>
                <w:color w:val="auto"/>
                <w:szCs w:val="21"/>
                <w:lang w:val="en-US" w:eastAsia="zh-CN"/>
              </w:rPr>
              <w:t>4.</w:t>
            </w:r>
            <w:r>
              <w:rPr>
                <w:b/>
                <w:color w:val="auto"/>
                <w:szCs w:val="21"/>
              </w:rPr>
              <w:t>4固体废物</w:t>
            </w:r>
          </w:p>
          <w:p w14:paraId="58A7CF85">
            <w:pPr>
              <w:widowControl/>
              <w:snapToGrid w:val="0"/>
              <w:spacing w:line="360" w:lineRule="auto"/>
              <w:ind w:firstLine="422" w:firstLineChars="200"/>
              <w:rPr>
                <w:rFonts w:hint="default"/>
                <w:b/>
                <w:bCs w:val="0"/>
                <w:color w:val="auto"/>
                <w:szCs w:val="21"/>
                <w:lang w:val="en-US" w:eastAsia="zh-CN"/>
              </w:rPr>
            </w:pPr>
            <w:r>
              <w:rPr>
                <w:rFonts w:hint="eastAsia"/>
                <w:b/>
                <w:bCs w:val="0"/>
                <w:color w:val="auto"/>
                <w:szCs w:val="21"/>
                <w:lang w:val="en-US" w:eastAsia="zh-CN"/>
              </w:rPr>
              <w:t>4.4.1固体废物产生及利用处置情况</w:t>
            </w:r>
          </w:p>
          <w:p w14:paraId="72205B56">
            <w:pPr>
              <w:widowControl/>
              <w:snapToGrid w:val="0"/>
              <w:spacing w:line="360" w:lineRule="auto"/>
              <w:ind w:firstLine="420" w:firstLineChars="200"/>
              <w:rPr>
                <w:rFonts w:hint="eastAsia"/>
                <w:bCs/>
                <w:color w:val="auto"/>
                <w:szCs w:val="21"/>
                <w:lang w:val="en-US" w:eastAsia="zh-CN"/>
              </w:rPr>
            </w:pPr>
            <w:r>
              <w:rPr>
                <w:rFonts w:hint="eastAsia"/>
                <w:bCs/>
                <w:color w:val="auto"/>
                <w:szCs w:val="21"/>
                <w:lang w:val="en-US" w:eastAsia="zh-CN"/>
              </w:rPr>
              <w:t>本项目营运期固体废物主要包括一般工业固废、危险废物和生活垃圾。</w:t>
            </w:r>
          </w:p>
          <w:p w14:paraId="6803F6DA">
            <w:pPr>
              <w:spacing w:line="360" w:lineRule="auto"/>
              <w:ind w:firstLine="420" w:firstLineChars="200"/>
              <w:rPr>
                <w:rFonts w:hint="eastAsia"/>
                <w:bCs/>
                <w:color w:val="auto"/>
                <w:szCs w:val="21"/>
                <w:lang w:val="en-US" w:eastAsia="zh-CN"/>
              </w:rPr>
            </w:pPr>
            <w:r>
              <w:rPr>
                <w:rFonts w:hint="eastAsia"/>
                <w:bCs/>
                <w:color w:val="auto"/>
                <w:szCs w:val="21"/>
                <w:lang w:val="en-US" w:eastAsia="zh-CN"/>
              </w:rPr>
              <w:t>（</w:t>
            </w:r>
            <w:r>
              <w:rPr>
                <w:rFonts w:hint="default"/>
                <w:bCs/>
                <w:color w:val="auto"/>
                <w:szCs w:val="21"/>
                <w:lang w:val="en-US" w:eastAsia="zh-CN"/>
              </w:rPr>
              <w:t>1</w:t>
            </w:r>
            <w:r>
              <w:rPr>
                <w:rFonts w:hint="eastAsia"/>
                <w:bCs/>
                <w:color w:val="auto"/>
                <w:szCs w:val="21"/>
                <w:lang w:val="en-US" w:eastAsia="zh-CN"/>
              </w:rPr>
              <w:t xml:space="preserve">）一般工业固体废物 </w:t>
            </w:r>
          </w:p>
          <w:p w14:paraId="7E50CB19">
            <w:pPr>
              <w:spacing w:line="360" w:lineRule="auto"/>
              <w:ind w:firstLine="420" w:firstLineChars="200"/>
              <w:rPr>
                <w:szCs w:val="21"/>
              </w:rPr>
            </w:pPr>
            <w:r>
              <w:rPr>
                <w:rFonts w:hint="eastAsia"/>
                <w:bCs/>
                <w:color w:val="auto"/>
                <w:szCs w:val="21"/>
                <w:lang w:val="en-US" w:eastAsia="zh-CN"/>
              </w:rPr>
              <w:t>①</w:t>
            </w:r>
            <w:r>
              <w:rPr>
                <w:rFonts w:hint="eastAsia"/>
                <w:szCs w:val="21"/>
              </w:rPr>
              <w:t>边角料</w:t>
            </w:r>
          </w:p>
          <w:p w14:paraId="0911BA75">
            <w:pPr>
              <w:spacing w:line="360" w:lineRule="auto"/>
              <w:ind w:firstLine="420" w:firstLineChars="200"/>
              <w:rPr>
                <w:szCs w:val="21"/>
              </w:rPr>
            </w:pPr>
            <w:r>
              <w:rPr>
                <w:rFonts w:hint="eastAsia"/>
                <w:szCs w:val="21"/>
              </w:rPr>
              <w:t>在</w:t>
            </w:r>
            <w:r>
              <w:rPr>
                <w:rFonts w:hint="eastAsia"/>
                <w:szCs w:val="21"/>
                <w:lang w:val="en-US" w:eastAsia="zh-CN"/>
              </w:rPr>
              <w:t>原材料加工、半成品表面处理</w:t>
            </w:r>
            <w:r>
              <w:rPr>
                <w:rFonts w:hint="eastAsia"/>
                <w:szCs w:val="21"/>
              </w:rPr>
              <w:t>过程中会产生一定的边角料，</w:t>
            </w:r>
            <w:r>
              <w:rPr>
                <w:rFonts w:hint="eastAsia"/>
                <w:szCs w:val="21"/>
                <w:lang w:val="en-US" w:eastAsia="zh-CN"/>
              </w:rPr>
              <w:t>企业产品成品率约为80%，原材料用量（木材料、砖石材料）合计为104500t/a，则边角料</w:t>
            </w:r>
            <w:r>
              <w:rPr>
                <w:rFonts w:hint="eastAsia"/>
                <w:szCs w:val="21"/>
              </w:rPr>
              <w:t>产生量约为</w:t>
            </w:r>
            <w:r>
              <w:rPr>
                <w:rFonts w:hint="eastAsia"/>
                <w:szCs w:val="21"/>
                <w:lang w:val="en-US" w:eastAsia="zh-CN"/>
              </w:rPr>
              <w:t>20900</w:t>
            </w:r>
            <w:r>
              <w:rPr>
                <w:rFonts w:hint="eastAsia"/>
                <w:szCs w:val="21"/>
              </w:rPr>
              <w:t>t/a，统一收集后可外售综合利用；</w:t>
            </w:r>
          </w:p>
          <w:p w14:paraId="28C1B63B">
            <w:pPr>
              <w:spacing w:line="360" w:lineRule="auto"/>
              <w:ind w:firstLine="420" w:firstLineChars="200"/>
              <w:rPr>
                <w:rFonts w:hint="default"/>
                <w:bCs/>
                <w:color w:val="auto"/>
                <w:szCs w:val="21"/>
                <w:lang w:val="en-US" w:eastAsia="zh-CN"/>
              </w:rPr>
            </w:pPr>
            <w:r>
              <w:rPr>
                <w:rFonts w:hint="eastAsia"/>
                <w:bCs/>
                <w:color w:val="auto"/>
                <w:szCs w:val="21"/>
                <w:lang w:val="en-US" w:eastAsia="zh-CN"/>
              </w:rPr>
              <w:t>②废渣废屑</w:t>
            </w:r>
          </w:p>
          <w:p w14:paraId="72E25A57">
            <w:pPr>
              <w:spacing w:line="360" w:lineRule="auto"/>
              <w:ind w:firstLine="420" w:firstLineChars="200"/>
              <w:rPr>
                <w:szCs w:val="21"/>
              </w:rPr>
            </w:pPr>
            <w:r>
              <w:rPr>
                <w:rFonts w:hint="eastAsia"/>
                <w:szCs w:val="21"/>
              </w:rPr>
              <w:t>在机加工过程中会产生一定量的废渣废屑，主要包括废木屑、废砖石</w:t>
            </w:r>
            <w:r>
              <w:rPr>
                <w:rFonts w:hint="eastAsia"/>
                <w:szCs w:val="21"/>
                <w:lang w:val="en-US" w:eastAsia="zh-CN"/>
              </w:rPr>
              <w:t>粉末</w:t>
            </w:r>
            <w:r>
              <w:rPr>
                <w:rFonts w:hint="eastAsia"/>
                <w:szCs w:val="21"/>
              </w:rPr>
              <w:t>等，产生量约为</w:t>
            </w:r>
            <w:r>
              <w:rPr>
                <w:rFonts w:hint="eastAsia"/>
                <w:szCs w:val="21"/>
                <w:lang w:val="en-US" w:eastAsia="zh-CN"/>
              </w:rPr>
              <w:t>原材料用量的0.01%，即10.45</w:t>
            </w:r>
            <w:r>
              <w:rPr>
                <w:rFonts w:hint="eastAsia"/>
                <w:szCs w:val="21"/>
              </w:rPr>
              <w:t>t/a，统一收集后可外售综合利用；</w:t>
            </w:r>
          </w:p>
          <w:p w14:paraId="121152F4">
            <w:pPr>
              <w:spacing w:line="360" w:lineRule="auto"/>
              <w:ind w:firstLine="420" w:firstLineChars="200"/>
              <w:rPr>
                <w:szCs w:val="21"/>
              </w:rPr>
            </w:pPr>
            <w:r>
              <w:rPr>
                <w:rFonts w:hint="eastAsia"/>
                <w:bCs/>
                <w:color w:val="auto"/>
                <w:szCs w:val="21"/>
                <w:lang w:val="en-US" w:eastAsia="zh-CN"/>
              </w:rPr>
              <w:t>③</w:t>
            </w:r>
            <w:r>
              <w:rPr>
                <w:rFonts w:hint="eastAsia"/>
                <w:szCs w:val="21"/>
              </w:rPr>
              <w:t>除尘灰</w:t>
            </w:r>
          </w:p>
          <w:p w14:paraId="79575692">
            <w:pPr>
              <w:spacing w:line="360" w:lineRule="auto"/>
              <w:ind w:firstLine="420" w:firstLineChars="200"/>
              <w:rPr>
                <w:szCs w:val="21"/>
              </w:rPr>
            </w:pPr>
            <w:r>
              <w:rPr>
                <w:rFonts w:hint="eastAsia"/>
                <w:szCs w:val="21"/>
              </w:rPr>
              <w:t>本项目在加工过程会产生大量的粉尘废气，经布袋除尘器收集处理，布袋捕集了一定量的除尘灰，主要成分为木屑颗粒物和砖石颗粒物，</w:t>
            </w:r>
            <w:r>
              <w:rPr>
                <w:rFonts w:hint="eastAsia"/>
                <w:szCs w:val="21"/>
                <w:lang w:val="en-US" w:eastAsia="zh-CN"/>
              </w:rPr>
              <w:t>经前文分析可计算处</w:t>
            </w:r>
            <w:r>
              <w:rPr>
                <w:rFonts w:hint="eastAsia"/>
                <w:szCs w:val="21"/>
              </w:rPr>
              <w:t>捕集量约为1</w:t>
            </w:r>
            <w:r>
              <w:rPr>
                <w:rFonts w:hint="eastAsia"/>
                <w:szCs w:val="21"/>
                <w:lang w:val="en-US" w:eastAsia="zh-CN"/>
              </w:rPr>
              <w:t>22.64</w:t>
            </w:r>
            <w:r>
              <w:rPr>
                <w:rFonts w:hint="eastAsia"/>
                <w:szCs w:val="21"/>
              </w:rPr>
              <w:t>t/a，</w:t>
            </w:r>
            <w:r>
              <w:rPr>
                <w:rFonts w:hint="eastAsia"/>
                <w:szCs w:val="21"/>
                <w:lang w:val="en-US" w:eastAsia="zh-CN"/>
              </w:rPr>
              <w:t>环评要求</w:t>
            </w:r>
            <w:r>
              <w:rPr>
                <w:rFonts w:hint="eastAsia"/>
                <w:szCs w:val="21"/>
              </w:rPr>
              <w:t>定期更换布袋，将收集到的除尘灰外售综合利用；</w:t>
            </w:r>
          </w:p>
          <w:p w14:paraId="3AFCC377">
            <w:pPr>
              <w:spacing w:line="360" w:lineRule="auto"/>
              <w:ind w:firstLine="420" w:firstLineChars="200"/>
              <w:rPr>
                <w:rFonts w:hint="eastAsia"/>
                <w:bCs/>
                <w:color w:val="auto"/>
                <w:szCs w:val="21"/>
                <w:lang w:val="en-US" w:eastAsia="zh-CN"/>
              </w:rPr>
            </w:pPr>
            <w:r>
              <w:rPr>
                <w:rFonts w:hint="eastAsia"/>
                <w:bCs/>
                <w:color w:val="auto"/>
                <w:szCs w:val="21"/>
                <w:lang w:val="en-US" w:eastAsia="zh-CN"/>
              </w:rPr>
              <w:t>④废滤袋：本项目布袋除尘器需用定期更换过滤布袋，更换下来的废布袋由厂家回收，再利用，不在本项目厂区内贮存，本项目布袋每年更换1次，产生量约为0.05t/a。</w:t>
            </w:r>
          </w:p>
          <w:p w14:paraId="28993EF8">
            <w:pPr>
              <w:spacing w:line="360" w:lineRule="auto"/>
              <w:ind w:firstLine="420" w:firstLineChars="200"/>
              <w:rPr>
                <w:szCs w:val="21"/>
              </w:rPr>
            </w:pPr>
            <w:r>
              <w:rPr>
                <w:rFonts w:hint="eastAsia"/>
                <w:bCs/>
                <w:color w:val="auto"/>
                <w:szCs w:val="21"/>
                <w:lang w:val="en-US" w:eastAsia="zh-CN"/>
              </w:rPr>
              <w:t>⑤</w:t>
            </w:r>
            <w:r>
              <w:rPr>
                <w:rFonts w:hint="eastAsia"/>
                <w:szCs w:val="21"/>
              </w:rPr>
              <w:t>沉渣</w:t>
            </w:r>
          </w:p>
          <w:p w14:paraId="5B95A3CC">
            <w:pPr>
              <w:spacing w:line="360" w:lineRule="auto"/>
              <w:ind w:firstLine="420" w:firstLineChars="200"/>
              <w:rPr>
                <w:rFonts w:hint="eastAsia"/>
                <w:szCs w:val="21"/>
              </w:rPr>
            </w:pPr>
            <w:r>
              <w:rPr>
                <w:rFonts w:hint="eastAsia"/>
                <w:szCs w:val="21"/>
                <w:lang w:val="en-US" w:eastAsia="zh-CN"/>
              </w:rPr>
              <w:t>砖石加工过程中采用湿式作业，加工过程中产生的颗粒物与水雾结合形成泥浆，经车间地面管渠收集后进入沉淀池内，沉淀池内会积累一定的沉渣</w:t>
            </w:r>
            <w:r>
              <w:rPr>
                <w:rFonts w:hint="eastAsia"/>
                <w:szCs w:val="21"/>
              </w:rPr>
              <w:t>，产生量约为</w:t>
            </w:r>
            <w:r>
              <w:rPr>
                <w:rFonts w:hint="eastAsia"/>
                <w:szCs w:val="21"/>
                <w:lang w:val="en-US" w:eastAsia="zh-CN"/>
              </w:rPr>
              <w:t>2.5</w:t>
            </w:r>
            <w:r>
              <w:rPr>
                <w:rFonts w:hint="eastAsia"/>
                <w:szCs w:val="21"/>
              </w:rPr>
              <w:t>t/a，</w:t>
            </w:r>
            <w:r>
              <w:rPr>
                <w:rFonts w:hint="eastAsia"/>
                <w:szCs w:val="21"/>
                <w:lang w:val="en-US" w:eastAsia="zh-CN"/>
              </w:rPr>
              <w:t>环评要求</w:t>
            </w:r>
            <w:r>
              <w:rPr>
                <w:rFonts w:hint="eastAsia"/>
                <w:szCs w:val="21"/>
              </w:rPr>
              <w:t>定期清理，统一外售综合利用。</w:t>
            </w:r>
          </w:p>
          <w:p w14:paraId="5EAECF0B">
            <w:pPr>
              <w:spacing w:line="360" w:lineRule="auto"/>
              <w:ind w:firstLine="420" w:firstLineChars="200"/>
              <w:rPr>
                <w:rFonts w:hint="eastAsia"/>
                <w:bCs/>
                <w:color w:val="auto"/>
                <w:szCs w:val="21"/>
                <w:lang w:val="en-US" w:eastAsia="zh-CN"/>
              </w:rPr>
            </w:pPr>
            <w:r>
              <w:rPr>
                <w:rFonts w:hint="eastAsia" w:ascii="仿宋" w:hAnsi="仿宋" w:eastAsia="仿宋" w:cs="仿宋"/>
                <w:color w:val="auto"/>
                <w:lang w:val="en-US" w:eastAsia="zh-CN"/>
              </w:rPr>
              <w:t>⑥</w:t>
            </w:r>
            <w:r>
              <w:rPr>
                <w:rFonts w:hint="eastAsia" w:cs="Times New Roman"/>
                <w:color w:val="auto"/>
                <w:lang w:val="en-US" w:eastAsia="zh-CN"/>
              </w:rPr>
              <w:t>漆渣</w:t>
            </w:r>
            <w:r>
              <w:rPr>
                <w:rFonts w:hint="eastAsia" w:ascii="Times New Roman" w:hAnsi="Times New Roman" w:eastAsia="宋体" w:cs="Times New Roman"/>
                <w:color w:val="auto"/>
                <w:lang w:val="en-US" w:eastAsia="zh-CN"/>
              </w:rPr>
              <w:t>：</w:t>
            </w:r>
            <w:r>
              <w:rPr>
                <w:rFonts w:hint="eastAsia"/>
                <w:szCs w:val="21"/>
              </w:rPr>
              <w:t>漆渣产生量为</w:t>
            </w:r>
            <w:r>
              <w:rPr>
                <w:szCs w:val="21"/>
              </w:rPr>
              <w:t>0.2t/a</w:t>
            </w:r>
            <w:r>
              <w:rPr>
                <w:rFonts w:hint="eastAsia"/>
                <w:szCs w:val="21"/>
                <w:lang w:val="en-US" w:eastAsia="zh-CN"/>
              </w:rPr>
              <w:t>，</w:t>
            </w:r>
            <w:r>
              <w:rPr>
                <w:rFonts w:hint="eastAsia"/>
                <w:szCs w:val="21"/>
              </w:rPr>
              <w:t>根据</w:t>
            </w:r>
            <w:r>
              <w:rPr>
                <w:rFonts w:hint="eastAsia"/>
                <w:szCs w:val="21"/>
                <w:lang w:val="en-US" w:eastAsia="zh-CN"/>
              </w:rPr>
              <w:t>工程</w:t>
            </w:r>
            <w:r>
              <w:rPr>
                <w:rFonts w:hint="eastAsia"/>
                <w:szCs w:val="21"/>
              </w:rPr>
              <w:t>分析，</w:t>
            </w:r>
            <w:r>
              <w:rPr>
                <w:rFonts w:hint="eastAsia"/>
                <w:szCs w:val="21"/>
                <w:lang w:val="en-US" w:eastAsia="zh-CN"/>
              </w:rPr>
              <w:t>本项目使用水性漆，属于一般工业固废，不</w:t>
            </w:r>
            <w:r>
              <w:rPr>
                <w:rFonts w:hint="eastAsia"/>
                <w:szCs w:val="21"/>
              </w:rPr>
              <w:t>属于《国家危险废物名录》（</w:t>
            </w:r>
            <w:r>
              <w:rPr>
                <w:szCs w:val="21"/>
              </w:rPr>
              <w:t>202</w:t>
            </w:r>
            <w:r>
              <w:rPr>
                <w:rFonts w:hint="eastAsia"/>
                <w:szCs w:val="21"/>
                <w:lang w:val="en-US" w:eastAsia="zh-CN"/>
              </w:rPr>
              <w:t>5</w:t>
            </w:r>
            <w:r>
              <w:rPr>
                <w:rFonts w:hint="eastAsia"/>
                <w:szCs w:val="21"/>
              </w:rPr>
              <w:t>年版）</w:t>
            </w:r>
            <w:r>
              <w:rPr>
                <w:szCs w:val="21"/>
              </w:rPr>
              <w:t>HW12</w:t>
            </w:r>
            <w:r>
              <w:rPr>
                <w:rFonts w:hint="eastAsia"/>
                <w:szCs w:val="21"/>
                <w:lang w:eastAsia="zh-CN"/>
              </w:rPr>
              <w:t>，</w:t>
            </w:r>
            <w:r>
              <w:rPr>
                <w:szCs w:val="21"/>
              </w:rPr>
              <w:t>900-252-12</w:t>
            </w:r>
            <w:r>
              <w:rPr>
                <w:rFonts w:hint="eastAsia"/>
                <w:szCs w:val="21"/>
                <w:lang w:val="en-US" w:eastAsia="zh-CN"/>
              </w:rPr>
              <w:t>中定义的漆渣，环评要求漆渣需要经第三方根据</w:t>
            </w:r>
            <w:r>
              <w:rPr>
                <w:rFonts w:hint="eastAsia"/>
                <w:bCs/>
                <w:color w:val="auto"/>
                <w:szCs w:val="21"/>
                <w:lang w:val="en-US" w:eastAsia="zh-CN"/>
              </w:rPr>
              <w:t>危险特性鉴别（GB5085、HJ298），如检出浸出毒性、腐蚀性等任一危险特性，就按危险废物管理；无危险特性，按一般工业固体废物管理，定期清理并外售于建材企业综合利用。</w:t>
            </w:r>
          </w:p>
          <w:p w14:paraId="77016E9A">
            <w:pPr>
              <w:spacing w:line="360" w:lineRule="auto"/>
              <w:ind w:firstLine="420" w:firstLineChars="200"/>
              <w:rPr>
                <w:rFonts w:hint="default"/>
                <w:bCs/>
                <w:color w:val="auto"/>
                <w:szCs w:val="21"/>
                <w:lang w:val="en-US" w:eastAsia="zh-CN"/>
              </w:rPr>
            </w:pPr>
            <w:r>
              <w:rPr>
                <w:rFonts w:hint="eastAsia" w:ascii="仿宋" w:hAnsi="仿宋" w:eastAsia="仿宋" w:cs="仿宋"/>
                <w:bCs/>
                <w:color w:val="auto"/>
                <w:szCs w:val="21"/>
                <w:lang w:val="en-US" w:eastAsia="zh-CN"/>
              </w:rPr>
              <w:t>⑦</w:t>
            </w:r>
            <w:r>
              <w:rPr>
                <w:rFonts w:hint="eastAsia"/>
                <w:bCs/>
                <w:color w:val="auto"/>
                <w:szCs w:val="21"/>
                <w:lang w:val="en-US" w:eastAsia="zh-CN"/>
              </w:rPr>
              <w:t>漆桶：本项目使用的油漆均为水性漆，会产生一定的漆桶，产生量约为0.3t/a，由水性漆供货厂家回收利用。</w:t>
            </w:r>
          </w:p>
          <w:p w14:paraId="2D0A45A2">
            <w:pPr>
              <w:spacing w:line="360" w:lineRule="auto"/>
              <w:ind w:firstLine="420" w:firstLineChars="200"/>
              <w:rPr>
                <w:rFonts w:hint="eastAsia"/>
                <w:bCs/>
                <w:color w:val="auto"/>
                <w:szCs w:val="21"/>
                <w:lang w:val="en-US" w:eastAsia="zh-CN"/>
              </w:rPr>
            </w:pPr>
            <w:r>
              <w:rPr>
                <w:rFonts w:hint="eastAsia"/>
                <w:bCs/>
                <w:color w:val="auto"/>
                <w:szCs w:val="21"/>
                <w:lang w:val="en-US" w:eastAsia="zh-CN"/>
              </w:rPr>
              <w:t>（2）危险废物</w:t>
            </w:r>
          </w:p>
          <w:p w14:paraId="716FEB96">
            <w:pPr>
              <w:spacing w:line="360" w:lineRule="auto"/>
              <w:ind w:firstLine="420" w:firstLineChars="200"/>
              <w:rPr>
                <w:rFonts w:hint="default"/>
                <w:bCs/>
                <w:color w:val="auto"/>
                <w:szCs w:val="21"/>
                <w:lang w:val="en-US" w:eastAsia="zh-CN"/>
              </w:rPr>
            </w:pPr>
            <w:r>
              <w:rPr>
                <w:rFonts w:hint="eastAsia"/>
                <w:bCs/>
                <w:color w:val="auto"/>
                <w:szCs w:val="21"/>
                <w:lang w:val="en-US" w:eastAsia="zh-CN"/>
              </w:rPr>
              <w:t>①废矿物油、废油桶：本项目设置有多种运行加工设备，需要定期维护保养以及检修，过程中会产生一定的废矿物油、废油桶等。</w:t>
            </w:r>
          </w:p>
          <w:p w14:paraId="7F05D0FE">
            <w:pPr>
              <w:spacing w:line="360" w:lineRule="auto"/>
              <w:ind w:firstLine="420" w:firstLineChars="200"/>
              <w:rPr>
                <w:rFonts w:hint="eastAsia"/>
                <w:bCs/>
                <w:color w:val="auto"/>
                <w:szCs w:val="21"/>
                <w:lang w:eastAsia="zh-CN"/>
              </w:rPr>
            </w:pPr>
            <w:r>
              <w:rPr>
                <w:rFonts w:hint="eastAsia"/>
                <w:bCs/>
                <w:color w:val="auto"/>
                <w:szCs w:val="21"/>
              </w:rPr>
              <w:t>其中废</w:t>
            </w:r>
            <w:r>
              <w:rPr>
                <w:rFonts w:hint="eastAsia"/>
                <w:bCs/>
                <w:color w:val="auto"/>
                <w:szCs w:val="21"/>
                <w:lang w:val="en-US" w:eastAsia="zh-CN"/>
              </w:rPr>
              <w:t>矿物</w:t>
            </w:r>
            <w:r>
              <w:rPr>
                <w:rFonts w:hint="eastAsia"/>
                <w:bCs/>
                <w:color w:val="auto"/>
                <w:szCs w:val="21"/>
              </w:rPr>
              <w:t>油产生量约为</w:t>
            </w:r>
            <w:r>
              <w:rPr>
                <w:rFonts w:hint="eastAsia"/>
                <w:bCs/>
                <w:color w:val="auto"/>
                <w:szCs w:val="21"/>
                <w:lang w:val="en-US" w:eastAsia="zh-CN"/>
              </w:rPr>
              <w:t>矿物油（润滑油）使用量的10%，本项目维修保养矿物油（润滑油）使用量约为5t/a，废矿物油产生量约为使用量的10%，则废矿物油产生量约为</w:t>
            </w:r>
            <w:r>
              <w:rPr>
                <w:rFonts w:hint="eastAsia"/>
                <w:bCs/>
                <w:color w:val="auto"/>
                <w:szCs w:val="21"/>
              </w:rPr>
              <w:t xml:space="preserve"> 0.</w:t>
            </w:r>
            <w:r>
              <w:rPr>
                <w:rFonts w:hint="eastAsia"/>
                <w:bCs/>
                <w:color w:val="auto"/>
                <w:szCs w:val="21"/>
                <w:lang w:val="en-US" w:eastAsia="zh-CN"/>
              </w:rPr>
              <w:t>5</w:t>
            </w:r>
            <w:r>
              <w:rPr>
                <w:rFonts w:hint="eastAsia"/>
                <w:bCs/>
                <w:color w:val="auto"/>
                <w:szCs w:val="21"/>
              </w:rPr>
              <w:t>t/a</w:t>
            </w:r>
            <w:r>
              <w:rPr>
                <w:rFonts w:hint="eastAsia"/>
                <w:bCs/>
                <w:color w:val="auto"/>
                <w:szCs w:val="21"/>
                <w:lang w:eastAsia="zh-CN"/>
              </w:rPr>
              <w:t>；</w:t>
            </w:r>
          </w:p>
          <w:p w14:paraId="12E3FE5B">
            <w:pPr>
              <w:spacing w:line="360" w:lineRule="auto"/>
              <w:ind w:firstLine="420" w:firstLineChars="200"/>
              <w:rPr>
                <w:rFonts w:hint="eastAsia"/>
                <w:bCs/>
                <w:color w:val="auto"/>
                <w:szCs w:val="21"/>
                <w:lang w:val="en-US" w:eastAsia="zh-CN"/>
              </w:rPr>
            </w:pPr>
            <w:r>
              <w:rPr>
                <w:rFonts w:hint="eastAsia"/>
                <w:bCs/>
                <w:color w:val="auto"/>
                <w:szCs w:val="21"/>
              </w:rPr>
              <w:t>废油桶</w:t>
            </w:r>
            <w:r>
              <w:rPr>
                <w:rFonts w:hint="eastAsia"/>
                <w:bCs/>
                <w:color w:val="auto"/>
                <w:szCs w:val="21"/>
                <w:lang w:val="en-US" w:eastAsia="zh-CN"/>
              </w:rPr>
              <w:t>包括维修保养使用矿物油的废油桶，其中单个钢制油桶重量约为20kg，矿物油采用200kg/桶装，废油桶产生约25个，废油桶</w:t>
            </w:r>
            <w:r>
              <w:rPr>
                <w:rFonts w:hint="eastAsia"/>
                <w:bCs/>
                <w:color w:val="auto"/>
                <w:szCs w:val="21"/>
              </w:rPr>
              <w:t>产生量约为</w:t>
            </w:r>
            <w:r>
              <w:rPr>
                <w:rFonts w:hint="eastAsia"/>
                <w:bCs/>
                <w:color w:val="auto"/>
                <w:szCs w:val="21"/>
                <w:lang w:val="en-US" w:eastAsia="zh-CN"/>
              </w:rPr>
              <w:t>0.5</w:t>
            </w:r>
            <w:r>
              <w:rPr>
                <w:rFonts w:hint="eastAsia"/>
                <w:bCs/>
                <w:color w:val="auto"/>
                <w:szCs w:val="21"/>
              </w:rPr>
              <w:t>t/a</w:t>
            </w:r>
            <w:r>
              <w:rPr>
                <w:rFonts w:hint="eastAsia"/>
                <w:bCs/>
                <w:color w:val="auto"/>
                <w:szCs w:val="21"/>
                <w:lang w:val="en-US" w:eastAsia="zh-CN"/>
              </w:rPr>
              <w:t>；</w:t>
            </w:r>
          </w:p>
          <w:p w14:paraId="28719272">
            <w:pPr>
              <w:spacing w:line="360" w:lineRule="auto"/>
              <w:ind w:firstLine="420" w:firstLineChars="200"/>
              <w:rPr>
                <w:rFonts w:hint="eastAsia"/>
                <w:bCs/>
                <w:color w:val="auto"/>
                <w:szCs w:val="21"/>
                <w:lang w:val="en-US" w:eastAsia="zh-CN"/>
              </w:rPr>
            </w:pPr>
            <w:r>
              <w:rPr>
                <w:rFonts w:hint="eastAsia"/>
                <w:szCs w:val="21"/>
                <w:lang w:val="en-US" w:eastAsia="zh-CN"/>
              </w:rPr>
              <w:t>废矿物油和废油桶经</w:t>
            </w:r>
            <w:r>
              <w:rPr>
                <w:rFonts w:hint="eastAsia"/>
                <w:szCs w:val="21"/>
              </w:rPr>
              <w:t>收集后暂存于危废</w:t>
            </w:r>
            <w:r>
              <w:rPr>
                <w:rFonts w:hint="eastAsia"/>
                <w:szCs w:val="21"/>
                <w:lang w:val="en-US" w:eastAsia="zh-CN"/>
              </w:rPr>
              <w:t>贮存库</w:t>
            </w:r>
            <w:r>
              <w:rPr>
                <w:rFonts w:hint="eastAsia"/>
                <w:szCs w:val="21"/>
              </w:rPr>
              <w:t>，定期委托</w:t>
            </w:r>
            <w:r>
              <w:rPr>
                <w:rFonts w:hint="eastAsia"/>
                <w:szCs w:val="21"/>
                <w:lang w:val="en-US" w:eastAsia="zh-CN"/>
              </w:rPr>
              <w:t>有</w:t>
            </w:r>
            <w:r>
              <w:rPr>
                <w:rFonts w:hint="eastAsia"/>
                <w:szCs w:val="21"/>
              </w:rPr>
              <w:t>资质单位处理处置。</w:t>
            </w:r>
          </w:p>
          <w:p w14:paraId="38144BB8">
            <w:pPr>
              <w:spacing w:line="360" w:lineRule="auto"/>
              <w:ind w:firstLine="420" w:firstLineChars="200"/>
              <w:rPr>
                <w:szCs w:val="21"/>
              </w:rPr>
            </w:pPr>
            <w:r>
              <w:rPr>
                <w:rFonts w:hint="eastAsia"/>
                <w:bCs/>
                <w:color w:val="auto"/>
                <w:szCs w:val="21"/>
                <w:lang w:val="en-US" w:eastAsia="zh-CN"/>
              </w:rPr>
              <w:t>②废催化剂</w:t>
            </w:r>
            <w:r>
              <w:rPr>
                <w:rFonts w:hint="eastAsia" w:ascii="Times New Roman" w:hAnsi="Times New Roman" w:eastAsia="宋体" w:cs="Times New Roman"/>
                <w:color w:val="auto"/>
                <w:lang w:val="en-US" w:eastAsia="zh-CN"/>
              </w:rPr>
              <w:t>：</w:t>
            </w:r>
            <w:r>
              <w:rPr>
                <w:rFonts w:hint="eastAsia"/>
                <w:szCs w:val="21"/>
              </w:rPr>
              <w:t>项目</w:t>
            </w:r>
            <w:r>
              <w:rPr>
                <w:rFonts w:hint="eastAsia"/>
                <w:szCs w:val="21"/>
                <w:lang w:val="en-US" w:eastAsia="zh-CN"/>
              </w:rPr>
              <w:t>设置一套</w:t>
            </w:r>
            <w:r>
              <w:rPr>
                <w:rFonts w:hint="eastAsia"/>
                <w:szCs w:val="21"/>
              </w:rPr>
              <w:t>“</w:t>
            </w:r>
            <w:r>
              <w:rPr>
                <w:rFonts w:hint="eastAsia"/>
                <w:szCs w:val="21"/>
                <w:lang w:eastAsia="zh-CN"/>
              </w:rPr>
              <w:t>干式过滤+活性炭吸附+CO催化燃烧</w:t>
            </w:r>
            <w:r>
              <w:rPr>
                <w:rFonts w:hint="eastAsia"/>
                <w:szCs w:val="21"/>
              </w:rPr>
              <w:t>”</w:t>
            </w:r>
            <w:r>
              <w:rPr>
                <w:rFonts w:hint="eastAsia"/>
                <w:szCs w:val="21"/>
                <w:lang w:eastAsia="zh-CN"/>
              </w:rPr>
              <w:t>，</w:t>
            </w:r>
            <w:r>
              <w:rPr>
                <w:rFonts w:hint="eastAsia"/>
                <w:szCs w:val="21"/>
              </w:rPr>
              <w:t>催化剂为</w:t>
            </w:r>
            <w:r>
              <w:rPr>
                <w:szCs w:val="21"/>
              </w:rPr>
              <w:t>0.2m</w:t>
            </w:r>
            <w:r>
              <w:rPr>
                <w:szCs w:val="21"/>
                <w:vertAlign w:val="superscript"/>
              </w:rPr>
              <w:t>3</w:t>
            </w:r>
            <w:r>
              <w:rPr>
                <w:rFonts w:hint="eastAsia"/>
                <w:szCs w:val="21"/>
              </w:rPr>
              <w:t>，设计使用时间为</w:t>
            </w:r>
            <w:r>
              <w:rPr>
                <w:szCs w:val="21"/>
              </w:rPr>
              <w:t>6000h</w:t>
            </w:r>
            <w:r>
              <w:rPr>
                <w:rFonts w:hint="eastAsia"/>
                <w:szCs w:val="21"/>
              </w:rPr>
              <w:t>，项目喷漆运行时间</w:t>
            </w:r>
            <w:r>
              <w:rPr>
                <w:rFonts w:hint="eastAsia"/>
                <w:szCs w:val="21"/>
                <w:lang w:val="en-US" w:eastAsia="zh-CN"/>
              </w:rPr>
              <w:t>15</w:t>
            </w:r>
            <w:r>
              <w:rPr>
                <w:szCs w:val="21"/>
              </w:rPr>
              <w:t>00h</w:t>
            </w:r>
            <w:r>
              <w:rPr>
                <w:rFonts w:hint="eastAsia"/>
                <w:szCs w:val="21"/>
                <w:lang w:val="en-US" w:eastAsia="zh-CN"/>
              </w:rPr>
              <w:t>/a</w:t>
            </w:r>
            <w:r>
              <w:rPr>
                <w:rFonts w:hint="eastAsia"/>
                <w:szCs w:val="21"/>
              </w:rPr>
              <w:t>，则废催化剂产生量为</w:t>
            </w:r>
            <w:r>
              <w:rPr>
                <w:szCs w:val="21"/>
              </w:rPr>
              <w:t>0.2m</w:t>
            </w:r>
            <w:r>
              <w:rPr>
                <w:szCs w:val="21"/>
                <w:vertAlign w:val="superscript"/>
              </w:rPr>
              <w:t>3</w:t>
            </w:r>
            <w:r>
              <w:rPr>
                <w:szCs w:val="21"/>
              </w:rPr>
              <w:t>/2a</w:t>
            </w:r>
            <w:r>
              <w:rPr>
                <w:rFonts w:hint="eastAsia"/>
                <w:szCs w:val="21"/>
              </w:rPr>
              <w:t>，约为0.</w:t>
            </w:r>
            <w:r>
              <w:rPr>
                <w:rFonts w:hint="eastAsia"/>
                <w:szCs w:val="21"/>
                <w:lang w:val="en-US" w:eastAsia="zh-CN"/>
              </w:rPr>
              <w:t>3</w:t>
            </w:r>
            <w:r>
              <w:rPr>
                <w:rFonts w:hint="eastAsia"/>
                <w:szCs w:val="21"/>
              </w:rPr>
              <w:t>t/</w:t>
            </w:r>
            <w:r>
              <w:rPr>
                <w:rFonts w:hint="eastAsia"/>
                <w:szCs w:val="21"/>
                <w:lang w:val="en-US" w:eastAsia="zh-CN"/>
              </w:rPr>
              <w:t>2</w:t>
            </w:r>
            <w:r>
              <w:rPr>
                <w:rFonts w:hint="eastAsia"/>
                <w:szCs w:val="21"/>
              </w:rPr>
              <w:t>a。属于《国家危险废物名录》（</w:t>
            </w:r>
            <w:r>
              <w:rPr>
                <w:szCs w:val="21"/>
              </w:rPr>
              <w:t>202</w:t>
            </w:r>
            <w:r>
              <w:rPr>
                <w:rFonts w:hint="eastAsia"/>
                <w:szCs w:val="21"/>
                <w:lang w:val="en-US" w:eastAsia="zh-CN"/>
              </w:rPr>
              <w:t>5</w:t>
            </w:r>
            <w:r>
              <w:rPr>
                <w:rFonts w:hint="eastAsia"/>
                <w:szCs w:val="21"/>
              </w:rPr>
              <w:t>年版）</w:t>
            </w:r>
            <w:r>
              <w:rPr>
                <w:szCs w:val="21"/>
              </w:rPr>
              <w:t>HW50</w:t>
            </w:r>
            <w:r>
              <w:rPr>
                <w:rFonts w:hint="eastAsia"/>
                <w:szCs w:val="21"/>
              </w:rPr>
              <w:t>废催化剂，其废物代码：</w:t>
            </w:r>
            <w:r>
              <w:rPr>
                <w:szCs w:val="21"/>
              </w:rPr>
              <w:t>900-048-50</w:t>
            </w:r>
            <w:r>
              <w:rPr>
                <w:rFonts w:hint="eastAsia"/>
                <w:szCs w:val="21"/>
              </w:rPr>
              <w:t>，收集后暂存于危废</w:t>
            </w:r>
            <w:r>
              <w:rPr>
                <w:rFonts w:hint="eastAsia"/>
                <w:szCs w:val="21"/>
                <w:lang w:val="en-US" w:eastAsia="zh-CN"/>
              </w:rPr>
              <w:t>贮存库</w:t>
            </w:r>
            <w:r>
              <w:rPr>
                <w:rFonts w:hint="eastAsia"/>
                <w:szCs w:val="21"/>
              </w:rPr>
              <w:t>，定期委托</w:t>
            </w:r>
            <w:r>
              <w:rPr>
                <w:rFonts w:hint="eastAsia"/>
                <w:szCs w:val="21"/>
                <w:lang w:val="en-US" w:eastAsia="zh-CN"/>
              </w:rPr>
              <w:t>有</w:t>
            </w:r>
            <w:r>
              <w:rPr>
                <w:rFonts w:hint="eastAsia"/>
                <w:szCs w:val="21"/>
              </w:rPr>
              <w:t>资质单位处理处置。</w:t>
            </w:r>
          </w:p>
          <w:p w14:paraId="68F530D9">
            <w:pPr>
              <w:spacing w:line="360" w:lineRule="auto"/>
              <w:ind w:firstLine="420" w:firstLineChars="200"/>
              <w:rPr>
                <w:rFonts w:hint="eastAsia"/>
                <w:bCs/>
                <w:color w:val="auto"/>
                <w:szCs w:val="21"/>
                <w:lang w:val="en-US" w:eastAsia="zh-CN"/>
              </w:rPr>
            </w:pPr>
            <w:r>
              <w:rPr>
                <w:rFonts w:hint="eastAsia"/>
                <w:bCs/>
                <w:color w:val="auto"/>
                <w:szCs w:val="21"/>
                <w:lang w:val="en-US" w:eastAsia="zh-CN"/>
              </w:rPr>
              <w:t>③废过滤棉</w:t>
            </w:r>
          </w:p>
          <w:p w14:paraId="1C32DD0C">
            <w:pPr>
              <w:spacing w:line="360" w:lineRule="auto"/>
              <w:ind w:firstLine="420" w:firstLineChars="200"/>
              <w:rPr>
                <w:rFonts w:hint="eastAsia"/>
                <w:szCs w:val="21"/>
              </w:rPr>
            </w:pPr>
            <w:r>
              <w:rPr>
                <w:rFonts w:hint="eastAsia"/>
                <w:szCs w:val="21"/>
              </w:rPr>
              <w:t>项目</w:t>
            </w:r>
            <w:r>
              <w:rPr>
                <w:rFonts w:hint="eastAsia"/>
                <w:szCs w:val="21"/>
                <w:lang w:val="en-US" w:eastAsia="zh-CN"/>
              </w:rPr>
              <w:t>设置一套</w:t>
            </w:r>
            <w:r>
              <w:rPr>
                <w:rFonts w:hint="eastAsia"/>
                <w:szCs w:val="21"/>
              </w:rPr>
              <w:t>“</w:t>
            </w:r>
            <w:r>
              <w:rPr>
                <w:rFonts w:hint="eastAsia"/>
                <w:szCs w:val="21"/>
                <w:lang w:eastAsia="zh-CN"/>
              </w:rPr>
              <w:t>干式过滤+活性炭吸附+CO催化燃烧</w:t>
            </w:r>
            <w:r>
              <w:rPr>
                <w:rFonts w:hint="eastAsia"/>
                <w:szCs w:val="21"/>
              </w:rPr>
              <w:t>”</w:t>
            </w:r>
            <w:r>
              <w:rPr>
                <w:rFonts w:hint="eastAsia"/>
                <w:szCs w:val="21"/>
                <w:lang w:eastAsia="zh-CN"/>
              </w:rPr>
              <w:t>，</w:t>
            </w:r>
            <w:r>
              <w:rPr>
                <w:rFonts w:hint="eastAsia"/>
                <w:szCs w:val="21"/>
              </w:rPr>
              <w:t>废过滤棉产生量为</w:t>
            </w:r>
            <w:r>
              <w:rPr>
                <w:szCs w:val="21"/>
              </w:rPr>
              <w:t>0.</w:t>
            </w:r>
            <w:r>
              <w:rPr>
                <w:rFonts w:hint="eastAsia"/>
                <w:szCs w:val="21"/>
                <w:lang w:val="en-US" w:eastAsia="zh-CN"/>
              </w:rPr>
              <w:t>02</w:t>
            </w:r>
            <w:r>
              <w:rPr>
                <w:szCs w:val="21"/>
              </w:rPr>
              <w:t>t/a</w:t>
            </w:r>
            <w:r>
              <w:rPr>
                <w:rFonts w:hint="eastAsia"/>
                <w:szCs w:val="21"/>
              </w:rPr>
              <w:t>。过滤棉属于《国家危险废物名录》（</w:t>
            </w:r>
            <w:r>
              <w:rPr>
                <w:szCs w:val="21"/>
              </w:rPr>
              <w:t>202</w:t>
            </w:r>
            <w:r>
              <w:rPr>
                <w:rFonts w:hint="eastAsia"/>
                <w:szCs w:val="21"/>
                <w:lang w:val="en-US" w:eastAsia="zh-CN"/>
              </w:rPr>
              <w:t>5</w:t>
            </w:r>
            <w:r>
              <w:rPr>
                <w:rFonts w:hint="eastAsia"/>
                <w:szCs w:val="21"/>
              </w:rPr>
              <w:t>年版）</w:t>
            </w:r>
            <w:r>
              <w:rPr>
                <w:szCs w:val="21"/>
              </w:rPr>
              <w:t>HW49</w:t>
            </w:r>
            <w:r>
              <w:rPr>
                <w:rFonts w:hint="eastAsia"/>
                <w:szCs w:val="21"/>
              </w:rPr>
              <w:t>其他废物，收集后暂存于危废</w:t>
            </w:r>
            <w:r>
              <w:rPr>
                <w:rFonts w:hint="eastAsia"/>
                <w:szCs w:val="21"/>
                <w:lang w:val="en-US" w:eastAsia="zh-CN"/>
              </w:rPr>
              <w:t>贮存库</w:t>
            </w:r>
            <w:r>
              <w:rPr>
                <w:rFonts w:hint="eastAsia"/>
                <w:szCs w:val="21"/>
              </w:rPr>
              <w:t>，定期委托</w:t>
            </w:r>
            <w:r>
              <w:rPr>
                <w:rFonts w:hint="eastAsia"/>
                <w:szCs w:val="21"/>
                <w:lang w:val="en-US" w:eastAsia="zh-CN"/>
              </w:rPr>
              <w:t>有</w:t>
            </w:r>
            <w:r>
              <w:rPr>
                <w:rFonts w:hint="eastAsia"/>
                <w:szCs w:val="21"/>
              </w:rPr>
              <w:t>资质单位处理处置。</w:t>
            </w:r>
          </w:p>
          <w:p w14:paraId="70FDFEF1">
            <w:pPr>
              <w:spacing w:line="360" w:lineRule="auto"/>
              <w:ind w:firstLine="420" w:firstLineChars="200"/>
              <w:rPr>
                <w:rFonts w:hint="default"/>
                <w:bCs/>
                <w:color w:val="auto"/>
                <w:szCs w:val="21"/>
                <w:lang w:val="en-US" w:eastAsia="zh-CN"/>
              </w:rPr>
            </w:pPr>
            <w:r>
              <w:rPr>
                <w:rFonts w:hint="eastAsia"/>
                <w:bCs/>
                <w:color w:val="auto"/>
                <w:szCs w:val="21"/>
                <w:lang w:val="en-US" w:eastAsia="zh-CN"/>
              </w:rPr>
              <w:t>④废活性炭</w:t>
            </w:r>
          </w:p>
          <w:p w14:paraId="65A34866">
            <w:pPr>
              <w:spacing w:line="360" w:lineRule="auto"/>
              <w:ind w:firstLine="420" w:firstLineChars="200"/>
              <w:rPr>
                <w:rFonts w:hint="eastAsia"/>
                <w:color w:val="auto"/>
              </w:rPr>
            </w:pPr>
            <w:r>
              <w:rPr>
                <w:rFonts w:hint="eastAsia"/>
                <w:szCs w:val="21"/>
                <w:lang w:val="en-US" w:eastAsia="zh-CN"/>
              </w:rPr>
              <w:t>根据工程分析可知，</w:t>
            </w:r>
            <w:r>
              <w:rPr>
                <w:rFonts w:hint="eastAsia"/>
                <w:szCs w:val="21"/>
              </w:rPr>
              <w:t>项目废活性炭产生量为</w:t>
            </w:r>
            <w:r>
              <w:rPr>
                <w:szCs w:val="21"/>
              </w:rPr>
              <w:t>0.9t/a</w:t>
            </w:r>
            <w:r>
              <w:rPr>
                <w:rFonts w:hint="eastAsia"/>
                <w:szCs w:val="21"/>
              </w:rPr>
              <w:t>，按《国家危险废物名录》（</w:t>
            </w:r>
            <w:r>
              <w:rPr>
                <w:szCs w:val="21"/>
              </w:rPr>
              <w:t>202</w:t>
            </w:r>
            <w:r>
              <w:rPr>
                <w:rFonts w:hint="eastAsia"/>
                <w:szCs w:val="21"/>
                <w:lang w:val="en-US" w:eastAsia="zh-CN"/>
              </w:rPr>
              <w:t>5</w:t>
            </w:r>
            <w:r>
              <w:rPr>
                <w:rFonts w:hint="eastAsia"/>
                <w:szCs w:val="21"/>
              </w:rPr>
              <w:t>版）规定，其属于危险废物，类别为</w:t>
            </w:r>
            <w:r>
              <w:rPr>
                <w:szCs w:val="21"/>
              </w:rPr>
              <w:t>HW49</w:t>
            </w:r>
            <w:r>
              <w:rPr>
                <w:rFonts w:hint="eastAsia"/>
                <w:szCs w:val="21"/>
              </w:rPr>
              <w:t>；暂存于危险废物暂存间，用桶密封暂存，定期交由资质单位回收处理。</w:t>
            </w:r>
          </w:p>
          <w:p w14:paraId="61793F5E">
            <w:pPr>
              <w:numPr>
                <w:ilvl w:val="0"/>
                <w:numId w:val="3"/>
              </w:numPr>
              <w:spacing w:line="360" w:lineRule="auto"/>
              <w:ind w:firstLine="420" w:firstLineChars="200"/>
              <w:rPr>
                <w:rFonts w:hint="eastAsia"/>
                <w:bCs/>
                <w:color w:val="auto"/>
                <w:szCs w:val="21"/>
                <w:lang w:val="en-US" w:eastAsia="zh-CN"/>
              </w:rPr>
            </w:pPr>
            <w:r>
              <w:rPr>
                <w:rFonts w:hint="eastAsia"/>
                <w:bCs/>
                <w:color w:val="auto"/>
                <w:szCs w:val="21"/>
                <w:lang w:val="en-US" w:eastAsia="zh-CN"/>
              </w:rPr>
              <w:t>生活垃圾：本项目共有25人，每人每天产生垃圾以</w:t>
            </w:r>
            <w:r>
              <w:rPr>
                <w:rFonts w:hint="default"/>
                <w:bCs/>
                <w:color w:val="auto"/>
                <w:szCs w:val="21"/>
                <w:lang w:val="en-US" w:eastAsia="zh-CN"/>
              </w:rPr>
              <w:t xml:space="preserve">0.5kg </w:t>
            </w:r>
            <w:r>
              <w:rPr>
                <w:rFonts w:hint="eastAsia"/>
                <w:bCs/>
                <w:color w:val="auto"/>
                <w:szCs w:val="21"/>
                <w:lang w:val="en-US" w:eastAsia="zh-CN"/>
              </w:rPr>
              <w:t>计，则共产生生活垃圾3.75</w:t>
            </w:r>
            <w:r>
              <w:rPr>
                <w:rFonts w:hint="default"/>
                <w:bCs/>
                <w:color w:val="auto"/>
                <w:szCs w:val="21"/>
                <w:lang w:val="en-US" w:eastAsia="zh-CN"/>
              </w:rPr>
              <w:t>t/a</w:t>
            </w:r>
            <w:r>
              <w:rPr>
                <w:rFonts w:hint="eastAsia"/>
                <w:bCs/>
                <w:color w:val="auto"/>
                <w:szCs w:val="21"/>
                <w:lang w:val="en-US" w:eastAsia="zh-CN"/>
              </w:rPr>
              <w:t xml:space="preserve">。 </w:t>
            </w:r>
          </w:p>
          <w:p w14:paraId="60B8C3F1">
            <w:pPr>
              <w:numPr>
                <w:ilvl w:val="0"/>
                <w:numId w:val="0"/>
              </w:numPr>
              <w:spacing w:line="360" w:lineRule="auto"/>
              <w:ind w:firstLine="420" w:firstLineChars="200"/>
              <w:rPr>
                <w:rFonts w:hint="eastAsia"/>
                <w:bCs/>
                <w:color w:val="auto"/>
                <w:szCs w:val="21"/>
                <w:lang w:val="en-US" w:eastAsia="zh-CN"/>
              </w:rPr>
            </w:pPr>
            <w:r>
              <w:rPr>
                <w:rFonts w:hint="eastAsia"/>
                <w:bCs/>
                <w:color w:val="auto"/>
                <w:szCs w:val="21"/>
                <w:lang w:val="en-US" w:eastAsia="zh-CN"/>
              </w:rPr>
              <w:t>采取以上针对措施后，项目固体废物对周围环境影响较小。固体废物产生及利用处置情况见下表。废物代码为按照《固体废物分类与代码目录2024版》和《国家危险废物名录》（2025年版）填报。</w:t>
            </w:r>
          </w:p>
          <w:p w14:paraId="2109BC40">
            <w:pPr>
              <w:widowControl/>
              <w:snapToGrid w:val="0"/>
              <w:jc w:val="center"/>
              <w:rPr>
                <w:b/>
                <w:bCs/>
                <w:color w:val="auto"/>
                <w:sz w:val="18"/>
                <w:szCs w:val="18"/>
                <w:highlight w:val="yellow"/>
              </w:rPr>
            </w:pPr>
            <w:r>
              <w:rPr>
                <w:rFonts w:hint="eastAsia"/>
                <w:b/>
                <w:bCs/>
                <w:color w:val="auto"/>
                <w:sz w:val="18"/>
                <w:szCs w:val="18"/>
                <w:highlight w:val="none"/>
              </w:rPr>
              <w:t>表4</w:t>
            </w:r>
            <w:r>
              <w:rPr>
                <w:rFonts w:hint="eastAsia"/>
                <w:b/>
                <w:bCs/>
                <w:color w:val="auto"/>
                <w:sz w:val="18"/>
                <w:szCs w:val="18"/>
                <w:highlight w:val="none"/>
                <w:lang w:val="en-US" w:eastAsia="zh-CN"/>
              </w:rPr>
              <w:t>.4</w:t>
            </w:r>
            <w:r>
              <w:rPr>
                <w:rFonts w:hint="eastAsia"/>
                <w:b/>
                <w:bCs/>
                <w:color w:val="auto"/>
                <w:sz w:val="18"/>
                <w:szCs w:val="18"/>
                <w:highlight w:val="none"/>
              </w:rPr>
              <w:t>-</w:t>
            </w:r>
            <w:r>
              <w:rPr>
                <w:rFonts w:hint="eastAsia"/>
                <w:b/>
                <w:bCs/>
                <w:color w:val="auto"/>
                <w:sz w:val="18"/>
                <w:szCs w:val="18"/>
                <w:highlight w:val="none"/>
                <w:lang w:val="en-US" w:eastAsia="zh-CN"/>
              </w:rPr>
              <w:t>1</w:t>
            </w:r>
            <w:r>
              <w:rPr>
                <w:rFonts w:hint="eastAsia"/>
                <w:b/>
                <w:bCs/>
                <w:color w:val="auto"/>
                <w:sz w:val="18"/>
                <w:szCs w:val="18"/>
                <w:highlight w:val="none"/>
              </w:rPr>
              <w:t xml:space="preserve">    固</w:t>
            </w:r>
            <w:r>
              <w:rPr>
                <w:rFonts w:hint="eastAsia"/>
                <w:b/>
                <w:bCs/>
                <w:color w:val="auto"/>
                <w:sz w:val="18"/>
                <w:szCs w:val="18"/>
                <w:highlight w:val="none"/>
                <w:lang w:val="en-US" w:eastAsia="zh-CN"/>
              </w:rPr>
              <w:t>体</w:t>
            </w:r>
            <w:r>
              <w:rPr>
                <w:rFonts w:hint="eastAsia"/>
                <w:b/>
                <w:bCs/>
                <w:color w:val="auto"/>
                <w:sz w:val="18"/>
                <w:szCs w:val="18"/>
                <w:highlight w:val="none"/>
              </w:rPr>
              <w:t>废</w:t>
            </w:r>
            <w:r>
              <w:rPr>
                <w:rFonts w:hint="eastAsia"/>
                <w:b/>
                <w:bCs/>
                <w:color w:val="auto"/>
                <w:sz w:val="18"/>
                <w:szCs w:val="18"/>
                <w:highlight w:val="none"/>
                <w:lang w:val="en-US" w:eastAsia="zh-CN"/>
              </w:rPr>
              <w:t>物</w:t>
            </w:r>
            <w:r>
              <w:rPr>
                <w:rFonts w:hint="eastAsia"/>
                <w:b/>
                <w:bCs/>
                <w:color w:val="auto"/>
                <w:sz w:val="18"/>
                <w:szCs w:val="18"/>
                <w:highlight w:val="none"/>
              </w:rPr>
              <w:t>产生情况及</w:t>
            </w:r>
            <w:r>
              <w:rPr>
                <w:rFonts w:hint="eastAsia"/>
                <w:b/>
                <w:bCs/>
                <w:color w:val="auto"/>
                <w:sz w:val="18"/>
                <w:szCs w:val="18"/>
                <w:highlight w:val="none"/>
                <w:lang w:val="en-US" w:eastAsia="zh-CN"/>
              </w:rPr>
              <w:t>利用处置情况表</w:t>
            </w:r>
          </w:p>
          <w:tbl>
            <w:tblPr>
              <w:tblStyle w:val="4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994"/>
              <w:gridCol w:w="620"/>
              <w:gridCol w:w="1220"/>
              <w:gridCol w:w="958"/>
              <w:gridCol w:w="719"/>
              <w:gridCol w:w="749"/>
              <w:gridCol w:w="470"/>
              <w:gridCol w:w="1519"/>
            </w:tblGrid>
            <w:tr w14:paraId="673282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21" w:type="pct"/>
                  <w:tcBorders>
                    <w:tl2br w:val="nil"/>
                    <w:tr2bl w:val="nil"/>
                  </w:tcBorders>
                  <w:vAlign w:val="center"/>
                </w:tcPr>
                <w:p w14:paraId="6873DD6A">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分类</w:t>
                  </w:r>
                </w:p>
              </w:tc>
              <w:tc>
                <w:tcPr>
                  <w:tcW w:w="627" w:type="pct"/>
                  <w:tcBorders>
                    <w:tl2br w:val="nil"/>
                    <w:tr2bl w:val="nil"/>
                  </w:tcBorders>
                  <w:vAlign w:val="center"/>
                </w:tcPr>
                <w:p w14:paraId="584856A6">
                  <w:pPr>
                    <w:pStyle w:val="76"/>
                    <w:spacing w:line="240" w:lineRule="exact"/>
                    <w:ind w:firstLine="0" w:firstLineChars="0"/>
                    <w:jc w:val="center"/>
                    <w:rPr>
                      <w:color w:val="auto"/>
                      <w:sz w:val="18"/>
                      <w:szCs w:val="18"/>
                    </w:rPr>
                  </w:pPr>
                  <w:r>
                    <w:rPr>
                      <w:color w:val="auto"/>
                      <w:sz w:val="18"/>
                      <w:szCs w:val="18"/>
                    </w:rPr>
                    <w:t>名称</w:t>
                  </w:r>
                </w:p>
              </w:tc>
              <w:tc>
                <w:tcPr>
                  <w:tcW w:w="391" w:type="pct"/>
                  <w:tcBorders>
                    <w:tl2br w:val="nil"/>
                    <w:tr2bl w:val="nil"/>
                  </w:tcBorders>
                  <w:vAlign w:val="center"/>
                </w:tcPr>
                <w:p w14:paraId="552363C5">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主要</w:t>
                  </w:r>
                </w:p>
                <w:p w14:paraId="68A46F76">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成分</w:t>
                  </w:r>
                </w:p>
              </w:tc>
              <w:tc>
                <w:tcPr>
                  <w:tcW w:w="770" w:type="pct"/>
                  <w:tcBorders>
                    <w:tl2br w:val="nil"/>
                    <w:tr2bl w:val="nil"/>
                  </w:tcBorders>
                  <w:vAlign w:val="center"/>
                </w:tcPr>
                <w:p w14:paraId="01773AC7">
                  <w:pPr>
                    <w:pStyle w:val="76"/>
                    <w:spacing w:line="240" w:lineRule="exact"/>
                    <w:ind w:firstLine="0" w:firstLineChars="0"/>
                    <w:jc w:val="center"/>
                    <w:rPr>
                      <w:color w:val="auto"/>
                      <w:sz w:val="18"/>
                      <w:szCs w:val="18"/>
                    </w:rPr>
                  </w:pPr>
                  <w:r>
                    <w:rPr>
                      <w:color w:val="auto"/>
                      <w:sz w:val="18"/>
                      <w:szCs w:val="18"/>
                    </w:rPr>
                    <w:t>代码</w:t>
                  </w:r>
                </w:p>
              </w:tc>
              <w:tc>
                <w:tcPr>
                  <w:tcW w:w="605" w:type="pct"/>
                  <w:tcBorders>
                    <w:tl2br w:val="nil"/>
                    <w:tr2bl w:val="nil"/>
                  </w:tcBorders>
                  <w:vAlign w:val="center"/>
                </w:tcPr>
                <w:p w14:paraId="34D67E0F">
                  <w:pPr>
                    <w:pStyle w:val="76"/>
                    <w:spacing w:line="240" w:lineRule="exact"/>
                    <w:ind w:firstLine="0" w:firstLineChars="0"/>
                    <w:jc w:val="center"/>
                    <w:rPr>
                      <w:color w:val="auto"/>
                      <w:sz w:val="18"/>
                      <w:szCs w:val="18"/>
                    </w:rPr>
                  </w:pPr>
                  <w:r>
                    <w:rPr>
                      <w:color w:val="auto"/>
                      <w:sz w:val="18"/>
                      <w:szCs w:val="18"/>
                    </w:rPr>
                    <w:t>产生量</w:t>
                  </w:r>
                </w:p>
              </w:tc>
              <w:tc>
                <w:tcPr>
                  <w:tcW w:w="454" w:type="pct"/>
                  <w:tcBorders>
                    <w:tl2br w:val="nil"/>
                    <w:tr2bl w:val="nil"/>
                  </w:tcBorders>
                  <w:vAlign w:val="center"/>
                </w:tcPr>
                <w:p w14:paraId="7A96E76B">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综合利用量（t/a）</w:t>
                  </w:r>
                </w:p>
              </w:tc>
              <w:tc>
                <w:tcPr>
                  <w:tcW w:w="473" w:type="pct"/>
                  <w:tcBorders>
                    <w:tl2br w:val="nil"/>
                    <w:tr2bl w:val="nil"/>
                  </w:tcBorders>
                  <w:vAlign w:val="center"/>
                </w:tcPr>
                <w:p w14:paraId="3CF24F36">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处置量（t/a）</w:t>
                  </w:r>
                </w:p>
              </w:tc>
              <w:tc>
                <w:tcPr>
                  <w:tcW w:w="296" w:type="pct"/>
                  <w:tcBorders>
                    <w:tl2br w:val="nil"/>
                    <w:tr2bl w:val="nil"/>
                  </w:tcBorders>
                  <w:vAlign w:val="center"/>
                </w:tcPr>
                <w:p w14:paraId="7738C031">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产废</w:t>
                  </w:r>
                </w:p>
                <w:p w14:paraId="26FF2CCD">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周期</w:t>
                  </w:r>
                </w:p>
              </w:tc>
              <w:tc>
                <w:tcPr>
                  <w:tcW w:w="959" w:type="pct"/>
                  <w:tcBorders>
                    <w:tl2br w:val="nil"/>
                    <w:tr2bl w:val="nil"/>
                  </w:tcBorders>
                  <w:vAlign w:val="center"/>
                </w:tcPr>
                <w:p w14:paraId="4FD67C8D">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综合利用或处置措施</w:t>
                  </w:r>
                </w:p>
              </w:tc>
            </w:tr>
            <w:tr w14:paraId="3AABA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blHeader/>
              </w:trPr>
              <w:tc>
                <w:tcPr>
                  <w:tcW w:w="421" w:type="pct"/>
                  <w:vMerge w:val="restart"/>
                  <w:tcBorders>
                    <w:tl2br w:val="nil"/>
                    <w:tr2bl w:val="nil"/>
                  </w:tcBorders>
                  <w:vAlign w:val="center"/>
                </w:tcPr>
                <w:p w14:paraId="4D4599A7">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一般工业固体废物</w:t>
                  </w:r>
                </w:p>
              </w:tc>
              <w:tc>
                <w:tcPr>
                  <w:tcW w:w="627" w:type="pct"/>
                  <w:tcBorders>
                    <w:tl2br w:val="nil"/>
                    <w:tr2bl w:val="nil"/>
                  </w:tcBorders>
                  <w:vAlign w:val="center"/>
                </w:tcPr>
                <w:p w14:paraId="5F4F343E">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废边角料</w:t>
                  </w:r>
                </w:p>
              </w:tc>
              <w:tc>
                <w:tcPr>
                  <w:tcW w:w="391" w:type="pct"/>
                  <w:tcBorders>
                    <w:tl2br w:val="nil"/>
                    <w:tr2bl w:val="nil"/>
                  </w:tcBorders>
                  <w:vAlign w:val="center"/>
                </w:tcPr>
                <w:p w14:paraId="1638123F">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木材、砖石</w:t>
                  </w:r>
                </w:p>
              </w:tc>
              <w:tc>
                <w:tcPr>
                  <w:tcW w:w="770" w:type="pct"/>
                  <w:tcBorders>
                    <w:tl2br w:val="nil"/>
                    <w:tr2bl w:val="nil"/>
                  </w:tcBorders>
                  <w:vAlign w:val="center"/>
                </w:tcPr>
                <w:p w14:paraId="64383E3D">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900-009-S17/</w:t>
                  </w:r>
                </w:p>
                <w:p w14:paraId="3371A74B">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900-010-S17</w:t>
                  </w:r>
                </w:p>
              </w:tc>
              <w:tc>
                <w:tcPr>
                  <w:tcW w:w="605" w:type="pct"/>
                  <w:tcBorders>
                    <w:tl2br w:val="nil"/>
                    <w:tr2bl w:val="nil"/>
                  </w:tcBorders>
                  <w:vAlign w:val="center"/>
                </w:tcPr>
                <w:p w14:paraId="6F38904A">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20900</w:t>
                  </w:r>
                  <w:r>
                    <w:rPr>
                      <w:color w:val="auto"/>
                      <w:sz w:val="18"/>
                      <w:szCs w:val="18"/>
                    </w:rPr>
                    <w:t>t/a</w:t>
                  </w:r>
                </w:p>
              </w:tc>
              <w:tc>
                <w:tcPr>
                  <w:tcW w:w="454" w:type="pct"/>
                  <w:tcBorders>
                    <w:tl2br w:val="nil"/>
                    <w:tr2bl w:val="nil"/>
                  </w:tcBorders>
                  <w:vAlign w:val="center"/>
                </w:tcPr>
                <w:p w14:paraId="4DC60283">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vAlign w:val="center"/>
                </w:tcPr>
                <w:p w14:paraId="0B7551D6">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4658B455">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40856CEB">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统一收集后可外售综合利用</w:t>
                  </w:r>
                </w:p>
              </w:tc>
            </w:tr>
            <w:tr w14:paraId="3748C0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0" w:hRule="atLeast"/>
                <w:tblHeader/>
              </w:trPr>
              <w:tc>
                <w:tcPr>
                  <w:tcW w:w="421" w:type="pct"/>
                  <w:vMerge w:val="continue"/>
                  <w:tcBorders>
                    <w:tl2br w:val="nil"/>
                    <w:tr2bl w:val="nil"/>
                  </w:tcBorders>
                  <w:vAlign w:val="center"/>
                </w:tcPr>
                <w:p w14:paraId="5CF990F2">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vAlign w:val="center"/>
                </w:tcPr>
                <w:p w14:paraId="3B74A62A">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废渣废屑</w:t>
                  </w:r>
                </w:p>
              </w:tc>
              <w:tc>
                <w:tcPr>
                  <w:tcW w:w="391" w:type="pct"/>
                  <w:tcBorders>
                    <w:tl2br w:val="nil"/>
                    <w:tr2bl w:val="nil"/>
                  </w:tcBorders>
                  <w:vAlign w:val="center"/>
                </w:tcPr>
                <w:p w14:paraId="63259550">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木屑、砖石粉末</w:t>
                  </w:r>
                </w:p>
              </w:tc>
              <w:tc>
                <w:tcPr>
                  <w:tcW w:w="770" w:type="pct"/>
                  <w:tcBorders>
                    <w:tl2br w:val="nil"/>
                    <w:tr2bl w:val="nil"/>
                  </w:tcBorders>
                  <w:vAlign w:val="center"/>
                </w:tcPr>
                <w:p w14:paraId="4A1004B0">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900-099-S59</w:t>
                  </w:r>
                </w:p>
              </w:tc>
              <w:tc>
                <w:tcPr>
                  <w:tcW w:w="605" w:type="pct"/>
                  <w:tcBorders>
                    <w:tl2br w:val="nil"/>
                    <w:tr2bl w:val="nil"/>
                  </w:tcBorders>
                  <w:vAlign w:val="center"/>
                </w:tcPr>
                <w:p w14:paraId="418F799D">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10.45t/a</w:t>
                  </w:r>
                </w:p>
              </w:tc>
              <w:tc>
                <w:tcPr>
                  <w:tcW w:w="454" w:type="pct"/>
                  <w:tcBorders>
                    <w:tl2br w:val="nil"/>
                    <w:tr2bl w:val="nil"/>
                  </w:tcBorders>
                  <w:vAlign w:val="center"/>
                </w:tcPr>
                <w:p w14:paraId="0997CF2E">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vAlign w:val="center"/>
                </w:tcPr>
                <w:p w14:paraId="0A86D8D1">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13A83C12">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3A6D1320">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定期清理外售综合利用</w:t>
                  </w:r>
                </w:p>
              </w:tc>
            </w:tr>
            <w:tr w14:paraId="0126D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tblHeader/>
              </w:trPr>
              <w:tc>
                <w:tcPr>
                  <w:tcW w:w="421" w:type="pct"/>
                  <w:vMerge w:val="continue"/>
                  <w:tcBorders>
                    <w:tl2br w:val="nil"/>
                    <w:tr2bl w:val="nil"/>
                  </w:tcBorders>
                  <w:vAlign w:val="center"/>
                </w:tcPr>
                <w:p w14:paraId="5F6D754A">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5096D81F">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除尘灰</w:t>
                  </w:r>
                </w:p>
              </w:tc>
              <w:tc>
                <w:tcPr>
                  <w:tcW w:w="391" w:type="pct"/>
                  <w:tcBorders>
                    <w:tl2br w:val="nil"/>
                    <w:tr2bl w:val="nil"/>
                  </w:tcBorders>
                  <w:shd w:val="clear" w:color="auto" w:fill="auto"/>
                  <w:vAlign w:val="center"/>
                </w:tcPr>
                <w:p w14:paraId="38D77A5D">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除尘灰</w:t>
                  </w:r>
                </w:p>
              </w:tc>
              <w:tc>
                <w:tcPr>
                  <w:tcW w:w="770" w:type="pct"/>
                  <w:tcBorders>
                    <w:tl2br w:val="nil"/>
                    <w:tr2bl w:val="nil"/>
                  </w:tcBorders>
                  <w:shd w:val="clear" w:color="auto" w:fill="auto"/>
                  <w:vAlign w:val="center"/>
                </w:tcPr>
                <w:p w14:paraId="29E25879">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900-099-S59</w:t>
                  </w:r>
                </w:p>
              </w:tc>
              <w:tc>
                <w:tcPr>
                  <w:tcW w:w="605" w:type="pct"/>
                  <w:tcBorders>
                    <w:tl2br w:val="nil"/>
                    <w:tr2bl w:val="nil"/>
                  </w:tcBorders>
                  <w:shd w:val="clear" w:color="auto" w:fill="auto"/>
                  <w:vAlign w:val="center"/>
                </w:tcPr>
                <w:p w14:paraId="0CC1EB9B">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122.64</w:t>
                  </w:r>
                  <w:r>
                    <w:rPr>
                      <w:color w:val="auto"/>
                      <w:sz w:val="18"/>
                      <w:szCs w:val="18"/>
                    </w:rPr>
                    <w:t>t/a</w:t>
                  </w:r>
                </w:p>
              </w:tc>
              <w:tc>
                <w:tcPr>
                  <w:tcW w:w="454" w:type="pct"/>
                  <w:tcBorders>
                    <w:tl2br w:val="nil"/>
                    <w:tr2bl w:val="nil"/>
                  </w:tcBorders>
                  <w:shd w:val="clear" w:color="auto" w:fill="auto"/>
                  <w:vAlign w:val="center"/>
                </w:tcPr>
                <w:p w14:paraId="5AFC0420">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22.50</w:t>
                  </w:r>
                </w:p>
              </w:tc>
              <w:tc>
                <w:tcPr>
                  <w:tcW w:w="473" w:type="pct"/>
                  <w:tcBorders>
                    <w:tl2br w:val="nil"/>
                    <w:tr2bl w:val="nil"/>
                  </w:tcBorders>
                  <w:vAlign w:val="center"/>
                </w:tcPr>
                <w:p w14:paraId="1F66F18F">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76564E0B">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2EA82C0D">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定期清理外售综合利用</w:t>
                  </w:r>
                </w:p>
              </w:tc>
            </w:tr>
            <w:tr w14:paraId="32632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21" w:type="pct"/>
                  <w:vMerge w:val="continue"/>
                  <w:tcBorders>
                    <w:tl2br w:val="nil"/>
                    <w:tr2bl w:val="nil"/>
                  </w:tcBorders>
                  <w:vAlign w:val="center"/>
                </w:tcPr>
                <w:p w14:paraId="35FE9B00">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2435CABC">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废滤袋</w:t>
                  </w:r>
                </w:p>
              </w:tc>
              <w:tc>
                <w:tcPr>
                  <w:tcW w:w="391" w:type="pct"/>
                  <w:tcBorders>
                    <w:tl2br w:val="nil"/>
                    <w:tr2bl w:val="nil"/>
                  </w:tcBorders>
                  <w:shd w:val="clear" w:color="auto" w:fill="auto"/>
                  <w:vAlign w:val="center"/>
                </w:tcPr>
                <w:p w14:paraId="6B05FECD">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纤维</w:t>
                  </w:r>
                </w:p>
                <w:p w14:paraId="16996805">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布袋</w:t>
                  </w:r>
                </w:p>
              </w:tc>
              <w:tc>
                <w:tcPr>
                  <w:tcW w:w="770" w:type="pct"/>
                  <w:tcBorders>
                    <w:tl2br w:val="nil"/>
                    <w:tr2bl w:val="nil"/>
                  </w:tcBorders>
                  <w:shd w:val="clear" w:color="auto" w:fill="auto"/>
                  <w:vAlign w:val="center"/>
                </w:tcPr>
                <w:p w14:paraId="65BBDF79">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900-099-S59</w:t>
                  </w:r>
                </w:p>
              </w:tc>
              <w:tc>
                <w:tcPr>
                  <w:tcW w:w="605" w:type="pct"/>
                  <w:tcBorders>
                    <w:tl2br w:val="nil"/>
                    <w:tr2bl w:val="nil"/>
                  </w:tcBorders>
                  <w:shd w:val="clear" w:color="auto" w:fill="auto"/>
                  <w:vAlign w:val="center"/>
                </w:tcPr>
                <w:p w14:paraId="65E12798">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0.05</w:t>
                  </w:r>
                  <w:r>
                    <w:rPr>
                      <w:color w:val="auto"/>
                      <w:sz w:val="18"/>
                      <w:szCs w:val="18"/>
                    </w:rPr>
                    <w:t>t/a</w:t>
                  </w:r>
                </w:p>
              </w:tc>
              <w:tc>
                <w:tcPr>
                  <w:tcW w:w="454" w:type="pct"/>
                  <w:tcBorders>
                    <w:tl2br w:val="nil"/>
                    <w:tr2bl w:val="nil"/>
                  </w:tcBorders>
                  <w:shd w:val="clear" w:color="auto" w:fill="auto"/>
                  <w:vAlign w:val="center"/>
                </w:tcPr>
                <w:p w14:paraId="16B1B41D">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w:t>
                  </w:r>
                </w:p>
              </w:tc>
              <w:tc>
                <w:tcPr>
                  <w:tcW w:w="473" w:type="pct"/>
                  <w:tcBorders>
                    <w:tl2br w:val="nil"/>
                    <w:tr2bl w:val="nil"/>
                  </w:tcBorders>
                  <w:vAlign w:val="center"/>
                </w:tcPr>
                <w:p w14:paraId="26AF3071">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4A8A8C8E">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0F738395">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由厂家更换回收再利用</w:t>
                  </w:r>
                </w:p>
              </w:tc>
            </w:tr>
            <w:tr w14:paraId="5EEDA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21" w:type="pct"/>
                  <w:vMerge w:val="continue"/>
                  <w:tcBorders>
                    <w:tl2br w:val="nil"/>
                    <w:tr2bl w:val="nil"/>
                  </w:tcBorders>
                  <w:vAlign w:val="center"/>
                </w:tcPr>
                <w:p w14:paraId="3CE11F6B">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1E575344">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沉渣</w:t>
                  </w:r>
                </w:p>
              </w:tc>
              <w:tc>
                <w:tcPr>
                  <w:tcW w:w="391" w:type="pct"/>
                  <w:tcBorders>
                    <w:tl2br w:val="nil"/>
                    <w:tr2bl w:val="nil"/>
                  </w:tcBorders>
                  <w:shd w:val="clear" w:color="auto" w:fill="auto"/>
                  <w:vAlign w:val="center"/>
                </w:tcPr>
                <w:p w14:paraId="7D899B82">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污泥</w:t>
                  </w:r>
                </w:p>
              </w:tc>
              <w:tc>
                <w:tcPr>
                  <w:tcW w:w="770" w:type="pct"/>
                  <w:tcBorders>
                    <w:tl2br w:val="nil"/>
                    <w:tr2bl w:val="nil"/>
                  </w:tcBorders>
                  <w:shd w:val="clear" w:color="auto" w:fill="auto"/>
                  <w:vAlign w:val="center"/>
                </w:tcPr>
                <w:p w14:paraId="3A0B623D">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900-099-S07</w:t>
                  </w:r>
                </w:p>
              </w:tc>
              <w:tc>
                <w:tcPr>
                  <w:tcW w:w="605" w:type="pct"/>
                  <w:tcBorders>
                    <w:tl2br w:val="nil"/>
                    <w:tr2bl w:val="nil"/>
                  </w:tcBorders>
                  <w:shd w:val="clear" w:color="auto" w:fill="auto"/>
                  <w:vAlign w:val="center"/>
                </w:tcPr>
                <w:p w14:paraId="53A2CD16">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2.5</w:t>
                  </w:r>
                  <w:r>
                    <w:rPr>
                      <w:color w:val="auto"/>
                      <w:sz w:val="18"/>
                      <w:szCs w:val="18"/>
                    </w:rPr>
                    <w:t>t/a</w:t>
                  </w:r>
                </w:p>
              </w:tc>
              <w:tc>
                <w:tcPr>
                  <w:tcW w:w="454" w:type="pct"/>
                  <w:tcBorders>
                    <w:tl2br w:val="nil"/>
                    <w:tr2bl w:val="nil"/>
                  </w:tcBorders>
                  <w:shd w:val="clear" w:color="auto" w:fill="auto"/>
                  <w:vAlign w:val="center"/>
                </w:tcPr>
                <w:p w14:paraId="2672B1CF">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vAlign w:val="center"/>
                </w:tcPr>
                <w:p w14:paraId="52CC6A38">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7BBA7A1D">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4FC7E0C2">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定期清理外售综合利用</w:t>
                  </w:r>
                </w:p>
              </w:tc>
            </w:tr>
            <w:tr w14:paraId="0DB5A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21" w:type="pct"/>
                  <w:vMerge w:val="continue"/>
                  <w:tcBorders>
                    <w:tl2br w:val="nil"/>
                    <w:tr2bl w:val="nil"/>
                  </w:tcBorders>
                  <w:vAlign w:val="center"/>
                </w:tcPr>
                <w:p w14:paraId="37C3D79C">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55B7302C">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漆渣</w:t>
                  </w:r>
                </w:p>
              </w:tc>
              <w:tc>
                <w:tcPr>
                  <w:tcW w:w="391" w:type="pct"/>
                  <w:tcBorders>
                    <w:tl2br w:val="nil"/>
                    <w:tr2bl w:val="nil"/>
                  </w:tcBorders>
                  <w:shd w:val="clear" w:color="auto" w:fill="auto"/>
                  <w:vAlign w:val="center"/>
                </w:tcPr>
                <w:p w14:paraId="788005AF">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水性漆渣</w:t>
                  </w:r>
                </w:p>
              </w:tc>
              <w:tc>
                <w:tcPr>
                  <w:tcW w:w="770" w:type="pct"/>
                  <w:tcBorders>
                    <w:tl2br w:val="nil"/>
                    <w:tr2bl w:val="nil"/>
                  </w:tcBorders>
                  <w:shd w:val="clear" w:color="auto" w:fill="auto"/>
                  <w:vAlign w:val="center"/>
                </w:tcPr>
                <w:p w14:paraId="6BC2A21F">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w:t>
                  </w:r>
                </w:p>
              </w:tc>
              <w:tc>
                <w:tcPr>
                  <w:tcW w:w="605" w:type="pct"/>
                  <w:tcBorders>
                    <w:tl2br w:val="nil"/>
                    <w:tr2bl w:val="nil"/>
                  </w:tcBorders>
                  <w:shd w:val="clear" w:color="auto" w:fill="auto"/>
                  <w:vAlign w:val="center"/>
                </w:tcPr>
                <w:p w14:paraId="0673CE7D">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0.2</w:t>
                  </w:r>
                  <w:r>
                    <w:rPr>
                      <w:color w:val="auto"/>
                      <w:sz w:val="18"/>
                      <w:szCs w:val="18"/>
                    </w:rPr>
                    <w:t>t/a</w:t>
                  </w:r>
                </w:p>
              </w:tc>
              <w:tc>
                <w:tcPr>
                  <w:tcW w:w="454" w:type="pct"/>
                  <w:tcBorders>
                    <w:tl2br w:val="nil"/>
                    <w:tr2bl w:val="nil"/>
                  </w:tcBorders>
                  <w:shd w:val="clear" w:color="auto" w:fill="auto"/>
                  <w:vAlign w:val="center"/>
                </w:tcPr>
                <w:p w14:paraId="2E65CCC7">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vAlign w:val="center"/>
                </w:tcPr>
                <w:p w14:paraId="134B1F14">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466D52C1">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041B81D0">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经第三方鉴别，如无毒性等定期清理外售建材企业综合利用</w:t>
                  </w:r>
                </w:p>
              </w:tc>
            </w:tr>
            <w:tr w14:paraId="48616E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21" w:type="pct"/>
                  <w:vMerge w:val="continue"/>
                  <w:tcBorders>
                    <w:tl2br w:val="nil"/>
                    <w:tr2bl w:val="nil"/>
                  </w:tcBorders>
                  <w:vAlign w:val="center"/>
                </w:tcPr>
                <w:p w14:paraId="132ABBAC">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7DF8C36B">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漆桶</w:t>
                  </w:r>
                </w:p>
              </w:tc>
              <w:tc>
                <w:tcPr>
                  <w:tcW w:w="391" w:type="pct"/>
                  <w:tcBorders>
                    <w:tl2br w:val="nil"/>
                    <w:tr2bl w:val="nil"/>
                  </w:tcBorders>
                  <w:shd w:val="clear" w:color="auto" w:fill="auto"/>
                  <w:vAlign w:val="center"/>
                </w:tcPr>
                <w:p w14:paraId="169BDB6E">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水性漆塑料桶</w:t>
                  </w:r>
                </w:p>
              </w:tc>
              <w:tc>
                <w:tcPr>
                  <w:tcW w:w="770" w:type="pct"/>
                  <w:tcBorders>
                    <w:tl2br w:val="nil"/>
                    <w:tr2bl w:val="nil"/>
                  </w:tcBorders>
                  <w:shd w:val="clear" w:color="auto" w:fill="auto"/>
                  <w:vAlign w:val="center"/>
                </w:tcPr>
                <w:p w14:paraId="5EE2B3A7">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900-003-S17</w:t>
                  </w:r>
                </w:p>
              </w:tc>
              <w:tc>
                <w:tcPr>
                  <w:tcW w:w="605" w:type="pct"/>
                  <w:tcBorders>
                    <w:tl2br w:val="nil"/>
                    <w:tr2bl w:val="nil"/>
                  </w:tcBorders>
                  <w:shd w:val="clear" w:color="auto" w:fill="auto"/>
                  <w:vAlign w:val="center"/>
                </w:tcPr>
                <w:p w14:paraId="5220841E">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0.3</w:t>
                  </w:r>
                  <w:r>
                    <w:rPr>
                      <w:color w:val="auto"/>
                      <w:sz w:val="18"/>
                      <w:szCs w:val="18"/>
                    </w:rPr>
                    <w:t>t/a</w:t>
                  </w:r>
                </w:p>
              </w:tc>
              <w:tc>
                <w:tcPr>
                  <w:tcW w:w="454" w:type="pct"/>
                  <w:tcBorders>
                    <w:tl2br w:val="nil"/>
                    <w:tr2bl w:val="nil"/>
                  </w:tcBorders>
                  <w:shd w:val="clear" w:color="auto" w:fill="auto"/>
                  <w:vAlign w:val="center"/>
                </w:tcPr>
                <w:p w14:paraId="4C9F054D">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w:t>
                  </w:r>
                </w:p>
              </w:tc>
              <w:tc>
                <w:tcPr>
                  <w:tcW w:w="473" w:type="pct"/>
                  <w:tcBorders>
                    <w:tl2br w:val="nil"/>
                    <w:tr2bl w:val="nil"/>
                  </w:tcBorders>
                  <w:vAlign w:val="center"/>
                </w:tcPr>
                <w:p w14:paraId="7221CAD1">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vAlign w:val="center"/>
                </w:tcPr>
                <w:p w14:paraId="4072D45E">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每日</w:t>
                  </w:r>
                </w:p>
              </w:tc>
              <w:tc>
                <w:tcPr>
                  <w:tcW w:w="959" w:type="pct"/>
                  <w:tcBorders>
                    <w:tl2br w:val="nil"/>
                    <w:tr2bl w:val="nil"/>
                  </w:tcBorders>
                  <w:vAlign w:val="center"/>
                </w:tcPr>
                <w:p w14:paraId="17AFA8AE">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由水性漆厂家回收</w:t>
                  </w:r>
                </w:p>
              </w:tc>
            </w:tr>
            <w:tr w14:paraId="20B0F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21" w:type="pct"/>
                  <w:vMerge w:val="restart"/>
                  <w:tcBorders>
                    <w:tl2br w:val="nil"/>
                    <w:tr2bl w:val="nil"/>
                  </w:tcBorders>
                  <w:vAlign w:val="center"/>
                </w:tcPr>
                <w:p w14:paraId="1025A0DC">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危险废物</w:t>
                  </w:r>
                </w:p>
              </w:tc>
              <w:tc>
                <w:tcPr>
                  <w:tcW w:w="627" w:type="pct"/>
                  <w:tcBorders>
                    <w:tl2br w:val="nil"/>
                    <w:tr2bl w:val="nil"/>
                  </w:tcBorders>
                  <w:vAlign w:val="center"/>
                </w:tcPr>
                <w:p w14:paraId="39DD9B1B">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废矿</w:t>
                  </w:r>
                </w:p>
                <w:p w14:paraId="5E45BB45">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物油</w:t>
                  </w:r>
                </w:p>
              </w:tc>
              <w:tc>
                <w:tcPr>
                  <w:tcW w:w="391" w:type="pct"/>
                  <w:vMerge w:val="restart"/>
                  <w:tcBorders>
                    <w:tl2br w:val="nil"/>
                    <w:tr2bl w:val="nil"/>
                  </w:tcBorders>
                  <w:vAlign w:val="center"/>
                </w:tcPr>
                <w:p w14:paraId="37D04047">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烃类</w:t>
                  </w:r>
                </w:p>
              </w:tc>
              <w:tc>
                <w:tcPr>
                  <w:tcW w:w="770" w:type="pct"/>
                  <w:tcBorders>
                    <w:tl2br w:val="nil"/>
                    <w:tr2bl w:val="nil"/>
                  </w:tcBorders>
                  <w:vAlign w:val="center"/>
                </w:tcPr>
                <w:p w14:paraId="1FF4B6C9">
                  <w:pPr>
                    <w:keepNext w:val="0"/>
                    <w:keepLines w:val="0"/>
                    <w:widowControl/>
                    <w:suppressLineNumbers w:val="0"/>
                    <w:jc w:val="left"/>
                    <w:rPr>
                      <w:rFonts w:hint="default" w:eastAsia="宋体"/>
                      <w:color w:val="auto"/>
                      <w:sz w:val="18"/>
                      <w:szCs w:val="18"/>
                      <w:lang w:val="en-US" w:eastAsia="zh-CN"/>
                    </w:rPr>
                  </w:pPr>
                  <w:r>
                    <w:rPr>
                      <w:rFonts w:hint="eastAsia"/>
                      <w:color w:val="auto"/>
                      <w:sz w:val="18"/>
                      <w:szCs w:val="18"/>
                      <w:lang w:val="en-US" w:eastAsia="zh-CN"/>
                    </w:rPr>
                    <w:t>HW08，900-214-08</w:t>
                  </w:r>
                </w:p>
              </w:tc>
              <w:tc>
                <w:tcPr>
                  <w:tcW w:w="605" w:type="pct"/>
                  <w:tcBorders>
                    <w:tl2br w:val="nil"/>
                    <w:tr2bl w:val="nil"/>
                  </w:tcBorders>
                  <w:vAlign w:val="center"/>
                </w:tcPr>
                <w:p w14:paraId="14CA25B4">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0.2</w:t>
                  </w:r>
                  <w:r>
                    <w:rPr>
                      <w:color w:val="auto"/>
                      <w:sz w:val="18"/>
                      <w:szCs w:val="18"/>
                    </w:rPr>
                    <w:t>t/a</w:t>
                  </w:r>
                </w:p>
              </w:tc>
              <w:tc>
                <w:tcPr>
                  <w:tcW w:w="454" w:type="pct"/>
                  <w:tcBorders>
                    <w:tl2br w:val="nil"/>
                    <w:tr2bl w:val="nil"/>
                  </w:tcBorders>
                  <w:vAlign w:val="center"/>
                </w:tcPr>
                <w:p w14:paraId="16ED6A2D">
                  <w:pPr>
                    <w:pStyle w:val="76"/>
                    <w:spacing w:line="240" w:lineRule="exact"/>
                    <w:ind w:firstLine="0" w:firstLineChars="0"/>
                    <w:jc w:val="center"/>
                    <w:rPr>
                      <w:rFonts w:hint="default"/>
                      <w:bCs/>
                      <w:color w:val="auto"/>
                      <w:sz w:val="18"/>
                      <w:szCs w:val="18"/>
                      <w:lang w:val="en-US" w:eastAsia="zh-CN"/>
                    </w:rPr>
                  </w:pPr>
                  <w:r>
                    <w:rPr>
                      <w:rFonts w:hint="eastAsia"/>
                      <w:bCs/>
                      <w:color w:val="auto"/>
                      <w:sz w:val="18"/>
                      <w:szCs w:val="18"/>
                      <w:lang w:val="en-US" w:eastAsia="zh-CN"/>
                    </w:rPr>
                    <w:t>0</w:t>
                  </w:r>
                </w:p>
              </w:tc>
              <w:tc>
                <w:tcPr>
                  <w:tcW w:w="473" w:type="pct"/>
                  <w:tcBorders>
                    <w:tl2br w:val="nil"/>
                    <w:tr2bl w:val="nil"/>
                  </w:tcBorders>
                  <w:vAlign w:val="center"/>
                </w:tcPr>
                <w:p w14:paraId="7750B1B5">
                  <w:pPr>
                    <w:pStyle w:val="76"/>
                    <w:spacing w:line="240" w:lineRule="exact"/>
                    <w:ind w:firstLine="0" w:firstLineChars="0"/>
                    <w:jc w:val="center"/>
                    <w:rPr>
                      <w:rFonts w:hint="default"/>
                      <w:bCs/>
                      <w:color w:val="auto"/>
                      <w:sz w:val="18"/>
                      <w:szCs w:val="18"/>
                      <w:lang w:val="en-US" w:eastAsia="zh-CN"/>
                    </w:rPr>
                  </w:pPr>
                  <w:r>
                    <w:rPr>
                      <w:rFonts w:hint="eastAsia"/>
                      <w:bCs/>
                      <w:color w:val="auto"/>
                      <w:sz w:val="18"/>
                      <w:szCs w:val="18"/>
                      <w:lang w:val="en-US" w:eastAsia="zh-CN"/>
                    </w:rPr>
                    <w:t>0</w:t>
                  </w:r>
                </w:p>
              </w:tc>
              <w:tc>
                <w:tcPr>
                  <w:tcW w:w="296" w:type="pct"/>
                  <w:tcBorders>
                    <w:tl2br w:val="nil"/>
                    <w:tr2bl w:val="nil"/>
                  </w:tcBorders>
                  <w:vAlign w:val="center"/>
                </w:tcPr>
                <w:p w14:paraId="596B2328">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每月</w:t>
                  </w:r>
                </w:p>
              </w:tc>
              <w:tc>
                <w:tcPr>
                  <w:tcW w:w="959" w:type="pct"/>
                  <w:vMerge w:val="restart"/>
                  <w:tcBorders>
                    <w:tl2br w:val="nil"/>
                    <w:tr2bl w:val="nil"/>
                  </w:tcBorders>
                  <w:vAlign w:val="center"/>
                </w:tcPr>
                <w:p w14:paraId="16793C70">
                  <w:pPr>
                    <w:pStyle w:val="76"/>
                    <w:spacing w:line="240" w:lineRule="exact"/>
                    <w:ind w:firstLine="0" w:firstLineChars="0"/>
                    <w:jc w:val="center"/>
                    <w:rPr>
                      <w:rFonts w:hint="default"/>
                      <w:color w:val="auto"/>
                      <w:sz w:val="18"/>
                      <w:szCs w:val="18"/>
                      <w:lang w:val="en-US" w:eastAsia="zh-CN"/>
                    </w:rPr>
                  </w:pPr>
                  <w:r>
                    <w:rPr>
                      <w:color w:val="auto"/>
                      <w:sz w:val="18"/>
                      <w:szCs w:val="18"/>
                    </w:rPr>
                    <w:t>收集于</w:t>
                  </w:r>
                  <w:r>
                    <w:rPr>
                      <w:rFonts w:hint="eastAsia"/>
                      <w:color w:val="auto"/>
                      <w:sz w:val="18"/>
                      <w:szCs w:val="18"/>
                      <w:lang w:val="en-US" w:eastAsia="zh-CN"/>
                    </w:rPr>
                    <w:t>危险废物贮存库</w:t>
                  </w:r>
                  <w:r>
                    <w:rPr>
                      <w:color w:val="auto"/>
                      <w:sz w:val="18"/>
                      <w:szCs w:val="18"/>
                    </w:rPr>
                    <w:t>暂存</w:t>
                  </w:r>
                  <w:r>
                    <w:rPr>
                      <w:rFonts w:hint="eastAsia"/>
                      <w:color w:val="auto"/>
                      <w:sz w:val="18"/>
                      <w:szCs w:val="18"/>
                    </w:rPr>
                    <w:t>，</w:t>
                  </w:r>
                  <w:r>
                    <w:rPr>
                      <w:color w:val="auto"/>
                      <w:sz w:val="18"/>
                      <w:szCs w:val="18"/>
                    </w:rPr>
                    <w:t>定期委托有资质单位清运处置</w:t>
                  </w:r>
                </w:p>
              </w:tc>
            </w:tr>
            <w:tr w14:paraId="22143B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21" w:type="pct"/>
                  <w:vMerge w:val="continue"/>
                  <w:tcBorders>
                    <w:tl2br w:val="nil"/>
                    <w:tr2bl w:val="nil"/>
                  </w:tcBorders>
                  <w:vAlign w:val="center"/>
                </w:tcPr>
                <w:p w14:paraId="2476C6C6">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4A1FF014">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废油</w:t>
                  </w:r>
                </w:p>
                <w:p w14:paraId="3FED293F">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桶</w:t>
                  </w:r>
                </w:p>
              </w:tc>
              <w:tc>
                <w:tcPr>
                  <w:tcW w:w="391" w:type="pct"/>
                  <w:vMerge w:val="continue"/>
                  <w:tcBorders>
                    <w:tl2br w:val="nil"/>
                    <w:tr2bl w:val="nil"/>
                  </w:tcBorders>
                  <w:shd w:val="clear" w:color="auto" w:fill="auto"/>
                  <w:vAlign w:val="center"/>
                </w:tcPr>
                <w:p w14:paraId="08ACD53B">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p>
              </w:tc>
              <w:tc>
                <w:tcPr>
                  <w:tcW w:w="770" w:type="pct"/>
                  <w:tcBorders>
                    <w:tl2br w:val="nil"/>
                    <w:tr2bl w:val="nil"/>
                  </w:tcBorders>
                  <w:shd w:val="clear" w:color="auto" w:fill="auto"/>
                  <w:vAlign w:val="center"/>
                </w:tcPr>
                <w:p w14:paraId="7B39034F">
                  <w:pPr>
                    <w:keepNext w:val="0"/>
                    <w:keepLines w:val="0"/>
                    <w:widowControl/>
                    <w:suppressLineNumbers w:val="0"/>
                    <w:jc w:val="left"/>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HW</w:t>
                  </w:r>
                  <w:r>
                    <w:rPr>
                      <w:rFonts w:hint="eastAsia" w:cs="Times New Roman"/>
                      <w:color w:val="auto"/>
                      <w:kern w:val="0"/>
                      <w:sz w:val="18"/>
                      <w:szCs w:val="18"/>
                      <w:lang w:val="en-US" w:eastAsia="zh-CN" w:bidi="ar"/>
                    </w:rPr>
                    <w:t>49</w:t>
                  </w:r>
                  <w:r>
                    <w:rPr>
                      <w:rFonts w:hint="eastAsia" w:ascii="宋体" w:hAnsi="宋体" w:eastAsia="宋体" w:cs="宋体"/>
                      <w:color w:val="auto"/>
                      <w:kern w:val="0"/>
                      <w:sz w:val="18"/>
                      <w:szCs w:val="18"/>
                      <w:lang w:val="en-US" w:eastAsia="zh-CN" w:bidi="ar"/>
                    </w:rPr>
                    <w:t>，</w:t>
                  </w:r>
                  <w:r>
                    <w:rPr>
                      <w:rFonts w:hint="eastAsia" w:cs="Times New Roman"/>
                      <w:color w:val="auto"/>
                      <w:kern w:val="0"/>
                      <w:sz w:val="18"/>
                      <w:szCs w:val="18"/>
                      <w:lang w:val="en-US" w:eastAsia="zh-CN" w:bidi="ar"/>
                    </w:rPr>
                    <w:t>900-041-49</w:t>
                  </w:r>
                </w:p>
              </w:tc>
              <w:tc>
                <w:tcPr>
                  <w:tcW w:w="605" w:type="pct"/>
                  <w:tcBorders>
                    <w:tl2br w:val="nil"/>
                    <w:tr2bl w:val="nil"/>
                  </w:tcBorders>
                  <w:shd w:val="clear" w:color="auto" w:fill="auto"/>
                  <w:vAlign w:val="center"/>
                </w:tcPr>
                <w:p w14:paraId="1B3C45CA">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0.04</w:t>
                  </w:r>
                  <w:r>
                    <w:rPr>
                      <w:color w:val="auto"/>
                      <w:sz w:val="18"/>
                      <w:szCs w:val="18"/>
                    </w:rPr>
                    <w:t>t/a</w:t>
                  </w:r>
                </w:p>
              </w:tc>
              <w:tc>
                <w:tcPr>
                  <w:tcW w:w="454" w:type="pct"/>
                  <w:tcBorders>
                    <w:tl2br w:val="nil"/>
                    <w:tr2bl w:val="nil"/>
                  </w:tcBorders>
                  <w:shd w:val="clear" w:color="auto" w:fill="auto"/>
                  <w:vAlign w:val="center"/>
                </w:tcPr>
                <w:p w14:paraId="5D683D07">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w:t>
                  </w:r>
                </w:p>
              </w:tc>
              <w:tc>
                <w:tcPr>
                  <w:tcW w:w="473" w:type="pct"/>
                  <w:tcBorders>
                    <w:tl2br w:val="nil"/>
                    <w:tr2bl w:val="nil"/>
                  </w:tcBorders>
                  <w:shd w:val="clear" w:color="auto" w:fill="auto"/>
                  <w:vAlign w:val="center"/>
                </w:tcPr>
                <w:p w14:paraId="3AFA3BEA">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0</w:t>
                  </w:r>
                </w:p>
              </w:tc>
              <w:tc>
                <w:tcPr>
                  <w:tcW w:w="296" w:type="pct"/>
                  <w:tcBorders>
                    <w:tl2br w:val="nil"/>
                    <w:tr2bl w:val="nil"/>
                  </w:tcBorders>
                  <w:shd w:val="clear" w:color="auto" w:fill="auto"/>
                  <w:vAlign w:val="center"/>
                </w:tcPr>
                <w:p w14:paraId="455F965F">
                  <w:pPr>
                    <w:pStyle w:val="76"/>
                    <w:spacing w:line="240" w:lineRule="exact"/>
                    <w:ind w:firstLine="0" w:firstLineChars="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每月</w:t>
                  </w:r>
                </w:p>
              </w:tc>
              <w:tc>
                <w:tcPr>
                  <w:tcW w:w="959" w:type="pct"/>
                  <w:vMerge w:val="continue"/>
                  <w:tcBorders>
                    <w:tl2br w:val="nil"/>
                    <w:tr2bl w:val="nil"/>
                  </w:tcBorders>
                  <w:vAlign w:val="center"/>
                </w:tcPr>
                <w:p w14:paraId="4ACAA723">
                  <w:pPr>
                    <w:pStyle w:val="76"/>
                    <w:spacing w:line="240" w:lineRule="exact"/>
                    <w:ind w:firstLine="0" w:firstLineChars="0"/>
                    <w:jc w:val="center"/>
                    <w:rPr>
                      <w:color w:val="auto"/>
                      <w:sz w:val="18"/>
                      <w:szCs w:val="18"/>
                    </w:rPr>
                  </w:pPr>
                </w:p>
              </w:tc>
            </w:tr>
            <w:tr w14:paraId="4164FE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21" w:type="pct"/>
                  <w:vMerge w:val="continue"/>
                  <w:tcBorders>
                    <w:tl2br w:val="nil"/>
                    <w:tr2bl w:val="nil"/>
                  </w:tcBorders>
                  <w:vAlign w:val="center"/>
                </w:tcPr>
                <w:p w14:paraId="70C52A5E">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0DF53C87">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废催</w:t>
                  </w:r>
                </w:p>
                <w:p w14:paraId="53C9067C">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化剂</w:t>
                  </w:r>
                </w:p>
              </w:tc>
              <w:tc>
                <w:tcPr>
                  <w:tcW w:w="391" w:type="pct"/>
                  <w:tcBorders>
                    <w:tl2br w:val="nil"/>
                    <w:tr2bl w:val="nil"/>
                  </w:tcBorders>
                  <w:shd w:val="clear" w:color="auto" w:fill="auto"/>
                  <w:vAlign w:val="center"/>
                </w:tcPr>
                <w:p w14:paraId="42EEC883">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w:t>
                  </w:r>
                </w:p>
              </w:tc>
              <w:tc>
                <w:tcPr>
                  <w:tcW w:w="770" w:type="pct"/>
                  <w:tcBorders>
                    <w:tl2br w:val="nil"/>
                    <w:tr2bl w:val="nil"/>
                  </w:tcBorders>
                  <w:shd w:val="clear" w:color="auto" w:fill="auto"/>
                  <w:vAlign w:val="center"/>
                </w:tcPr>
                <w:p w14:paraId="7B23BEE7">
                  <w:pPr>
                    <w:keepNext w:val="0"/>
                    <w:keepLines w:val="0"/>
                    <w:widowControl/>
                    <w:suppressLineNumbers w:val="0"/>
                    <w:jc w:val="left"/>
                    <w:rPr>
                      <w:rFonts w:hint="default" w:ascii="Times New Roman" w:hAnsi="Times New Roman" w:eastAsia="宋体" w:cs="Times New Roman"/>
                      <w:color w:val="auto"/>
                      <w:kern w:val="0"/>
                      <w:sz w:val="18"/>
                      <w:szCs w:val="18"/>
                      <w:lang w:val="en-US" w:eastAsia="zh-CN" w:bidi="ar"/>
                    </w:rPr>
                  </w:pPr>
                  <w:r>
                    <w:rPr>
                      <w:rFonts w:hint="eastAsia" w:cs="Times New Roman"/>
                      <w:color w:val="auto"/>
                      <w:kern w:val="0"/>
                      <w:sz w:val="18"/>
                      <w:szCs w:val="18"/>
                      <w:lang w:val="en-US" w:eastAsia="zh-CN" w:bidi="ar"/>
                    </w:rPr>
                    <w:t>HW50，900-048-50</w:t>
                  </w:r>
                </w:p>
              </w:tc>
              <w:tc>
                <w:tcPr>
                  <w:tcW w:w="605" w:type="pct"/>
                  <w:tcBorders>
                    <w:tl2br w:val="nil"/>
                    <w:tr2bl w:val="nil"/>
                  </w:tcBorders>
                  <w:shd w:val="clear" w:color="auto" w:fill="auto"/>
                  <w:vAlign w:val="center"/>
                </w:tcPr>
                <w:p w14:paraId="31B31D25">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0.3t/2a</w:t>
                  </w:r>
                </w:p>
              </w:tc>
              <w:tc>
                <w:tcPr>
                  <w:tcW w:w="454" w:type="pct"/>
                  <w:tcBorders>
                    <w:tl2br w:val="nil"/>
                    <w:tr2bl w:val="nil"/>
                  </w:tcBorders>
                  <w:shd w:val="clear" w:color="auto" w:fill="auto"/>
                  <w:vAlign w:val="center"/>
                </w:tcPr>
                <w:p w14:paraId="75C270A2">
                  <w:pPr>
                    <w:pStyle w:val="76"/>
                    <w:spacing w:line="240" w:lineRule="exact"/>
                    <w:ind w:firstLine="0" w:firstLineChars="0"/>
                    <w:jc w:val="center"/>
                    <w:rPr>
                      <w:rFonts w:hint="eastAsia"/>
                      <w:color w:val="auto"/>
                      <w:sz w:val="18"/>
                      <w:szCs w:val="18"/>
                      <w:lang w:val="en-US" w:eastAsia="zh-CN"/>
                    </w:rPr>
                  </w:pPr>
                  <w:r>
                    <w:rPr>
                      <w:rFonts w:hint="eastAsia"/>
                      <w:bCs/>
                      <w:color w:val="auto"/>
                      <w:sz w:val="18"/>
                      <w:szCs w:val="18"/>
                      <w:lang w:val="en-US" w:eastAsia="zh-CN"/>
                    </w:rPr>
                    <w:t>0</w:t>
                  </w:r>
                </w:p>
              </w:tc>
              <w:tc>
                <w:tcPr>
                  <w:tcW w:w="473" w:type="pct"/>
                  <w:tcBorders>
                    <w:tl2br w:val="nil"/>
                    <w:tr2bl w:val="nil"/>
                  </w:tcBorders>
                  <w:shd w:val="clear" w:color="auto" w:fill="auto"/>
                  <w:vAlign w:val="center"/>
                </w:tcPr>
                <w:p w14:paraId="225CD65D">
                  <w:pPr>
                    <w:pStyle w:val="76"/>
                    <w:spacing w:line="240" w:lineRule="exact"/>
                    <w:ind w:firstLine="0" w:firstLineChars="0"/>
                    <w:jc w:val="center"/>
                    <w:rPr>
                      <w:rFonts w:hint="eastAsia"/>
                      <w:color w:val="auto"/>
                      <w:sz w:val="18"/>
                      <w:szCs w:val="18"/>
                      <w:lang w:val="en-US" w:eastAsia="zh-CN"/>
                    </w:rPr>
                  </w:pPr>
                  <w:r>
                    <w:rPr>
                      <w:rFonts w:hint="eastAsia"/>
                      <w:bCs/>
                      <w:color w:val="auto"/>
                      <w:sz w:val="18"/>
                      <w:szCs w:val="18"/>
                      <w:lang w:val="en-US" w:eastAsia="zh-CN"/>
                    </w:rPr>
                    <w:t>0</w:t>
                  </w:r>
                </w:p>
              </w:tc>
              <w:tc>
                <w:tcPr>
                  <w:tcW w:w="296" w:type="pct"/>
                  <w:tcBorders>
                    <w:tl2br w:val="nil"/>
                    <w:tr2bl w:val="nil"/>
                  </w:tcBorders>
                  <w:shd w:val="clear" w:color="auto" w:fill="auto"/>
                  <w:vAlign w:val="center"/>
                </w:tcPr>
                <w:p w14:paraId="70E8D3B4">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每2年</w:t>
                  </w:r>
                </w:p>
              </w:tc>
              <w:tc>
                <w:tcPr>
                  <w:tcW w:w="959" w:type="pct"/>
                  <w:vMerge w:val="continue"/>
                  <w:tcBorders>
                    <w:tl2br w:val="nil"/>
                    <w:tr2bl w:val="nil"/>
                  </w:tcBorders>
                  <w:vAlign w:val="center"/>
                </w:tcPr>
                <w:p w14:paraId="3F5AF71D">
                  <w:pPr>
                    <w:pStyle w:val="76"/>
                    <w:spacing w:line="240" w:lineRule="exact"/>
                    <w:ind w:firstLine="0" w:firstLineChars="0"/>
                    <w:jc w:val="center"/>
                    <w:rPr>
                      <w:color w:val="auto"/>
                      <w:sz w:val="18"/>
                      <w:szCs w:val="18"/>
                    </w:rPr>
                  </w:pPr>
                </w:p>
              </w:tc>
            </w:tr>
            <w:tr w14:paraId="3415F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21" w:type="pct"/>
                  <w:vMerge w:val="continue"/>
                  <w:tcBorders>
                    <w:tl2br w:val="nil"/>
                    <w:tr2bl w:val="nil"/>
                  </w:tcBorders>
                  <w:vAlign w:val="center"/>
                </w:tcPr>
                <w:p w14:paraId="501BDCA3">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7216E388">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废过</w:t>
                  </w:r>
                </w:p>
                <w:p w14:paraId="5772E936">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滤棉</w:t>
                  </w:r>
                </w:p>
              </w:tc>
              <w:tc>
                <w:tcPr>
                  <w:tcW w:w="391" w:type="pct"/>
                  <w:tcBorders>
                    <w:tl2br w:val="nil"/>
                    <w:tr2bl w:val="nil"/>
                  </w:tcBorders>
                  <w:shd w:val="clear" w:color="auto" w:fill="auto"/>
                  <w:vAlign w:val="center"/>
                </w:tcPr>
                <w:p w14:paraId="58F4493C">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有机废气</w:t>
                  </w:r>
                </w:p>
              </w:tc>
              <w:tc>
                <w:tcPr>
                  <w:tcW w:w="770" w:type="pct"/>
                  <w:tcBorders>
                    <w:tl2br w:val="nil"/>
                    <w:tr2bl w:val="nil"/>
                  </w:tcBorders>
                  <w:shd w:val="clear" w:color="auto" w:fill="auto"/>
                  <w:vAlign w:val="center"/>
                </w:tcPr>
                <w:p w14:paraId="320E5CEB">
                  <w:pPr>
                    <w:keepNext w:val="0"/>
                    <w:keepLines w:val="0"/>
                    <w:widowControl/>
                    <w:suppressLineNumbers w:val="0"/>
                    <w:jc w:val="left"/>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HW</w:t>
                  </w:r>
                  <w:r>
                    <w:rPr>
                      <w:rFonts w:hint="eastAsia" w:cs="Times New Roman"/>
                      <w:color w:val="auto"/>
                      <w:kern w:val="0"/>
                      <w:sz w:val="18"/>
                      <w:szCs w:val="18"/>
                      <w:lang w:val="en-US" w:eastAsia="zh-CN" w:bidi="ar"/>
                    </w:rPr>
                    <w:t>49</w:t>
                  </w:r>
                  <w:r>
                    <w:rPr>
                      <w:rFonts w:hint="eastAsia" w:ascii="宋体" w:hAnsi="宋体" w:eastAsia="宋体" w:cs="宋体"/>
                      <w:color w:val="auto"/>
                      <w:kern w:val="0"/>
                      <w:sz w:val="18"/>
                      <w:szCs w:val="18"/>
                      <w:lang w:val="en-US" w:eastAsia="zh-CN" w:bidi="ar"/>
                    </w:rPr>
                    <w:t>，</w:t>
                  </w:r>
                  <w:r>
                    <w:rPr>
                      <w:rFonts w:hint="eastAsia" w:cs="Times New Roman"/>
                      <w:color w:val="auto"/>
                      <w:kern w:val="0"/>
                      <w:sz w:val="18"/>
                      <w:szCs w:val="18"/>
                      <w:lang w:val="en-US" w:eastAsia="zh-CN" w:bidi="ar"/>
                    </w:rPr>
                    <w:t>900-041-49</w:t>
                  </w:r>
                </w:p>
              </w:tc>
              <w:tc>
                <w:tcPr>
                  <w:tcW w:w="605" w:type="pct"/>
                  <w:tcBorders>
                    <w:tl2br w:val="nil"/>
                    <w:tr2bl w:val="nil"/>
                  </w:tcBorders>
                  <w:shd w:val="clear" w:color="auto" w:fill="auto"/>
                  <w:vAlign w:val="center"/>
                </w:tcPr>
                <w:p w14:paraId="7DB0B89D">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0.02t/a</w:t>
                  </w:r>
                </w:p>
              </w:tc>
              <w:tc>
                <w:tcPr>
                  <w:tcW w:w="454" w:type="pct"/>
                  <w:tcBorders>
                    <w:tl2br w:val="nil"/>
                    <w:tr2bl w:val="nil"/>
                  </w:tcBorders>
                  <w:shd w:val="clear" w:color="auto" w:fill="auto"/>
                  <w:vAlign w:val="center"/>
                </w:tcPr>
                <w:p w14:paraId="094E910E">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shd w:val="clear" w:color="auto" w:fill="auto"/>
                  <w:vAlign w:val="center"/>
                </w:tcPr>
                <w:p w14:paraId="33B9E69B">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shd w:val="clear" w:color="auto" w:fill="auto"/>
                  <w:vAlign w:val="center"/>
                </w:tcPr>
                <w:p w14:paraId="6EAFD74B">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每年</w:t>
                  </w:r>
                </w:p>
              </w:tc>
              <w:tc>
                <w:tcPr>
                  <w:tcW w:w="959" w:type="pct"/>
                  <w:vMerge w:val="continue"/>
                  <w:tcBorders>
                    <w:tl2br w:val="nil"/>
                    <w:tr2bl w:val="nil"/>
                  </w:tcBorders>
                  <w:vAlign w:val="center"/>
                </w:tcPr>
                <w:p w14:paraId="21BA5D78">
                  <w:pPr>
                    <w:pStyle w:val="76"/>
                    <w:spacing w:line="240" w:lineRule="exact"/>
                    <w:ind w:firstLine="0" w:firstLineChars="0"/>
                    <w:jc w:val="center"/>
                    <w:rPr>
                      <w:color w:val="auto"/>
                      <w:sz w:val="18"/>
                      <w:szCs w:val="18"/>
                    </w:rPr>
                  </w:pPr>
                </w:p>
              </w:tc>
            </w:tr>
            <w:tr w14:paraId="20C3BB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21" w:type="pct"/>
                  <w:vMerge w:val="continue"/>
                  <w:tcBorders>
                    <w:tl2br w:val="nil"/>
                    <w:tr2bl w:val="nil"/>
                  </w:tcBorders>
                  <w:vAlign w:val="center"/>
                </w:tcPr>
                <w:p w14:paraId="5B4E43D1">
                  <w:pPr>
                    <w:pStyle w:val="76"/>
                    <w:spacing w:line="240" w:lineRule="exact"/>
                    <w:ind w:firstLine="0" w:firstLineChars="0"/>
                    <w:jc w:val="center"/>
                    <w:rPr>
                      <w:rFonts w:hint="eastAsia"/>
                      <w:color w:val="auto"/>
                      <w:sz w:val="18"/>
                      <w:szCs w:val="18"/>
                      <w:lang w:val="en-US" w:eastAsia="zh-CN"/>
                    </w:rPr>
                  </w:pPr>
                </w:p>
              </w:tc>
              <w:tc>
                <w:tcPr>
                  <w:tcW w:w="627" w:type="pct"/>
                  <w:tcBorders>
                    <w:tl2br w:val="nil"/>
                    <w:tr2bl w:val="nil"/>
                  </w:tcBorders>
                  <w:shd w:val="clear" w:color="auto" w:fill="auto"/>
                  <w:vAlign w:val="center"/>
                </w:tcPr>
                <w:p w14:paraId="434A47F6">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废活</w:t>
                  </w:r>
                </w:p>
                <w:p w14:paraId="6FE54B4A">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性炭</w:t>
                  </w:r>
                </w:p>
              </w:tc>
              <w:tc>
                <w:tcPr>
                  <w:tcW w:w="391" w:type="pct"/>
                  <w:tcBorders>
                    <w:tl2br w:val="nil"/>
                    <w:tr2bl w:val="nil"/>
                  </w:tcBorders>
                  <w:shd w:val="clear" w:color="auto" w:fill="auto"/>
                  <w:vAlign w:val="center"/>
                </w:tcPr>
                <w:p w14:paraId="4506A5CB">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有机废气</w:t>
                  </w:r>
                </w:p>
              </w:tc>
              <w:tc>
                <w:tcPr>
                  <w:tcW w:w="770" w:type="pct"/>
                  <w:tcBorders>
                    <w:tl2br w:val="nil"/>
                    <w:tr2bl w:val="nil"/>
                  </w:tcBorders>
                  <w:shd w:val="clear" w:color="auto" w:fill="auto"/>
                  <w:vAlign w:val="center"/>
                </w:tcPr>
                <w:p w14:paraId="03E71BF1">
                  <w:pPr>
                    <w:keepNext w:val="0"/>
                    <w:keepLines w:val="0"/>
                    <w:widowControl/>
                    <w:suppressLineNumbers w:val="0"/>
                    <w:jc w:val="left"/>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HW</w:t>
                  </w:r>
                  <w:r>
                    <w:rPr>
                      <w:rFonts w:hint="eastAsia" w:cs="Times New Roman"/>
                      <w:color w:val="auto"/>
                      <w:kern w:val="0"/>
                      <w:sz w:val="18"/>
                      <w:szCs w:val="18"/>
                      <w:lang w:val="en-US" w:eastAsia="zh-CN" w:bidi="ar"/>
                    </w:rPr>
                    <w:t>49</w:t>
                  </w:r>
                  <w:r>
                    <w:rPr>
                      <w:rFonts w:hint="eastAsia" w:ascii="宋体" w:hAnsi="宋体" w:eastAsia="宋体" w:cs="宋体"/>
                      <w:color w:val="auto"/>
                      <w:kern w:val="0"/>
                      <w:sz w:val="18"/>
                      <w:szCs w:val="18"/>
                      <w:lang w:val="en-US" w:eastAsia="zh-CN" w:bidi="ar"/>
                    </w:rPr>
                    <w:t>，</w:t>
                  </w:r>
                  <w:r>
                    <w:rPr>
                      <w:rFonts w:hint="eastAsia" w:cs="Times New Roman"/>
                      <w:color w:val="auto"/>
                      <w:kern w:val="0"/>
                      <w:sz w:val="18"/>
                      <w:szCs w:val="18"/>
                      <w:lang w:val="en-US" w:eastAsia="zh-CN" w:bidi="ar"/>
                    </w:rPr>
                    <w:t>900-039-49</w:t>
                  </w:r>
                </w:p>
              </w:tc>
              <w:tc>
                <w:tcPr>
                  <w:tcW w:w="605" w:type="pct"/>
                  <w:tcBorders>
                    <w:tl2br w:val="nil"/>
                    <w:tr2bl w:val="nil"/>
                  </w:tcBorders>
                  <w:shd w:val="clear" w:color="auto" w:fill="auto"/>
                  <w:vAlign w:val="center"/>
                </w:tcPr>
                <w:p w14:paraId="4C662C85">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0.9t/a</w:t>
                  </w:r>
                </w:p>
              </w:tc>
              <w:tc>
                <w:tcPr>
                  <w:tcW w:w="454" w:type="pct"/>
                  <w:tcBorders>
                    <w:tl2br w:val="nil"/>
                    <w:tr2bl w:val="nil"/>
                  </w:tcBorders>
                  <w:shd w:val="clear" w:color="auto" w:fill="auto"/>
                  <w:vAlign w:val="center"/>
                </w:tcPr>
                <w:p w14:paraId="707FF94B">
                  <w:pPr>
                    <w:pStyle w:val="76"/>
                    <w:spacing w:line="240" w:lineRule="exact"/>
                    <w:ind w:firstLine="0" w:firstLineChars="0"/>
                    <w:jc w:val="center"/>
                    <w:rPr>
                      <w:rFonts w:hint="eastAsia"/>
                      <w:color w:val="auto"/>
                      <w:sz w:val="18"/>
                      <w:szCs w:val="18"/>
                      <w:lang w:val="en-US" w:eastAsia="zh-CN"/>
                    </w:rPr>
                  </w:pPr>
                  <w:r>
                    <w:rPr>
                      <w:rFonts w:hint="eastAsia"/>
                      <w:bCs/>
                      <w:color w:val="auto"/>
                      <w:sz w:val="18"/>
                      <w:szCs w:val="18"/>
                      <w:lang w:val="en-US" w:eastAsia="zh-CN"/>
                    </w:rPr>
                    <w:t>0</w:t>
                  </w:r>
                </w:p>
              </w:tc>
              <w:tc>
                <w:tcPr>
                  <w:tcW w:w="473" w:type="pct"/>
                  <w:tcBorders>
                    <w:tl2br w:val="nil"/>
                    <w:tr2bl w:val="nil"/>
                  </w:tcBorders>
                  <w:shd w:val="clear" w:color="auto" w:fill="auto"/>
                  <w:vAlign w:val="center"/>
                </w:tcPr>
                <w:p w14:paraId="4C2AB420">
                  <w:pPr>
                    <w:pStyle w:val="76"/>
                    <w:spacing w:line="240" w:lineRule="exact"/>
                    <w:ind w:firstLine="0" w:firstLineChars="0"/>
                    <w:jc w:val="center"/>
                    <w:rPr>
                      <w:rFonts w:hint="eastAsia"/>
                      <w:color w:val="auto"/>
                      <w:sz w:val="18"/>
                      <w:szCs w:val="18"/>
                      <w:lang w:val="en-US" w:eastAsia="zh-CN"/>
                    </w:rPr>
                  </w:pPr>
                  <w:r>
                    <w:rPr>
                      <w:rFonts w:hint="eastAsia"/>
                      <w:bCs/>
                      <w:color w:val="auto"/>
                      <w:sz w:val="18"/>
                      <w:szCs w:val="18"/>
                      <w:lang w:val="en-US" w:eastAsia="zh-CN"/>
                    </w:rPr>
                    <w:t>0</w:t>
                  </w:r>
                </w:p>
              </w:tc>
              <w:tc>
                <w:tcPr>
                  <w:tcW w:w="296" w:type="pct"/>
                  <w:tcBorders>
                    <w:tl2br w:val="nil"/>
                    <w:tr2bl w:val="nil"/>
                  </w:tcBorders>
                  <w:shd w:val="clear" w:color="auto" w:fill="auto"/>
                  <w:vAlign w:val="center"/>
                </w:tcPr>
                <w:p w14:paraId="6BE63D5F">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每年</w:t>
                  </w:r>
                </w:p>
              </w:tc>
              <w:tc>
                <w:tcPr>
                  <w:tcW w:w="959" w:type="pct"/>
                  <w:vMerge w:val="continue"/>
                  <w:tcBorders>
                    <w:tl2br w:val="nil"/>
                    <w:tr2bl w:val="nil"/>
                  </w:tcBorders>
                  <w:vAlign w:val="center"/>
                </w:tcPr>
                <w:p w14:paraId="427C4FEE">
                  <w:pPr>
                    <w:pStyle w:val="76"/>
                    <w:spacing w:line="240" w:lineRule="exact"/>
                    <w:ind w:firstLine="0" w:firstLineChars="0"/>
                    <w:jc w:val="center"/>
                    <w:rPr>
                      <w:color w:val="auto"/>
                      <w:sz w:val="18"/>
                      <w:szCs w:val="18"/>
                    </w:rPr>
                  </w:pPr>
                </w:p>
              </w:tc>
            </w:tr>
            <w:tr w14:paraId="3FCA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1" w:type="pct"/>
                  <w:tcBorders>
                    <w:tl2br w:val="nil"/>
                    <w:tr2bl w:val="nil"/>
                  </w:tcBorders>
                  <w:shd w:val="clear" w:color="auto" w:fill="auto"/>
                  <w:vAlign w:val="center"/>
                </w:tcPr>
                <w:p w14:paraId="52E8CF39">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rPr>
                    <w:t>生活</w:t>
                  </w:r>
                  <w:r>
                    <w:rPr>
                      <w:color w:val="auto"/>
                      <w:sz w:val="18"/>
                      <w:szCs w:val="18"/>
                    </w:rPr>
                    <w:t>垃圾</w:t>
                  </w:r>
                </w:p>
              </w:tc>
              <w:tc>
                <w:tcPr>
                  <w:tcW w:w="627" w:type="pct"/>
                  <w:tcBorders>
                    <w:tl2br w:val="nil"/>
                    <w:tr2bl w:val="nil"/>
                  </w:tcBorders>
                  <w:shd w:val="clear" w:color="auto" w:fill="auto"/>
                  <w:vAlign w:val="center"/>
                </w:tcPr>
                <w:p w14:paraId="193D8112">
                  <w:pPr>
                    <w:pStyle w:val="76"/>
                    <w:spacing w:line="240" w:lineRule="exact"/>
                    <w:ind w:firstLine="0" w:firstLineChars="0"/>
                    <w:jc w:val="center"/>
                    <w:rPr>
                      <w:rFonts w:hint="eastAsia"/>
                      <w:color w:val="auto"/>
                      <w:sz w:val="18"/>
                      <w:szCs w:val="18"/>
                      <w:lang w:val="en-US" w:eastAsia="zh-CN"/>
                    </w:rPr>
                  </w:pPr>
                  <w:r>
                    <w:rPr>
                      <w:rFonts w:hint="eastAsia"/>
                      <w:color w:val="auto"/>
                      <w:sz w:val="18"/>
                      <w:szCs w:val="18"/>
                      <w:lang w:val="en-US" w:eastAsia="zh-CN"/>
                    </w:rPr>
                    <w:t>生活</w:t>
                  </w:r>
                </w:p>
                <w:p w14:paraId="09A9A87B">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垃圾</w:t>
                  </w:r>
                </w:p>
              </w:tc>
              <w:tc>
                <w:tcPr>
                  <w:tcW w:w="391" w:type="pct"/>
                  <w:tcBorders>
                    <w:tl2br w:val="nil"/>
                    <w:tr2bl w:val="nil"/>
                  </w:tcBorders>
                  <w:shd w:val="clear" w:color="auto" w:fill="auto"/>
                  <w:vAlign w:val="center"/>
                </w:tcPr>
                <w:p w14:paraId="5C8C0275">
                  <w:pPr>
                    <w:pStyle w:val="76"/>
                    <w:spacing w:line="240" w:lineRule="exact"/>
                    <w:ind w:firstLine="0" w:firstLineChars="0"/>
                    <w:jc w:val="center"/>
                    <w:rPr>
                      <w:rFonts w:hint="eastAsia" w:cs="Times New Roman"/>
                      <w:color w:val="auto"/>
                      <w:kern w:val="2"/>
                      <w:sz w:val="18"/>
                      <w:szCs w:val="18"/>
                      <w:lang w:val="en-US" w:eastAsia="zh-CN" w:bidi="ar-SA"/>
                    </w:rPr>
                  </w:pPr>
                  <w:r>
                    <w:rPr>
                      <w:rFonts w:hint="eastAsia" w:cs="Times New Roman"/>
                      <w:color w:val="auto"/>
                      <w:kern w:val="2"/>
                      <w:sz w:val="18"/>
                      <w:szCs w:val="18"/>
                      <w:lang w:val="en-US" w:eastAsia="zh-CN" w:bidi="ar-SA"/>
                    </w:rPr>
                    <w:t>生活</w:t>
                  </w:r>
                </w:p>
                <w:p w14:paraId="3AEF5774">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垃圾</w:t>
                  </w:r>
                </w:p>
              </w:tc>
              <w:tc>
                <w:tcPr>
                  <w:tcW w:w="770" w:type="pct"/>
                  <w:tcBorders>
                    <w:tl2br w:val="nil"/>
                    <w:tr2bl w:val="nil"/>
                  </w:tcBorders>
                  <w:vAlign w:val="center"/>
                </w:tcPr>
                <w:p w14:paraId="1F6E8A4A">
                  <w:pPr>
                    <w:pStyle w:val="76"/>
                    <w:spacing w:line="240" w:lineRule="exact"/>
                    <w:ind w:firstLine="0" w:firstLineChars="0"/>
                    <w:jc w:val="center"/>
                    <w:rPr>
                      <w:rFonts w:hint="default" w:eastAsia="宋体"/>
                      <w:color w:val="auto"/>
                      <w:sz w:val="18"/>
                      <w:szCs w:val="18"/>
                      <w:lang w:val="en-US" w:eastAsia="zh-CN"/>
                    </w:rPr>
                  </w:pPr>
                  <w:r>
                    <w:rPr>
                      <w:rFonts w:hint="eastAsia"/>
                      <w:color w:val="auto"/>
                      <w:sz w:val="18"/>
                      <w:szCs w:val="18"/>
                      <w:lang w:val="en-US" w:eastAsia="zh-CN"/>
                    </w:rPr>
                    <w:t>900-099-S64</w:t>
                  </w:r>
                </w:p>
              </w:tc>
              <w:tc>
                <w:tcPr>
                  <w:tcW w:w="605" w:type="pct"/>
                  <w:tcBorders>
                    <w:tl2br w:val="nil"/>
                    <w:tr2bl w:val="nil"/>
                  </w:tcBorders>
                  <w:vAlign w:val="center"/>
                </w:tcPr>
                <w:p w14:paraId="07D99510">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7.5</w:t>
                  </w:r>
                  <w:r>
                    <w:rPr>
                      <w:color w:val="auto"/>
                      <w:sz w:val="18"/>
                      <w:szCs w:val="18"/>
                    </w:rPr>
                    <w:t>t/a</w:t>
                  </w:r>
                </w:p>
              </w:tc>
              <w:tc>
                <w:tcPr>
                  <w:tcW w:w="454" w:type="pct"/>
                  <w:tcBorders>
                    <w:tl2br w:val="nil"/>
                    <w:tr2bl w:val="nil"/>
                  </w:tcBorders>
                  <w:vAlign w:val="center"/>
                </w:tcPr>
                <w:p w14:paraId="0DA69172">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473" w:type="pct"/>
                  <w:tcBorders>
                    <w:tl2br w:val="nil"/>
                    <w:tr2bl w:val="nil"/>
                  </w:tcBorders>
                  <w:vAlign w:val="center"/>
                </w:tcPr>
                <w:p w14:paraId="3F400AE4">
                  <w:pPr>
                    <w:pStyle w:val="76"/>
                    <w:spacing w:line="240" w:lineRule="exact"/>
                    <w:ind w:firstLine="0" w:firstLineChars="0"/>
                    <w:jc w:val="center"/>
                    <w:rPr>
                      <w:rFonts w:hint="default"/>
                      <w:color w:val="auto"/>
                      <w:sz w:val="18"/>
                      <w:szCs w:val="18"/>
                      <w:lang w:val="en-US" w:eastAsia="zh-CN"/>
                    </w:rPr>
                  </w:pPr>
                  <w:r>
                    <w:rPr>
                      <w:rFonts w:hint="eastAsia"/>
                      <w:color w:val="auto"/>
                      <w:sz w:val="18"/>
                      <w:szCs w:val="18"/>
                      <w:lang w:val="en-US" w:eastAsia="zh-CN"/>
                    </w:rPr>
                    <w:t>0</w:t>
                  </w:r>
                </w:p>
              </w:tc>
              <w:tc>
                <w:tcPr>
                  <w:tcW w:w="296" w:type="pct"/>
                  <w:tcBorders>
                    <w:tl2br w:val="nil"/>
                    <w:tr2bl w:val="nil"/>
                  </w:tcBorders>
                  <w:shd w:val="clear" w:color="auto" w:fill="auto"/>
                  <w:vAlign w:val="center"/>
                </w:tcPr>
                <w:p w14:paraId="5D044EB2">
                  <w:pPr>
                    <w:pStyle w:val="76"/>
                    <w:spacing w:line="240" w:lineRule="exact"/>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每日</w:t>
                  </w:r>
                </w:p>
              </w:tc>
              <w:tc>
                <w:tcPr>
                  <w:tcW w:w="959" w:type="pct"/>
                  <w:tcBorders>
                    <w:tl2br w:val="nil"/>
                    <w:tr2bl w:val="nil"/>
                  </w:tcBorders>
                  <w:vAlign w:val="center"/>
                </w:tcPr>
                <w:p w14:paraId="5B50A20A">
                  <w:pPr>
                    <w:pStyle w:val="76"/>
                    <w:spacing w:line="240" w:lineRule="exact"/>
                    <w:ind w:firstLine="0" w:firstLineChars="0"/>
                    <w:jc w:val="center"/>
                    <w:rPr>
                      <w:rFonts w:hint="default"/>
                      <w:color w:val="auto"/>
                      <w:sz w:val="18"/>
                      <w:szCs w:val="18"/>
                      <w:lang w:val="en-US" w:eastAsia="zh-CN"/>
                    </w:rPr>
                  </w:pPr>
                  <w:r>
                    <w:rPr>
                      <w:color w:val="auto"/>
                      <w:sz w:val="18"/>
                      <w:szCs w:val="18"/>
                    </w:rPr>
                    <w:t>收集于封闭式垃圾箱内，定期由环卫部门清运处置</w:t>
                  </w:r>
                </w:p>
              </w:tc>
            </w:tr>
          </w:tbl>
          <w:p w14:paraId="4588F7DC">
            <w:pPr>
              <w:spacing w:line="360" w:lineRule="auto"/>
              <w:ind w:firstLine="420" w:firstLineChars="200"/>
              <w:rPr>
                <w:bCs/>
                <w:snapToGrid w:val="0"/>
                <w:color w:val="auto"/>
                <w:szCs w:val="21"/>
              </w:rPr>
            </w:pPr>
            <w:r>
              <w:rPr>
                <w:rFonts w:hint="eastAsia"/>
                <w:bCs/>
                <w:snapToGrid w:val="0"/>
                <w:color w:val="auto"/>
                <w:szCs w:val="21"/>
              </w:rPr>
              <w:t>一般固废管理要求：</w:t>
            </w:r>
          </w:p>
          <w:p w14:paraId="725DF8EE">
            <w:pPr>
              <w:spacing w:line="360" w:lineRule="auto"/>
              <w:ind w:firstLine="420" w:firstLineChars="200"/>
              <w:rPr>
                <w:bCs/>
                <w:snapToGrid w:val="0"/>
                <w:color w:val="auto"/>
                <w:szCs w:val="21"/>
              </w:rPr>
            </w:pPr>
            <w:r>
              <w:rPr>
                <w:rFonts w:hint="eastAsia" w:ascii="宋体" w:hAnsi="宋体" w:cs="宋体"/>
                <w:bCs/>
                <w:snapToGrid w:val="0"/>
                <w:color w:val="auto"/>
                <w:szCs w:val="21"/>
              </w:rPr>
              <w:t>①</w:t>
            </w:r>
            <w:r>
              <w:rPr>
                <w:bCs/>
                <w:snapToGrid w:val="0"/>
                <w:color w:val="auto"/>
                <w:szCs w:val="21"/>
              </w:rPr>
              <w:t>建设产生、贮存、利用、处置固体废物的项目</w:t>
            </w:r>
            <w:r>
              <w:rPr>
                <w:rFonts w:hint="eastAsia"/>
                <w:bCs/>
                <w:snapToGrid w:val="0"/>
                <w:color w:val="auto"/>
                <w:szCs w:val="21"/>
              </w:rPr>
              <w:t>，</w:t>
            </w:r>
            <w:r>
              <w:rPr>
                <w:bCs/>
                <w:snapToGrid w:val="0"/>
                <w:color w:val="auto"/>
                <w:szCs w:val="21"/>
              </w:rPr>
              <w:t>应当依法进行环境影响评价</w:t>
            </w:r>
            <w:r>
              <w:rPr>
                <w:rFonts w:hint="eastAsia"/>
                <w:bCs/>
                <w:snapToGrid w:val="0"/>
                <w:color w:val="auto"/>
                <w:szCs w:val="21"/>
              </w:rPr>
              <w:t>，</w:t>
            </w:r>
            <w:r>
              <w:rPr>
                <w:bCs/>
                <w:snapToGrid w:val="0"/>
                <w:color w:val="auto"/>
                <w:szCs w:val="21"/>
              </w:rPr>
              <w:t>并遵守国家有关建设项目环境保护管理的规定</w:t>
            </w:r>
            <w:r>
              <w:rPr>
                <w:rFonts w:hint="eastAsia"/>
                <w:bCs/>
                <w:snapToGrid w:val="0"/>
                <w:color w:val="auto"/>
                <w:szCs w:val="21"/>
              </w:rPr>
              <w:t>；</w:t>
            </w:r>
          </w:p>
          <w:p w14:paraId="2F5EBA66">
            <w:pPr>
              <w:spacing w:line="360" w:lineRule="auto"/>
              <w:ind w:firstLine="420" w:firstLineChars="200"/>
              <w:rPr>
                <w:bCs/>
                <w:snapToGrid w:val="0"/>
                <w:color w:val="auto"/>
                <w:szCs w:val="21"/>
              </w:rPr>
            </w:pPr>
            <w:r>
              <w:rPr>
                <w:rFonts w:hint="eastAsia" w:ascii="宋体" w:hAnsi="宋体" w:cs="宋体"/>
                <w:bCs/>
                <w:snapToGrid w:val="0"/>
                <w:color w:val="auto"/>
                <w:szCs w:val="21"/>
              </w:rPr>
              <w:t>②</w:t>
            </w:r>
            <w:r>
              <w:rPr>
                <w:bCs/>
                <w:snapToGrid w:val="0"/>
                <w:color w:val="auto"/>
                <w:szCs w:val="21"/>
              </w:rPr>
              <w:t>建设单位应当依照有关法律法规的规定</w:t>
            </w:r>
            <w:r>
              <w:rPr>
                <w:rFonts w:hint="eastAsia"/>
                <w:bCs/>
                <w:snapToGrid w:val="0"/>
                <w:color w:val="auto"/>
                <w:szCs w:val="21"/>
              </w:rPr>
              <w:t>，</w:t>
            </w:r>
            <w:r>
              <w:rPr>
                <w:bCs/>
                <w:snapToGrid w:val="0"/>
                <w:color w:val="auto"/>
                <w:szCs w:val="21"/>
              </w:rPr>
              <w:t>对配套建设的固体废物污染环境防治设施进行验收</w:t>
            </w:r>
            <w:r>
              <w:rPr>
                <w:rFonts w:hint="eastAsia"/>
                <w:bCs/>
                <w:snapToGrid w:val="0"/>
                <w:color w:val="auto"/>
                <w:szCs w:val="21"/>
              </w:rPr>
              <w:t>，</w:t>
            </w:r>
            <w:r>
              <w:rPr>
                <w:bCs/>
                <w:snapToGrid w:val="0"/>
                <w:color w:val="auto"/>
                <w:szCs w:val="21"/>
              </w:rPr>
              <w:t>编制验收报告</w:t>
            </w:r>
            <w:r>
              <w:rPr>
                <w:rFonts w:hint="eastAsia"/>
                <w:bCs/>
                <w:snapToGrid w:val="0"/>
                <w:color w:val="auto"/>
                <w:szCs w:val="21"/>
              </w:rPr>
              <w:t>，</w:t>
            </w:r>
            <w:r>
              <w:rPr>
                <w:bCs/>
                <w:snapToGrid w:val="0"/>
                <w:color w:val="auto"/>
                <w:szCs w:val="21"/>
              </w:rPr>
              <w:t>并向社会公开。</w:t>
            </w:r>
          </w:p>
          <w:p w14:paraId="5778F1C7">
            <w:pPr>
              <w:spacing w:line="360" w:lineRule="auto"/>
              <w:ind w:firstLine="420" w:firstLineChars="200"/>
              <w:rPr>
                <w:bCs/>
                <w:snapToGrid w:val="0"/>
                <w:color w:val="auto"/>
                <w:szCs w:val="21"/>
              </w:rPr>
            </w:pPr>
            <w:r>
              <w:rPr>
                <w:rFonts w:hint="eastAsia" w:ascii="宋体" w:hAnsi="宋体" w:cs="宋体"/>
                <w:bCs/>
                <w:snapToGrid w:val="0"/>
                <w:color w:val="auto"/>
                <w:szCs w:val="21"/>
              </w:rPr>
              <w:t>③</w:t>
            </w:r>
            <w:r>
              <w:rPr>
                <w:bCs/>
                <w:snapToGrid w:val="0"/>
                <w:color w:val="auto"/>
                <w:szCs w:val="21"/>
              </w:rPr>
              <w:t>产生、收集、贮存、运输、利用、处置固体废物的单位和其他生产经营者</w:t>
            </w:r>
            <w:r>
              <w:rPr>
                <w:rFonts w:hint="eastAsia"/>
                <w:bCs/>
                <w:snapToGrid w:val="0"/>
                <w:color w:val="auto"/>
                <w:szCs w:val="21"/>
              </w:rPr>
              <w:t>，</w:t>
            </w:r>
            <w:r>
              <w:rPr>
                <w:bCs/>
                <w:snapToGrid w:val="0"/>
                <w:color w:val="auto"/>
                <w:szCs w:val="21"/>
              </w:rPr>
              <w:t>应当采取防扬散、防流失、防渗漏或者其他防止污染环境的措施</w:t>
            </w:r>
            <w:r>
              <w:rPr>
                <w:rFonts w:hint="eastAsia"/>
                <w:bCs/>
                <w:snapToGrid w:val="0"/>
                <w:color w:val="auto"/>
                <w:szCs w:val="21"/>
                <w:lang w:eastAsia="zh-CN"/>
              </w:rPr>
              <w:t>，</w:t>
            </w:r>
            <w:r>
              <w:rPr>
                <w:bCs/>
                <w:snapToGrid w:val="0"/>
                <w:color w:val="auto"/>
                <w:szCs w:val="21"/>
              </w:rPr>
              <w:t>不得擅自倾倒、堆放、丢弃、遗撒固体废物</w:t>
            </w:r>
            <w:r>
              <w:rPr>
                <w:rFonts w:hint="eastAsia"/>
                <w:bCs/>
                <w:snapToGrid w:val="0"/>
                <w:color w:val="auto"/>
                <w:szCs w:val="21"/>
              </w:rPr>
              <w:t>；</w:t>
            </w:r>
          </w:p>
          <w:p w14:paraId="1E74EB0C">
            <w:pPr>
              <w:spacing w:line="360" w:lineRule="auto"/>
              <w:ind w:firstLine="420" w:firstLineChars="200"/>
              <w:rPr>
                <w:bCs/>
                <w:snapToGrid w:val="0"/>
                <w:color w:val="auto"/>
                <w:szCs w:val="21"/>
              </w:rPr>
            </w:pPr>
            <w:r>
              <w:rPr>
                <w:rFonts w:hint="eastAsia" w:ascii="宋体" w:hAnsi="宋体" w:cs="宋体"/>
                <w:bCs/>
                <w:snapToGrid w:val="0"/>
                <w:color w:val="auto"/>
                <w:szCs w:val="21"/>
              </w:rPr>
              <w:t>④</w:t>
            </w:r>
            <w:r>
              <w:rPr>
                <w:bCs/>
                <w:snapToGrid w:val="0"/>
                <w:color w:val="auto"/>
                <w:szCs w:val="21"/>
              </w:rPr>
              <w:t>产生工业固体废物的单位应当建立健全工业固体废物产生、收集、贮存、运输、利用、处置全过程的污染环境防治责任制度,建立工业固体废物管理台账</w:t>
            </w:r>
            <w:r>
              <w:rPr>
                <w:rFonts w:hint="eastAsia"/>
                <w:bCs/>
                <w:snapToGrid w:val="0"/>
                <w:color w:val="auto"/>
                <w:szCs w:val="21"/>
                <w:lang w:eastAsia="zh-CN"/>
              </w:rPr>
              <w:t>，</w:t>
            </w:r>
            <w:r>
              <w:rPr>
                <w:bCs/>
                <w:snapToGrid w:val="0"/>
                <w:color w:val="auto"/>
                <w:szCs w:val="21"/>
              </w:rPr>
              <w:t>如实记录产生工业固体废物的种类、数量、流向、贮存、利用、处置等信息</w:t>
            </w:r>
            <w:r>
              <w:rPr>
                <w:rFonts w:hint="eastAsia"/>
                <w:bCs/>
                <w:snapToGrid w:val="0"/>
                <w:color w:val="auto"/>
                <w:szCs w:val="21"/>
                <w:lang w:eastAsia="zh-CN"/>
              </w:rPr>
              <w:t>，</w:t>
            </w:r>
            <w:r>
              <w:rPr>
                <w:bCs/>
                <w:snapToGrid w:val="0"/>
                <w:color w:val="auto"/>
                <w:szCs w:val="21"/>
              </w:rPr>
              <w:t>实现工业固体废物可追溯、可查询</w:t>
            </w:r>
            <w:r>
              <w:rPr>
                <w:rFonts w:hint="eastAsia"/>
                <w:bCs/>
                <w:snapToGrid w:val="0"/>
                <w:color w:val="auto"/>
                <w:szCs w:val="21"/>
                <w:lang w:eastAsia="zh-CN"/>
              </w:rPr>
              <w:t>，</w:t>
            </w:r>
            <w:r>
              <w:rPr>
                <w:bCs/>
                <w:snapToGrid w:val="0"/>
                <w:color w:val="auto"/>
                <w:szCs w:val="21"/>
              </w:rPr>
              <w:t>并采取防治工业固体废物污染环境的措施。</w:t>
            </w:r>
          </w:p>
          <w:p w14:paraId="4D036C63">
            <w:pPr>
              <w:spacing w:line="360" w:lineRule="auto"/>
              <w:ind w:firstLine="420" w:firstLineChars="200"/>
              <w:rPr>
                <w:bCs/>
                <w:snapToGrid w:val="0"/>
                <w:color w:val="auto"/>
                <w:szCs w:val="21"/>
              </w:rPr>
            </w:pPr>
            <w:r>
              <w:rPr>
                <w:rFonts w:hint="eastAsia" w:ascii="宋体" w:hAnsi="宋体" w:cs="宋体"/>
                <w:bCs/>
                <w:snapToGrid w:val="0"/>
                <w:color w:val="auto"/>
                <w:szCs w:val="21"/>
              </w:rPr>
              <w:t>⑤</w:t>
            </w:r>
            <w:r>
              <w:rPr>
                <w:bCs/>
                <w:snapToGrid w:val="0"/>
                <w:color w:val="auto"/>
                <w:szCs w:val="21"/>
              </w:rPr>
              <w:t>产生工业固体废物的单位应当取得排污许可证。排污许可的具体办法和实施步骤由国务院规定。</w:t>
            </w:r>
          </w:p>
          <w:p w14:paraId="277AA3D7">
            <w:pPr>
              <w:spacing w:line="360" w:lineRule="auto"/>
              <w:ind w:firstLine="420" w:firstLineChars="200"/>
              <w:rPr>
                <w:rFonts w:hint="eastAsia"/>
                <w:bCs/>
                <w:snapToGrid w:val="0"/>
                <w:color w:val="auto"/>
                <w:szCs w:val="21"/>
              </w:rPr>
            </w:pPr>
            <w:r>
              <w:rPr>
                <w:rFonts w:hint="eastAsia"/>
                <w:bCs/>
                <w:snapToGrid w:val="0"/>
                <w:color w:val="auto"/>
                <w:szCs w:val="21"/>
              </w:rPr>
              <w:t>一般固废标识牌如下：</w:t>
            </w:r>
          </w:p>
          <w:p w14:paraId="2C6C3BD0">
            <w:pPr>
              <w:spacing w:line="360" w:lineRule="auto"/>
              <w:ind w:firstLine="420" w:firstLineChars="200"/>
              <w:rPr>
                <w:rFonts w:hint="eastAsia"/>
                <w:bCs/>
                <w:snapToGrid w:val="0"/>
                <w:color w:val="auto"/>
                <w:szCs w:val="21"/>
              </w:rPr>
            </w:pPr>
            <w:r>
              <w:rPr>
                <w:rFonts w:hint="eastAsia" w:ascii="宋体" w:hAnsi="宋体" w:cs="宋体"/>
                <w:bCs/>
                <w:color w:val="auto"/>
                <w:szCs w:val="21"/>
              </w:rPr>
              <w:drawing>
                <wp:anchor distT="0" distB="0" distL="114300" distR="114300" simplePos="0" relativeHeight="251663360" behindDoc="0" locked="0" layoutInCell="1" allowOverlap="1">
                  <wp:simplePos x="0" y="0"/>
                  <wp:positionH relativeFrom="column">
                    <wp:posOffset>2191385</wp:posOffset>
                  </wp:positionH>
                  <wp:positionV relativeFrom="paragraph">
                    <wp:posOffset>127000</wp:posOffset>
                  </wp:positionV>
                  <wp:extent cx="829945" cy="878840"/>
                  <wp:effectExtent l="0" t="0" r="8255" b="16510"/>
                  <wp:wrapNone/>
                  <wp:docPr id="957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 name="图片 26"/>
                          <pic:cNvPicPr>
                            <a:picLocks noChangeAspect="1" noChangeArrowheads="1"/>
                          </pic:cNvPicPr>
                        </pic:nvPicPr>
                        <pic:blipFill>
                          <a:blip r:embed="rId25" cstate="print"/>
                          <a:srcRect/>
                          <a:stretch>
                            <a:fillRect/>
                          </a:stretch>
                        </pic:blipFill>
                        <pic:spPr>
                          <a:xfrm>
                            <a:off x="0" y="0"/>
                            <a:ext cx="829945" cy="878840"/>
                          </a:xfrm>
                          <a:prstGeom prst="rect">
                            <a:avLst/>
                          </a:prstGeom>
                          <a:noFill/>
                          <a:ln w="9525">
                            <a:noFill/>
                            <a:miter lim="800000"/>
                            <a:headEnd/>
                            <a:tailEnd/>
                          </a:ln>
                        </pic:spPr>
                      </pic:pic>
                    </a:graphicData>
                  </a:graphic>
                </wp:anchor>
              </w:drawing>
            </w:r>
            <w:r>
              <w:rPr>
                <w:color w:val="auto"/>
              </w:rPr>
              <w:drawing>
                <wp:anchor distT="0" distB="0" distL="114300" distR="114300" simplePos="0" relativeHeight="251667456" behindDoc="1" locked="0" layoutInCell="1" allowOverlap="1">
                  <wp:simplePos x="0" y="0"/>
                  <wp:positionH relativeFrom="column">
                    <wp:posOffset>591185</wp:posOffset>
                  </wp:positionH>
                  <wp:positionV relativeFrom="paragraph">
                    <wp:posOffset>155575</wp:posOffset>
                  </wp:positionV>
                  <wp:extent cx="1229995" cy="774700"/>
                  <wp:effectExtent l="0" t="0" r="8255" b="6350"/>
                  <wp:wrapNone/>
                  <wp:docPr id="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
                          <pic:cNvPicPr>
                            <a:picLocks noChangeAspect="1"/>
                          </pic:cNvPicPr>
                        </pic:nvPicPr>
                        <pic:blipFill>
                          <a:blip r:embed="rId26"/>
                          <a:stretch>
                            <a:fillRect/>
                          </a:stretch>
                        </pic:blipFill>
                        <pic:spPr>
                          <a:xfrm>
                            <a:off x="0" y="0"/>
                            <a:ext cx="1229995" cy="774700"/>
                          </a:xfrm>
                          <a:prstGeom prst="rect">
                            <a:avLst/>
                          </a:prstGeom>
                          <a:noFill/>
                          <a:ln>
                            <a:noFill/>
                          </a:ln>
                        </pic:spPr>
                      </pic:pic>
                    </a:graphicData>
                  </a:graphic>
                </wp:anchor>
              </w:drawing>
            </w:r>
          </w:p>
          <w:p w14:paraId="3FD85A91">
            <w:pPr>
              <w:spacing w:line="360" w:lineRule="auto"/>
              <w:ind w:firstLine="480" w:firstLineChars="200"/>
              <w:rPr>
                <w:bCs/>
                <w:snapToGrid w:val="0"/>
                <w:color w:val="auto"/>
                <w:sz w:val="24"/>
              </w:rPr>
            </w:pPr>
          </w:p>
          <w:p w14:paraId="1FA8CA51">
            <w:pPr>
              <w:spacing w:line="360" w:lineRule="auto"/>
              <w:ind w:firstLine="480" w:firstLineChars="200"/>
              <w:rPr>
                <w:bCs/>
                <w:snapToGrid w:val="0"/>
                <w:color w:val="auto"/>
                <w:sz w:val="24"/>
              </w:rPr>
            </w:pPr>
          </w:p>
          <w:p w14:paraId="2395B75E">
            <w:pPr>
              <w:spacing w:line="360" w:lineRule="auto"/>
              <w:ind w:firstLine="480" w:firstLineChars="200"/>
              <w:rPr>
                <w:bCs/>
                <w:snapToGrid w:val="0"/>
                <w:color w:val="auto"/>
                <w:sz w:val="24"/>
              </w:rPr>
            </w:pPr>
          </w:p>
          <w:p w14:paraId="536988D8">
            <w:pPr>
              <w:spacing w:line="360" w:lineRule="auto"/>
              <w:ind w:firstLine="420" w:firstLineChars="200"/>
              <w:rPr>
                <w:rFonts w:hint="eastAsia"/>
                <w:b w:val="0"/>
                <w:bCs/>
                <w:color w:val="auto"/>
                <w:szCs w:val="21"/>
                <w:lang w:val="en-US" w:eastAsia="zh-CN"/>
              </w:rPr>
            </w:pPr>
            <w:r>
              <w:rPr>
                <w:rFonts w:hint="eastAsia"/>
                <w:b w:val="0"/>
                <w:bCs/>
                <w:color w:val="auto"/>
                <w:szCs w:val="21"/>
                <w:lang w:val="en-US" w:eastAsia="zh-CN"/>
              </w:rPr>
              <w:t>一般工业固废台账管理要求：</w:t>
            </w:r>
          </w:p>
          <w:p w14:paraId="481B0D5B">
            <w:pPr>
              <w:spacing w:line="360" w:lineRule="auto"/>
              <w:ind w:firstLine="420" w:firstLineChars="200"/>
              <w:rPr>
                <w:rFonts w:hint="default"/>
                <w:b w:val="0"/>
                <w:bCs/>
                <w:color w:val="auto"/>
                <w:szCs w:val="21"/>
                <w:lang w:val="en-US" w:eastAsia="zh-CN"/>
              </w:rPr>
            </w:pPr>
            <w:r>
              <w:rPr>
                <w:rFonts w:hint="eastAsia"/>
                <w:b w:val="0"/>
                <w:bCs/>
                <w:color w:val="auto"/>
                <w:szCs w:val="21"/>
                <w:lang w:val="en-US" w:eastAsia="zh-CN"/>
              </w:rPr>
              <w:t>根据《一般工业固体废物管理台账制定指南（试行）》，结合本项目实际情况，提出以下具体要求：</w:t>
            </w:r>
          </w:p>
          <w:p w14:paraId="376D6325">
            <w:pPr>
              <w:spacing w:line="360" w:lineRule="auto"/>
              <w:ind w:firstLine="420" w:firstLineChars="200"/>
              <w:rPr>
                <w:rFonts w:hint="default"/>
                <w:bCs/>
                <w:color w:val="auto"/>
                <w:szCs w:val="21"/>
                <w:lang w:val="en-US" w:eastAsia="zh-CN"/>
              </w:rPr>
            </w:pPr>
            <w:r>
              <w:rPr>
                <w:rFonts w:hint="eastAsia"/>
                <w:bCs/>
                <w:color w:val="auto"/>
                <w:szCs w:val="21"/>
                <w:lang w:val="en-US" w:eastAsia="zh-CN"/>
              </w:rPr>
              <w:t>①</w:t>
            </w:r>
            <w:r>
              <w:rPr>
                <w:rFonts w:hint="default"/>
                <w:bCs/>
                <w:color w:val="auto"/>
                <w:szCs w:val="21"/>
                <w:lang w:val="en-US" w:eastAsia="zh-CN"/>
              </w:rPr>
              <w:t>一般工业固体废物管理台账实施分级管理。附表 1 至附表 3 为必填信息，主要用于记录固体废物的基础信息及流向信息，所有产废单位均应当填写。附表 1 按年填写，应当结合环境影响评价、排污许可等材料，根据实际生产运营情况记录固体废物产生信息，生产工艺发生重大变动等原因导致固体废物产生种类等发生变化的，应当及时另行填写附表 1；附表 2 按月填写，记录固体废物的产生、贮存、利用、处置数量和利用、处置方式等信息；附表3按批次填写，每一批次固体废物的出厂以及转移信息均应当如实记录。</w:t>
            </w:r>
          </w:p>
          <w:p w14:paraId="66434B0C">
            <w:pPr>
              <w:spacing w:line="360" w:lineRule="auto"/>
              <w:ind w:firstLine="420" w:firstLineChars="200"/>
              <w:rPr>
                <w:rFonts w:hint="default"/>
                <w:bCs/>
                <w:color w:val="auto"/>
                <w:szCs w:val="21"/>
                <w:lang w:val="en-US" w:eastAsia="zh-CN"/>
              </w:rPr>
            </w:pPr>
            <w:r>
              <w:rPr>
                <w:rFonts w:hint="eastAsia"/>
                <w:bCs/>
                <w:color w:val="auto"/>
                <w:szCs w:val="21"/>
                <w:lang w:val="en-US" w:eastAsia="zh-CN"/>
              </w:rPr>
              <w:t>②</w:t>
            </w:r>
            <w:r>
              <w:rPr>
                <w:rFonts w:hint="default"/>
                <w:bCs/>
                <w:color w:val="auto"/>
                <w:szCs w:val="21"/>
                <w:lang w:val="en-US" w:eastAsia="zh-CN"/>
              </w:rPr>
              <w:t>附表4至附表7为选填信息，主要用于记录固体废物在产废单位内部的贮存、利用、处置等信息。附表4 至附表7，根据地方及企业管理需要填写，省级生态环境主管部门可根据工作需要另行规定具体适用范围和记录要求。填写时应确保固体废物的来源信息、流向信息完整准确；根据固体废物产生周期，可按日或按班次、批次填写。</w:t>
            </w:r>
          </w:p>
          <w:p w14:paraId="3F755F94">
            <w:pPr>
              <w:spacing w:line="360" w:lineRule="auto"/>
              <w:ind w:firstLine="420" w:firstLineChars="200"/>
              <w:rPr>
                <w:rFonts w:hint="default"/>
                <w:bCs/>
                <w:color w:val="auto"/>
                <w:szCs w:val="21"/>
                <w:lang w:val="en-US" w:eastAsia="zh-CN"/>
              </w:rPr>
            </w:pPr>
            <w:r>
              <w:rPr>
                <w:rFonts w:hint="eastAsia"/>
                <w:bCs/>
                <w:color w:val="auto"/>
                <w:szCs w:val="21"/>
                <w:lang w:val="en-US" w:eastAsia="zh-CN"/>
              </w:rPr>
              <w:t>③</w:t>
            </w:r>
            <w:r>
              <w:rPr>
                <w:rFonts w:hint="default"/>
                <w:bCs/>
                <w:color w:val="auto"/>
                <w:szCs w:val="21"/>
                <w:lang w:val="en-US" w:eastAsia="zh-CN"/>
              </w:rPr>
              <w:t>产废单位填写台账记录表时，应当根据自身固体废物产生情况，从附表8中选择对应的固体废物种类和代码，并根据固体— 4 —废物种类确定固体废物的具体名称。</w:t>
            </w:r>
          </w:p>
          <w:p w14:paraId="4C44B70D">
            <w:pPr>
              <w:spacing w:line="360" w:lineRule="auto"/>
              <w:ind w:firstLine="420" w:firstLineChars="200"/>
              <w:rPr>
                <w:rFonts w:hint="default"/>
                <w:bCs/>
                <w:color w:val="auto"/>
                <w:szCs w:val="21"/>
                <w:lang w:val="en-US" w:eastAsia="zh-CN"/>
              </w:rPr>
            </w:pPr>
            <w:r>
              <w:rPr>
                <w:rFonts w:hint="eastAsia"/>
                <w:bCs/>
                <w:color w:val="auto"/>
                <w:szCs w:val="21"/>
                <w:lang w:val="en-US" w:eastAsia="zh-CN"/>
              </w:rPr>
              <w:t>④</w:t>
            </w:r>
            <w:r>
              <w:rPr>
                <w:rFonts w:hint="default"/>
                <w:bCs/>
                <w:color w:val="auto"/>
                <w:szCs w:val="21"/>
                <w:lang w:val="en-US" w:eastAsia="zh-CN"/>
              </w:rPr>
              <w:t>鼓励产废单位采用国家建立的一般工业固体废物管理电子台账，简化数据填写、台账管理等工作。地方和企业自行开发的电子台账要实现与国家系统对接。建立电子台账的产废单位，可不再记录纸质台账。</w:t>
            </w:r>
          </w:p>
          <w:p w14:paraId="63EF38DC">
            <w:pPr>
              <w:spacing w:line="360" w:lineRule="auto"/>
              <w:ind w:firstLine="420" w:firstLineChars="200"/>
              <w:rPr>
                <w:rFonts w:hint="default"/>
                <w:bCs/>
                <w:color w:val="auto"/>
                <w:szCs w:val="21"/>
                <w:lang w:val="en-US" w:eastAsia="zh-CN"/>
              </w:rPr>
            </w:pPr>
            <w:r>
              <w:rPr>
                <w:rFonts w:hint="eastAsia"/>
                <w:bCs/>
                <w:color w:val="auto"/>
                <w:szCs w:val="21"/>
                <w:lang w:val="en-US" w:eastAsia="zh-CN"/>
              </w:rPr>
              <w:t>⑤</w:t>
            </w:r>
            <w:r>
              <w:rPr>
                <w:rFonts w:hint="default"/>
                <w:bCs/>
                <w:color w:val="auto"/>
                <w:szCs w:val="21"/>
                <w:lang w:val="en-US" w:eastAsia="zh-CN"/>
              </w:rPr>
              <w:t>台账记录表各表单的负责人对记录信息的真实性、完整性和规范性负责。</w:t>
            </w:r>
          </w:p>
          <w:p w14:paraId="3206073A">
            <w:pPr>
              <w:spacing w:line="360" w:lineRule="auto"/>
              <w:ind w:firstLine="420" w:firstLineChars="200"/>
              <w:rPr>
                <w:rFonts w:hint="default"/>
                <w:bCs/>
                <w:color w:val="auto"/>
                <w:szCs w:val="21"/>
                <w:lang w:val="en-US" w:eastAsia="zh-CN"/>
              </w:rPr>
            </w:pPr>
            <w:r>
              <w:rPr>
                <w:rFonts w:hint="eastAsia"/>
                <w:bCs/>
                <w:color w:val="auto"/>
                <w:szCs w:val="21"/>
                <w:lang w:val="en-US" w:eastAsia="zh-CN"/>
              </w:rPr>
              <w:t>⑥</w:t>
            </w:r>
            <w:r>
              <w:rPr>
                <w:rFonts w:hint="default"/>
                <w:bCs/>
                <w:color w:val="auto"/>
                <w:szCs w:val="21"/>
                <w:lang w:val="en-US" w:eastAsia="zh-CN"/>
              </w:rPr>
              <w:t>产废单位应当设立专人负责台账的管理与归档，一般工业固体废物管理台账保存期限不少于5年。</w:t>
            </w:r>
          </w:p>
          <w:p w14:paraId="4F38E515">
            <w:pPr>
              <w:spacing w:line="360" w:lineRule="auto"/>
              <w:ind w:firstLine="420" w:firstLineChars="200"/>
              <w:rPr>
                <w:rFonts w:hint="default"/>
                <w:bCs/>
                <w:color w:val="auto"/>
                <w:szCs w:val="21"/>
                <w:lang w:val="en-US" w:eastAsia="zh-CN"/>
              </w:rPr>
            </w:pPr>
            <w:r>
              <w:rPr>
                <w:rFonts w:hint="eastAsia"/>
                <w:bCs/>
                <w:color w:val="auto"/>
                <w:szCs w:val="21"/>
                <w:lang w:val="en-US" w:eastAsia="zh-CN"/>
              </w:rPr>
              <w:t>⑦</w:t>
            </w:r>
            <w:r>
              <w:rPr>
                <w:rFonts w:hint="default"/>
                <w:bCs/>
                <w:color w:val="auto"/>
                <w:szCs w:val="21"/>
                <w:lang w:val="en-US" w:eastAsia="zh-CN"/>
              </w:rPr>
              <w:t>鼓励有条件的产废单位在固体废物产生场所、贮存场所及磅秤位置等关键点位设置视频监控，提高台账记录信息的准确性。</w:t>
            </w:r>
          </w:p>
          <w:p w14:paraId="5D2F5647">
            <w:pPr>
              <w:spacing w:line="360" w:lineRule="auto"/>
              <w:ind w:firstLine="422" w:firstLineChars="200"/>
              <w:rPr>
                <w:rFonts w:hint="eastAsia"/>
                <w:b/>
                <w:bCs w:val="0"/>
                <w:color w:val="auto"/>
                <w:szCs w:val="21"/>
                <w:lang w:val="en-US" w:eastAsia="zh-CN"/>
              </w:rPr>
            </w:pPr>
            <w:r>
              <w:rPr>
                <w:rFonts w:hint="eastAsia"/>
                <w:b/>
                <w:bCs w:val="0"/>
                <w:color w:val="auto"/>
                <w:szCs w:val="21"/>
                <w:lang w:val="en-US" w:eastAsia="zh-CN"/>
              </w:rPr>
              <w:t xml:space="preserve">4.4.2危险废物环境管理要求 </w:t>
            </w:r>
          </w:p>
          <w:p w14:paraId="683AA003">
            <w:pPr>
              <w:spacing w:line="360" w:lineRule="auto"/>
              <w:ind w:firstLine="420" w:firstLineChars="200"/>
              <w:rPr>
                <w:rFonts w:hint="eastAsia"/>
                <w:bCs/>
                <w:color w:val="auto"/>
                <w:szCs w:val="21"/>
                <w:lang w:val="en-US" w:eastAsia="zh-CN"/>
              </w:rPr>
            </w:pPr>
            <w:r>
              <w:rPr>
                <w:rFonts w:hint="eastAsia"/>
                <w:bCs/>
                <w:color w:val="auto"/>
                <w:szCs w:val="21"/>
                <w:lang w:val="en-US" w:eastAsia="zh-CN"/>
              </w:rPr>
              <w:t>项目建设</w:t>
            </w:r>
            <w:r>
              <w:rPr>
                <w:rFonts w:hint="default"/>
                <w:bCs/>
                <w:color w:val="auto"/>
                <w:szCs w:val="21"/>
                <w:lang w:val="en-US" w:eastAsia="zh-CN"/>
              </w:rPr>
              <w:t>1</w:t>
            </w:r>
            <w:r>
              <w:rPr>
                <w:rFonts w:hint="eastAsia"/>
                <w:bCs/>
                <w:color w:val="auto"/>
                <w:szCs w:val="21"/>
                <w:lang w:val="en-US" w:eastAsia="zh-CN"/>
              </w:rPr>
              <w:t>座2</w:t>
            </w:r>
            <w:r>
              <w:rPr>
                <w:rFonts w:hint="default"/>
                <w:bCs/>
                <w:color w:val="auto"/>
                <w:szCs w:val="21"/>
                <w:lang w:val="en-US" w:eastAsia="zh-CN"/>
              </w:rPr>
              <w:t>0m</w:t>
            </w:r>
            <w:r>
              <w:rPr>
                <w:rFonts w:hint="default"/>
                <w:bCs/>
                <w:color w:val="auto"/>
                <w:szCs w:val="21"/>
                <w:vertAlign w:val="superscript"/>
                <w:lang w:val="en-US" w:eastAsia="zh-CN"/>
              </w:rPr>
              <w:t>2</w:t>
            </w:r>
            <w:r>
              <w:rPr>
                <w:rFonts w:hint="eastAsia"/>
                <w:bCs/>
                <w:color w:val="auto"/>
                <w:szCs w:val="21"/>
                <w:lang w:val="en-US" w:eastAsia="zh-CN"/>
              </w:rPr>
              <w:t>的危险废物贮存库，废</w:t>
            </w:r>
            <w:r>
              <w:rPr>
                <w:rFonts w:hint="eastAsia"/>
                <w:color w:val="auto"/>
                <w:lang w:val="en-US" w:eastAsia="zh-CN"/>
              </w:rPr>
              <w:t>矿物</w:t>
            </w:r>
            <w:r>
              <w:rPr>
                <w:rFonts w:hint="eastAsia"/>
                <w:bCs/>
                <w:color w:val="auto"/>
                <w:szCs w:val="21"/>
                <w:lang w:val="en-US" w:eastAsia="zh-CN"/>
              </w:rPr>
              <w:t>油、废油桶、废活性炭等收集后由专用容器储存在危险废物贮存库内，危险废物收集、贮存严格按照《危险废物贮存污染控制标准》（</w:t>
            </w:r>
            <w:r>
              <w:rPr>
                <w:rFonts w:hint="default"/>
                <w:bCs/>
                <w:color w:val="auto"/>
                <w:szCs w:val="21"/>
                <w:lang w:val="en-US" w:eastAsia="zh-CN"/>
              </w:rPr>
              <w:t>GB18597-2023</w:t>
            </w:r>
            <w:r>
              <w:rPr>
                <w:rFonts w:hint="eastAsia"/>
                <w:bCs/>
                <w:color w:val="auto"/>
                <w:szCs w:val="21"/>
                <w:lang w:val="en-US" w:eastAsia="zh-CN"/>
              </w:rPr>
              <w:t>）执行。</w:t>
            </w:r>
          </w:p>
          <w:p w14:paraId="7B3A6177">
            <w:pPr>
              <w:widowControl/>
              <w:snapToGrid w:val="0"/>
              <w:jc w:val="center"/>
              <w:rPr>
                <w:b/>
                <w:bCs/>
                <w:color w:val="auto"/>
                <w:sz w:val="18"/>
                <w:szCs w:val="18"/>
              </w:rPr>
            </w:pPr>
            <w:r>
              <w:rPr>
                <w:rFonts w:hint="eastAsia"/>
                <w:b/>
                <w:bCs/>
                <w:color w:val="auto"/>
                <w:sz w:val="18"/>
                <w:szCs w:val="18"/>
              </w:rPr>
              <w:t>表4</w:t>
            </w:r>
            <w:r>
              <w:rPr>
                <w:rFonts w:hint="eastAsia"/>
                <w:b/>
                <w:bCs/>
                <w:color w:val="auto"/>
                <w:sz w:val="18"/>
                <w:szCs w:val="18"/>
                <w:lang w:val="en-US" w:eastAsia="zh-CN"/>
              </w:rPr>
              <w:t>.4</w:t>
            </w:r>
            <w:r>
              <w:rPr>
                <w:rFonts w:hint="eastAsia"/>
                <w:b/>
                <w:bCs/>
                <w:color w:val="auto"/>
                <w:sz w:val="18"/>
                <w:szCs w:val="18"/>
              </w:rPr>
              <w:t>-</w:t>
            </w:r>
            <w:r>
              <w:rPr>
                <w:rFonts w:hint="eastAsia"/>
                <w:b/>
                <w:bCs/>
                <w:color w:val="auto"/>
                <w:sz w:val="18"/>
                <w:szCs w:val="18"/>
                <w:lang w:val="en-US" w:eastAsia="zh-CN"/>
              </w:rPr>
              <w:t xml:space="preserve">2 </w:t>
            </w:r>
            <w:r>
              <w:rPr>
                <w:rFonts w:hint="eastAsia"/>
                <w:b/>
                <w:bCs/>
                <w:color w:val="auto"/>
                <w:sz w:val="18"/>
                <w:szCs w:val="18"/>
              </w:rPr>
              <w:t xml:space="preserve">   建设项目危险废物贮存场所（设施）基本情况表</w:t>
            </w:r>
          </w:p>
          <w:tbl>
            <w:tblPr>
              <w:tblStyle w:val="48"/>
              <w:tblW w:w="80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7"/>
              <w:gridCol w:w="1306"/>
              <w:gridCol w:w="775"/>
              <w:gridCol w:w="1338"/>
              <w:gridCol w:w="840"/>
              <w:gridCol w:w="717"/>
              <w:gridCol w:w="775"/>
              <w:gridCol w:w="775"/>
              <w:gridCol w:w="720"/>
            </w:tblGrid>
            <w:tr w14:paraId="69194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2" w:hRule="atLeast"/>
                <w:jc w:val="center"/>
              </w:trPr>
              <w:tc>
                <w:tcPr>
                  <w:tcW w:w="777" w:type="dxa"/>
                  <w:vAlign w:val="center"/>
                </w:tcPr>
                <w:p w14:paraId="7773E029">
                  <w:pPr>
                    <w:topLinePunct/>
                    <w:snapToGrid w:val="0"/>
                    <w:jc w:val="center"/>
                    <w:rPr>
                      <w:color w:val="auto"/>
                      <w:kern w:val="0"/>
                      <w:sz w:val="18"/>
                      <w:szCs w:val="18"/>
                    </w:rPr>
                  </w:pPr>
                  <w:r>
                    <w:rPr>
                      <w:rFonts w:hint="eastAsia"/>
                      <w:color w:val="auto"/>
                      <w:kern w:val="0"/>
                      <w:sz w:val="18"/>
                      <w:szCs w:val="18"/>
                    </w:rPr>
                    <w:t>场所</w:t>
                  </w:r>
                </w:p>
                <w:p w14:paraId="439A15F4">
                  <w:pPr>
                    <w:topLinePunct/>
                    <w:snapToGrid w:val="0"/>
                    <w:jc w:val="center"/>
                    <w:rPr>
                      <w:color w:val="auto"/>
                      <w:kern w:val="0"/>
                      <w:sz w:val="18"/>
                      <w:szCs w:val="18"/>
                    </w:rPr>
                  </w:pPr>
                  <w:r>
                    <w:rPr>
                      <w:rFonts w:hint="eastAsia"/>
                      <w:color w:val="auto"/>
                      <w:kern w:val="0"/>
                      <w:sz w:val="18"/>
                      <w:szCs w:val="18"/>
                    </w:rPr>
                    <w:t>名称</w:t>
                  </w:r>
                </w:p>
              </w:tc>
              <w:tc>
                <w:tcPr>
                  <w:tcW w:w="1306" w:type="dxa"/>
                  <w:vAlign w:val="center"/>
                </w:tcPr>
                <w:p w14:paraId="1E971448">
                  <w:pPr>
                    <w:topLinePunct/>
                    <w:snapToGrid w:val="0"/>
                    <w:jc w:val="center"/>
                    <w:rPr>
                      <w:color w:val="auto"/>
                      <w:kern w:val="0"/>
                      <w:sz w:val="18"/>
                      <w:szCs w:val="18"/>
                    </w:rPr>
                  </w:pPr>
                  <w:r>
                    <w:rPr>
                      <w:rFonts w:hint="eastAsia"/>
                      <w:color w:val="auto"/>
                      <w:kern w:val="0"/>
                      <w:sz w:val="18"/>
                      <w:szCs w:val="18"/>
                    </w:rPr>
                    <w:t>危险废物名称</w:t>
                  </w:r>
                </w:p>
              </w:tc>
              <w:tc>
                <w:tcPr>
                  <w:tcW w:w="775" w:type="dxa"/>
                  <w:vAlign w:val="center"/>
                </w:tcPr>
                <w:p w14:paraId="6E3089A1">
                  <w:pPr>
                    <w:topLinePunct/>
                    <w:snapToGrid w:val="0"/>
                    <w:jc w:val="center"/>
                    <w:rPr>
                      <w:color w:val="auto"/>
                      <w:kern w:val="0"/>
                      <w:sz w:val="18"/>
                      <w:szCs w:val="18"/>
                    </w:rPr>
                  </w:pPr>
                  <w:r>
                    <w:rPr>
                      <w:rFonts w:hint="eastAsia"/>
                      <w:color w:val="auto"/>
                      <w:kern w:val="0"/>
                      <w:sz w:val="18"/>
                      <w:szCs w:val="18"/>
                    </w:rPr>
                    <w:t>废物</w:t>
                  </w:r>
                </w:p>
                <w:p w14:paraId="274DDFCD">
                  <w:pPr>
                    <w:topLinePunct/>
                    <w:snapToGrid w:val="0"/>
                    <w:jc w:val="center"/>
                    <w:rPr>
                      <w:color w:val="auto"/>
                      <w:kern w:val="0"/>
                      <w:sz w:val="18"/>
                      <w:szCs w:val="18"/>
                    </w:rPr>
                  </w:pPr>
                  <w:r>
                    <w:rPr>
                      <w:rFonts w:hint="eastAsia"/>
                      <w:color w:val="auto"/>
                      <w:kern w:val="0"/>
                      <w:sz w:val="18"/>
                      <w:szCs w:val="18"/>
                    </w:rPr>
                    <w:t>类别</w:t>
                  </w:r>
                </w:p>
              </w:tc>
              <w:tc>
                <w:tcPr>
                  <w:tcW w:w="1338" w:type="dxa"/>
                  <w:vAlign w:val="center"/>
                </w:tcPr>
                <w:p w14:paraId="26C99F2A">
                  <w:pPr>
                    <w:topLinePunct/>
                    <w:snapToGrid w:val="0"/>
                    <w:jc w:val="center"/>
                    <w:rPr>
                      <w:color w:val="auto"/>
                      <w:kern w:val="0"/>
                      <w:sz w:val="18"/>
                      <w:szCs w:val="18"/>
                    </w:rPr>
                  </w:pPr>
                  <w:r>
                    <w:rPr>
                      <w:rFonts w:hint="eastAsia"/>
                      <w:color w:val="auto"/>
                      <w:kern w:val="0"/>
                      <w:sz w:val="18"/>
                      <w:szCs w:val="18"/>
                    </w:rPr>
                    <w:t>危险废物代码</w:t>
                  </w:r>
                </w:p>
              </w:tc>
              <w:tc>
                <w:tcPr>
                  <w:tcW w:w="840" w:type="dxa"/>
                  <w:vAlign w:val="center"/>
                </w:tcPr>
                <w:p w14:paraId="28D225F8">
                  <w:pPr>
                    <w:topLinePunct/>
                    <w:snapToGrid w:val="0"/>
                    <w:jc w:val="center"/>
                    <w:rPr>
                      <w:color w:val="auto"/>
                      <w:kern w:val="0"/>
                      <w:sz w:val="18"/>
                      <w:szCs w:val="18"/>
                    </w:rPr>
                  </w:pPr>
                  <w:r>
                    <w:rPr>
                      <w:rFonts w:hint="eastAsia"/>
                      <w:color w:val="auto"/>
                      <w:kern w:val="0"/>
                      <w:sz w:val="18"/>
                      <w:szCs w:val="18"/>
                    </w:rPr>
                    <w:t>位置</w:t>
                  </w:r>
                </w:p>
              </w:tc>
              <w:tc>
                <w:tcPr>
                  <w:tcW w:w="717" w:type="dxa"/>
                  <w:vAlign w:val="center"/>
                </w:tcPr>
                <w:p w14:paraId="6078C454">
                  <w:pPr>
                    <w:topLinePunct/>
                    <w:snapToGrid w:val="0"/>
                    <w:jc w:val="center"/>
                    <w:rPr>
                      <w:color w:val="auto"/>
                      <w:kern w:val="0"/>
                      <w:sz w:val="18"/>
                      <w:szCs w:val="18"/>
                    </w:rPr>
                  </w:pPr>
                  <w:r>
                    <w:rPr>
                      <w:rFonts w:hint="eastAsia"/>
                      <w:color w:val="auto"/>
                      <w:kern w:val="0"/>
                      <w:sz w:val="18"/>
                      <w:szCs w:val="18"/>
                    </w:rPr>
                    <w:t>占地面积</w:t>
                  </w:r>
                </w:p>
              </w:tc>
              <w:tc>
                <w:tcPr>
                  <w:tcW w:w="775" w:type="dxa"/>
                  <w:vAlign w:val="center"/>
                </w:tcPr>
                <w:p w14:paraId="7F569E6B">
                  <w:pPr>
                    <w:topLinePunct/>
                    <w:snapToGrid w:val="0"/>
                    <w:jc w:val="center"/>
                    <w:rPr>
                      <w:color w:val="auto"/>
                      <w:kern w:val="0"/>
                      <w:sz w:val="18"/>
                      <w:szCs w:val="18"/>
                    </w:rPr>
                  </w:pPr>
                  <w:r>
                    <w:rPr>
                      <w:rFonts w:hint="eastAsia"/>
                      <w:color w:val="auto"/>
                      <w:kern w:val="0"/>
                      <w:sz w:val="18"/>
                      <w:szCs w:val="18"/>
                    </w:rPr>
                    <w:t>贮存</w:t>
                  </w:r>
                </w:p>
                <w:p w14:paraId="66BF5899">
                  <w:pPr>
                    <w:topLinePunct/>
                    <w:snapToGrid w:val="0"/>
                    <w:jc w:val="center"/>
                    <w:rPr>
                      <w:color w:val="auto"/>
                      <w:kern w:val="0"/>
                      <w:sz w:val="18"/>
                      <w:szCs w:val="18"/>
                    </w:rPr>
                  </w:pPr>
                  <w:r>
                    <w:rPr>
                      <w:rFonts w:hint="eastAsia"/>
                      <w:color w:val="auto"/>
                      <w:kern w:val="0"/>
                      <w:sz w:val="18"/>
                      <w:szCs w:val="18"/>
                    </w:rPr>
                    <w:t>方式</w:t>
                  </w:r>
                </w:p>
              </w:tc>
              <w:tc>
                <w:tcPr>
                  <w:tcW w:w="775" w:type="dxa"/>
                  <w:vAlign w:val="center"/>
                </w:tcPr>
                <w:p w14:paraId="40CA173C">
                  <w:pPr>
                    <w:topLinePunct/>
                    <w:snapToGrid w:val="0"/>
                    <w:jc w:val="center"/>
                    <w:rPr>
                      <w:color w:val="auto"/>
                      <w:kern w:val="0"/>
                      <w:sz w:val="18"/>
                      <w:szCs w:val="18"/>
                    </w:rPr>
                  </w:pPr>
                  <w:r>
                    <w:rPr>
                      <w:rFonts w:hint="eastAsia"/>
                      <w:color w:val="auto"/>
                      <w:kern w:val="0"/>
                      <w:sz w:val="18"/>
                      <w:szCs w:val="18"/>
                    </w:rPr>
                    <w:t>贮存</w:t>
                  </w:r>
                </w:p>
                <w:p w14:paraId="48EFBED9">
                  <w:pPr>
                    <w:topLinePunct/>
                    <w:snapToGrid w:val="0"/>
                    <w:jc w:val="center"/>
                    <w:rPr>
                      <w:color w:val="auto"/>
                      <w:kern w:val="0"/>
                      <w:sz w:val="18"/>
                      <w:szCs w:val="18"/>
                    </w:rPr>
                  </w:pPr>
                  <w:r>
                    <w:rPr>
                      <w:rFonts w:hint="eastAsia"/>
                      <w:color w:val="auto"/>
                      <w:kern w:val="0"/>
                      <w:sz w:val="18"/>
                      <w:szCs w:val="18"/>
                    </w:rPr>
                    <w:t>能力</w:t>
                  </w:r>
                </w:p>
              </w:tc>
              <w:tc>
                <w:tcPr>
                  <w:tcW w:w="720" w:type="dxa"/>
                  <w:vAlign w:val="center"/>
                </w:tcPr>
                <w:p w14:paraId="6E5851FA">
                  <w:pPr>
                    <w:topLinePunct/>
                    <w:snapToGrid w:val="0"/>
                    <w:jc w:val="center"/>
                    <w:rPr>
                      <w:color w:val="auto"/>
                      <w:kern w:val="0"/>
                      <w:sz w:val="18"/>
                      <w:szCs w:val="18"/>
                    </w:rPr>
                  </w:pPr>
                  <w:r>
                    <w:rPr>
                      <w:rFonts w:hint="eastAsia"/>
                      <w:color w:val="auto"/>
                      <w:kern w:val="0"/>
                      <w:sz w:val="18"/>
                      <w:szCs w:val="18"/>
                    </w:rPr>
                    <w:t>贮存</w:t>
                  </w:r>
                </w:p>
                <w:p w14:paraId="7D357419">
                  <w:pPr>
                    <w:topLinePunct/>
                    <w:snapToGrid w:val="0"/>
                    <w:jc w:val="center"/>
                    <w:rPr>
                      <w:color w:val="auto"/>
                      <w:kern w:val="0"/>
                      <w:sz w:val="18"/>
                      <w:szCs w:val="18"/>
                    </w:rPr>
                  </w:pPr>
                  <w:r>
                    <w:rPr>
                      <w:rFonts w:hint="eastAsia"/>
                      <w:color w:val="auto"/>
                      <w:kern w:val="0"/>
                      <w:sz w:val="18"/>
                      <w:szCs w:val="18"/>
                    </w:rPr>
                    <w:t>周期</w:t>
                  </w:r>
                </w:p>
              </w:tc>
            </w:tr>
            <w:tr w14:paraId="7EE08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777" w:type="dxa"/>
                  <w:vMerge w:val="restart"/>
                  <w:vAlign w:val="center"/>
                </w:tcPr>
                <w:p w14:paraId="42C5416D">
                  <w:pPr>
                    <w:topLinePunct/>
                    <w:snapToGrid w:val="0"/>
                    <w:jc w:val="center"/>
                    <w:rPr>
                      <w:rFonts w:hint="eastAsia" w:eastAsia="宋体"/>
                      <w:color w:val="auto"/>
                      <w:kern w:val="0"/>
                      <w:sz w:val="18"/>
                      <w:szCs w:val="18"/>
                      <w:lang w:eastAsia="zh-CN"/>
                    </w:rPr>
                  </w:pPr>
                  <w:r>
                    <w:rPr>
                      <w:rFonts w:hint="eastAsia"/>
                      <w:color w:val="auto"/>
                      <w:kern w:val="0"/>
                      <w:sz w:val="18"/>
                      <w:szCs w:val="18"/>
                      <w:lang w:val="en-US" w:eastAsia="zh-CN"/>
                    </w:rPr>
                    <w:t>危险废物贮存库</w:t>
                  </w:r>
                </w:p>
              </w:tc>
              <w:tc>
                <w:tcPr>
                  <w:tcW w:w="1306" w:type="dxa"/>
                  <w:vAlign w:val="center"/>
                </w:tcPr>
                <w:p w14:paraId="4064360E">
                  <w:pPr>
                    <w:topLinePunct/>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废矿物油</w:t>
                  </w:r>
                </w:p>
              </w:tc>
              <w:tc>
                <w:tcPr>
                  <w:tcW w:w="775" w:type="dxa"/>
                  <w:vAlign w:val="center"/>
                </w:tcPr>
                <w:p w14:paraId="41ACF0E8">
                  <w:pPr>
                    <w:adjustRightInd w:val="0"/>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HW08</w:t>
                  </w:r>
                </w:p>
              </w:tc>
              <w:tc>
                <w:tcPr>
                  <w:tcW w:w="1338" w:type="dxa"/>
                  <w:shd w:val="clear" w:color="auto" w:fill="auto"/>
                  <w:vAlign w:val="center"/>
                </w:tcPr>
                <w:p w14:paraId="09C2F405">
                  <w:pPr>
                    <w:keepNext w:val="0"/>
                    <w:keepLines w:val="0"/>
                    <w:widowControl/>
                    <w:suppressLineNumbers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900-214-08</w:t>
                  </w:r>
                </w:p>
              </w:tc>
              <w:tc>
                <w:tcPr>
                  <w:tcW w:w="840" w:type="dxa"/>
                  <w:vMerge w:val="restart"/>
                  <w:vAlign w:val="center"/>
                </w:tcPr>
                <w:p w14:paraId="1293BE1B">
                  <w:pPr>
                    <w:topLinePunct/>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仓库西南角处</w:t>
                  </w:r>
                </w:p>
              </w:tc>
              <w:tc>
                <w:tcPr>
                  <w:tcW w:w="717" w:type="dxa"/>
                  <w:vMerge w:val="restart"/>
                  <w:vAlign w:val="center"/>
                </w:tcPr>
                <w:p w14:paraId="3C663AB3">
                  <w:pPr>
                    <w:topLinePunct/>
                    <w:snapToGrid w:val="0"/>
                    <w:jc w:val="center"/>
                    <w:rPr>
                      <w:color w:val="auto"/>
                      <w:kern w:val="0"/>
                      <w:sz w:val="18"/>
                      <w:szCs w:val="18"/>
                    </w:rPr>
                  </w:pPr>
                  <w:r>
                    <w:rPr>
                      <w:rFonts w:hint="eastAsia"/>
                      <w:color w:val="auto"/>
                      <w:kern w:val="0"/>
                      <w:sz w:val="18"/>
                      <w:szCs w:val="18"/>
                      <w:lang w:val="en-US" w:eastAsia="zh-CN"/>
                    </w:rPr>
                    <w:t>20</w:t>
                  </w:r>
                  <w:r>
                    <w:rPr>
                      <w:color w:val="auto"/>
                      <w:kern w:val="0"/>
                      <w:sz w:val="18"/>
                      <w:szCs w:val="18"/>
                    </w:rPr>
                    <w:t>m</w:t>
                  </w:r>
                  <w:r>
                    <w:rPr>
                      <w:color w:val="auto"/>
                      <w:kern w:val="0"/>
                      <w:sz w:val="18"/>
                      <w:szCs w:val="18"/>
                      <w:vertAlign w:val="superscript"/>
                    </w:rPr>
                    <w:t>2</w:t>
                  </w:r>
                </w:p>
              </w:tc>
              <w:tc>
                <w:tcPr>
                  <w:tcW w:w="775" w:type="dxa"/>
                  <w:vMerge w:val="restart"/>
                  <w:vAlign w:val="center"/>
                </w:tcPr>
                <w:p w14:paraId="671F510E">
                  <w:pPr>
                    <w:topLinePunct/>
                    <w:snapToGrid w:val="0"/>
                    <w:jc w:val="center"/>
                    <w:rPr>
                      <w:rFonts w:hint="eastAsia" w:eastAsia="宋体"/>
                      <w:color w:val="auto"/>
                      <w:kern w:val="0"/>
                      <w:sz w:val="18"/>
                      <w:szCs w:val="18"/>
                      <w:lang w:eastAsia="zh-CN"/>
                    </w:rPr>
                  </w:pPr>
                  <w:r>
                    <w:rPr>
                      <w:rFonts w:hint="eastAsia"/>
                      <w:color w:val="auto"/>
                      <w:kern w:val="0"/>
                      <w:sz w:val="18"/>
                      <w:szCs w:val="18"/>
                      <w:lang w:val="en-US" w:eastAsia="zh-CN"/>
                    </w:rPr>
                    <w:t>专用</w:t>
                  </w:r>
                  <w:r>
                    <w:rPr>
                      <w:rFonts w:hint="eastAsia"/>
                      <w:color w:val="auto"/>
                      <w:kern w:val="0"/>
                      <w:sz w:val="18"/>
                      <w:szCs w:val="18"/>
                    </w:rPr>
                    <w:t>容器</w:t>
                  </w:r>
                  <w:r>
                    <w:rPr>
                      <w:rFonts w:hint="eastAsia"/>
                      <w:color w:val="auto"/>
                      <w:kern w:val="0"/>
                      <w:sz w:val="18"/>
                      <w:szCs w:val="18"/>
                      <w:lang w:eastAsia="zh-CN"/>
                    </w:rPr>
                    <w:t>（</w:t>
                  </w:r>
                  <w:r>
                    <w:rPr>
                      <w:rFonts w:hint="eastAsia"/>
                      <w:color w:val="auto"/>
                      <w:kern w:val="0"/>
                      <w:sz w:val="18"/>
                      <w:szCs w:val="18"/>
                      <w:lang w:val="en-US" w:eastAsia="zh-CN"/>
                    </w:rPr>
                    <w:t>桶</w:t>
                  </w:r>
                  <w:r>
                    <w:rPr>
                      <w:rFonts w:hint="eastAsia"/>
                      <w:color w:val="auto"/>
                      <w:kern w:val="0"/>
                      <w:sz w:val="18"/>
                      <w:szCs w:val="18"/>
                      <w:lang w:eastAsia="zh-CN"/>
                    </w:rPr>
                    <w:t>）</w:t>
                  </w:r>
                </w:p>
              </w:tc>
              <w:tc>
                <w:tcPr>
                  <w:tcW w:w="775" w:type="dxa"/>
                  <w:vMerge w:val="restart"/>
                  <w:vAlign w:val="center"/>
                </w:tcPr>
                <w:p w14:paraId="58D3BC79">
                  <w:pPr>
                    <w:topLinePunct/>
                    <w:snapToGrid w:val="0"/>
                    <w:jc w:val="center"/>
                    <w:rPr>
                      <w:color w:val="auto"/>
                      <w:kern w:val="0"/>
                      <w:sz w:val="18"/>
                      <w:szCs w:val="18"/>
                    </w:rPr>
                  </w:pPr>
                  <w:r>
                    <w:rPr>
                      <w:rFonts w:hint="eastAsia"/>
                      <w:color w:val="auto"/>
                      <w:kern w:val="0"/>
                      <w:sz w:val="18"/>
                      <w:szCs w:val="18"/>
                      <w:lang w:val="en-US" w:eastAsia="zh-CN"/>
                    </w:rPr>
                    <w:t>5</w:t>
                  </w:r>
                  <w:r>
                    <w:rPr>
                      <w:color w:val="auto"/>
                      <w:kern w:val="0"/>
                      <w:sz w:val="18"/>
                      <w:szCs w:val="18"/>
                    </w:rPr>
                    <w:t>t</w:t>
                  </w:r>
                </w:p>
              </w:tc>
              <w:tc>
                <w:tcPr>
                  <w:tcW w:w="720" w:type="dxa"/>
                  <w:vMerge w:val="restart"/>
                  <w:vAlign w:val="center"/>
                </w:tcPr>
                <w:p w14:paraId="406C45BD">
                  <w:pPr>
                    <w:topLinePunct/>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3个月</w:t>
                  </w:r>
                </w:p>
              </w:tc>
            </w:tr>
            <w:tr w14:paraId="422259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777" w:type="dxa"/>
                  <w:vMerge w:val="continue"/>
                  <w:vAlign w:val="center"/>
                </w:tcPr>
                <w:p w14:paraId="0E5E1F56">
                  <w:pPr>
                    <w:topLinePunct/>
                    <w:snapToGrid w:val="0"/>
                    <w:jc w:val="center"/>
                    <w:rPr>
                      <w:rFonts w:hint="eastAsia"/>
                      <w:color w:val="auto"/>
                      <w:kern w:val="0"/>
                      <w:sz w:val="18"/>
                      <w:szCs w:val="18"/>
                      <w:lang w:val="en-US" w:eastAsia="zh-CN"/>
                    </w:rPr>
                  </w:pPr>
                </w:p>
              </w:tc>
              <w:tc>
                <w:tcPr>
                  <w:tcW w:w="1306" w:type="dxa"/>
                  <w:shd w:val="clear" w:color="auto" w:fill="auto"/>
                  <w:vAlign w:val="center"/>
                </w:tcPr>
                <w:p w14:paraId="5CCD1269">
                  <w:pPr>
                    <w:topLinePunct/>
                    <w:snapToGrid w:val="0"/>
                    <w:jc w:val="center"/>
                    <w:rPr>
                      <w:rFonts w:hint="eastAsia" w:ascii="Times New Roman" w:hAnsi="Times New Roman" w:eastAsia="宋体" w:cs="Times New Roman"/>
                      <w:color w:val="auto"/>
                      <w:kern w:val="0"/>
                      <w:sz w:val="18"/>
                      <w:szCs w:val="18"/>
                      <w:lang w:val="en-US" w:eastAsia="zh-CN" w:bidi="ar-SA"/>
                    </w:rPr>
                  </w:pPr>
                  <w:r>
                    <w:rPr>
                      <w:rFonts w:hint="eastAsia"/>
                      <w:color w:val="auto"/>
                      <w:kern w:val="0"/>
                      <w:sz w:val="18"/>
                      <w:szCs w:val="18"/>
                      <w:lang w:val="en-US" w:eastAsia="zh-CN"/>
                    </w:rPr>
                    <w:t>废油桶</w:t>
                  </w:r>
                </w:p>
              </w:tc>
              <w:tc>
                <w:tcPr>
                  <w:tcW w:w="775" w:type="dxa"/>
                  <w:shd w:val="clear" w:color="auto" w:fill="auto"/>
                  <w:vAlign w:val="center"/>
                </w:tcPr>
                <w:p w14:paraId="27E5B24B">
                  <w:pPr>
                    <w:adjustRightInd w:val="0"/>
                    <w:snapToGrid w:val="0"/>
                    <w:jc w:val="center"/>
                    <w:rPr>
                      <w:rFonts w:hint="eastAsia" w:ascii="Times New Roman" w:hAnsi="Times New Roman" w:eastAsia="宋体" w:cs="Times New Roman"/>
                      <w:color w:val="auto"/>
                      <w:kern w:val="0"/>
                      <w:sz w:val="18"/>
                      <w:szCs w:val="18"/>
                      <w:lang w:val="en-US" w:eastAsia="zh-CN" w:bidi="ar-SA"/>
                    </w:rPr>
                  </w:pPr>
                  <w:r>
                    <w:rPr>
                      <w:color w:val="auto"/>
                      <w:sz w:val="18"/>
                      <w:szCs w:val="18"/>
                    </w:rPr>
                    <w:t>HW</w:t>
                  </w:r>
                  <w:r>
                    <w:rPr>
                      <w:rFonts w:hint="eastAsia"/>
                      <w:color w:val="auto"/>
                      <w:sz w:val="18"/>
                      <w:szCs w:val="18"/>
                      <w:lang w:val="en-US" w:eastAsia="zh-CN"/>
                    </w:rPr>
                    <w:t>49</w:t>
                  </w:r>
                </w:p>
              </w:tc>
              <w:tc>
                <w:tcPr>
                  <w:tcW w:w="1338" w:type="dxa"/>
                  <w:shd w:val="clear" w:color="auto" w:fill="auto"/>
                  <w:vAlign w:val="center"/>
                </w:tcPr>
                <w:p w14:paraId="09E89929">
                  <w:pPr>
                    <w:keepNext w:val="0"/>
                    <w:keepLines w:val="0"/>
                    <w:widowControl/>
                    <w:suppressLineNumbers w:val="0"/>
                    <w:jc w:val="center"/>
                    <w:rPr>
                      <w:rFonts w:hint="eastAsia"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900-041-49</w:t>
                  </w:r>
                </w:p>
              </w:tc>
              <w:tc>
                <w:tcPr>
                  <w:tcW w:w="840" w:type="dxa"/>
                  <w:vMerge w:val="continue"/>
                  <w:vAlign w:val="center"/>
                </w:tcPr>
                <w:p w14:paraId="22311E08">
                  <w:pPr>
                    <w:topLinePunct/>
                    <w:snapToGrid w:val="0"/>
                    <w:jc w:val="center"/>
                    <w:rPr>
                      <w:rFonts w:hint="eastAsia"/>
                      <w:color w:val="auto"/>
                      <w:kern w:val="0"/>
                      <w:sz w:val="18"/>
                      <w:szCs w:val="18"/>
                      <w:lang w:val="en-US" w:eastAsia="zh-CN"/>
                    </w:rPr>
                  </w:pPr>
                </w:p>
              </w:tc>
              <w:tc>
                <w:tcPr>
                  <w:tcW w:w="717" w:type="dxa"/>
                  <w:vMerge w:val="continue"/>
                  <w:vAlign w:val="center"/>
                </w:tcPr>
                <w:p w14:paraId="39D84135">
                  <w:pPr>
                    <w:topLinePunct/>
                    <w:snapToGrid w:val="0"/>
                    <w:jc w:val="center"/>
                    <w:rPr>
                      <w:rFonts w:hint="eastAsia"/>
                      <w:color w:val="auto"/>
                      <w:kern w:val="0"/>
                      <w:sz w:val="18"/>
                      <w:szCs w:val="18"/>
                      <w:lang w:val="en-US" w:eastAsia="zh-CN"/>
                    </w:rPr>
                  </w:pPr>
                </w:p>
              </w:tc>
              <w:tc>
                <w:tcPr>
                  <w:tcW w:w="775" w:type="dxa"/>
                  <w:vMerge w:val="continue"/>
                  <w:vAlign w:val="center"/>
                </w:tcPr>
                <w:p w14:paraId="4A65D8B6">
                  <w:pPr>
                    <w:topLinePunct/>
                    <w:snapToGrid w:val="0"/>
                    <w:jc w:val="center"/>
                    <w:rPr>
                      <w:rFonts w:hint="eastAsia"/>
                      <w:color w:val="auto"/>
                      <w:kern w:val="0"/>
                      <w:sz w:val="18"/>
                      <w:szCs w:val="18"/>
                      <w:lang w:val="en-US" w:eastAsia="zh-CN"/>
                    </w:rPr>
                  </w:pPr>
                </w:p>
              </w:tc>
              <w:tc>
                <w:tcPr>
                  <w:tcW w:w="775" w:type="dxa"/>
                  <w:vMerge w:val="continue"/>
                  <w:vAlign w:val="center"/>
                </w:tcPr>
                <w:p w14:paraId="07316A78">
                  <w:pPr>
                    <w:topLinePunct/>
                    <w:snapToGrid w:val="0"/>
                    <w:jc w:val="center"/>
                    <w:rPr>
                      <w:rFonts w:hint="eastAsia"/>
                      <w:color w:val="auto"/>
                      <w:kern w:val="0"/>
                      <w:sz w:val="18"/>
                      <w:szCs w:val="18"/>
                      <w:lang w:val="en-US" w:eastAsia="zh-CN"/>
                    </w:rPr>
                  </w:pPr>
                </w:p>
              </w:tc>
              <w:tc>
                <w:tcPr>
                  <w:tcW w:w="720" w:type="dxa"/>
                  <w:vMerge w:val="continue"/>
                  <w:vAlign w:val="center"/>
                </w:tcPr>
                <w:p w14:paraId="57EF34A3">
                  <w:pPr>
                    <w:topLinePunct/>
                    <w:snapToGrid w:val="0"/>
                    <w:jc w:val="center"/>
                    <w:rPr>
                      <w:rFonts w:hint="eastAsia"/>
                      <w:color w:val="auto"/>
                      <w:kern w:val="0"/>
                      <w:sz w:val="18"/>
                      <w:szCs w:val="18"/>
                      <w:lang w:val="en-US" w:eastAsia="zh-CN"/>
                    </w:rPr>
                  </w:pPr>
                </w:p>
              </w:tc>
            </w:tr>
            <w:tr w14:paraId="08E11E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777" w:type="dxa"/>
                  <w:vMerge w:val="continue"/>
                  <w:vAlign w:val="center"/>
                </w:tcPr>
                <w:p w14:paraId="7B81B721">
                  <w:pPr>
                    <w:topLinePunct/>
                    <w:snapToGrid w:val="0"/>
                    <w:jc w:val="center"/>
                    <w:rPr>
                      <w:rFonts w:hint="eastAsia"/>
                      <w:color w:val="auto"/>
                      <w:kern w:val="0"/>
                      <w:sz w:val="18"/>
                      <w:szCs w:val="18"/>
                      <w:lang w:val="en-US" w:eastAsia="zh-CN"/>
                    </w:rPr>
                  </w:pPr>
                </w:p>
              </w:tc>
              <w:tc>
                <w:tcPr>
                  <w:tcW w:w="1306" w:type="dxa"/>
                  <w:shd w:val="clear" w:color="auto" w:fill="auto"/>
                  <w:vAlign w:val="center"/>
                </w:tcPr>
                <w:p w14:paraId="7B87BFFA">
                  <w:pPr>
                    <w:topLinePunct/>
                    <w:snapToGrid w:val="0"/>
                    <w:jc w:val="center"/>
                    <w:rPr>
                      <w:rFonts w:hint="default"/>
                      <w:color w:val="auto"/>
                      <w:kern w:val="0"/>
                      <w:sz w:val="18"/>
                      <w:szCs w:val="18"/>
                      <w:lang w:val="en-US" w:eastAsia="zh-CN"/>
                    </w:rPr>
                  </w:pPr>
                  <w:r>
                    <w:rPr>
                      <w:rFonts w:hint="eastAsia"/>
                      <w:color w:val="auto"/>
                      <w:kern w:val="0"/>
                      <w:sz w:val="18"/>
                      <w:szCs w:val="18"/>
                      <w:lang w:val="en-US" w:eastAsia="zh-CN"/>
                    </w:rPr>
                    <w:t>废催化剂</w:t>
                  </w:r>
                </w:p>
              </w:tc>
              <w:tc>
                <w:tcPr>
                  <w:tcW w:w="775" w:type="dxa"/>
                  <w:shd w:val="clear" w:color="auto" w:fill="auto"/>
                  <w:vAlign w:val="center"/>
                </w:tcPr>
                <w:p w14:paraId="1CA3CB2A">
                  <w:pPr>
                    <w:adjustRightInd w:val="0"/>
                    <w:snapToGrid w:val="0"/>
                    <w:jc w:val="center"/>
                    <w:rPr>
                      <w:rFonts w:hint="default" w:eastAsia="宋体"/>
                      <w:color w:val="auto"/>
                      <w:sz w:val="18"/>
                      <w:szCs w:val="18"/>
                      <w:lang w:val="en-US" w:eastAsia="zh-CN"/>
                    </w:rPr>
                  </w:pPr>
                  <w:r>
                    <w:rPr>
                      <w:rFonts w:hint="eastAsia"/>
                      <w:color w:val="auto"/>
                      <w:sz w:val="18"/>
                      <w:szCs w:val="18"/>
                      <w:lang w:val="en-US" w:eastAsia="zh-CN"/>
                    </w:rPr>
                    <w:t>HW50</w:t>
                  </w:r>
                </w:p>
              </w:tc>
              <w:tc>
                <w:tcPr>
                  <w:tcW w:w="1338" w:type="dxa"/>
                  <w:shd w:val="clear" w:color="auto" w:fill="auto"/>
                  <w:vAlign w:val="center"/>
                </w:tcPr>
                <w:p w14:paraId="1C5C73C5">
                  <w:pPr>
                    <w:keepNext w:val="0"/>
                    <w:keepLines w:val="0"/>
                    <w:widowControl/>
                    <w:suppressLineNumbers w:val="0"/>
                    <w:jc w:val="center"/>
                    <w:rPr>
                      <w:rFonts w:hint="default" w:cs="Times New Roman"/>
                      <w:color w:val="auto"/>
                      <w:kern w:val="0"/>
                      <w:sz w:val="18"/>
                      <w:szCs w:val="18"/>
                      <w:lang w:val="en-US" w:eastAsia="zh-CN" w:bidi="ar"/>
                    </w:rPr>
                  </w:pPr>
                  <w:r>
                    <w:rPr>
                      <w:rFonts w:hint="eastAsia" w:cs="Times New Roman"/>
                      <w:color w:val="auto"/>
                      <w:kern w:val="0"/>
                      <w:sz w:val="18"/>
                      <w:szCs w:val="18"/>
                      <w:lang w:val="en-US" w:eastAsia="zh-CN" w:bidi="ar"/>
                    </w:rPr>
                    <w:t>900-048-50</w:t>
                  </w:r>
                </w:p>
              </w:tc>
              <w:tc>
                <w:tcPr>
                  <w:tcW w:w="840" w:type="dxa"/>
                  <w:vMerge w:val="continue"/>
                  <w:vAlign w:val="center"/>
                </w:tcPr>
                <w:p w14:paraId="7FE29F9E">
                  <w:pPr>
                    <w:topLinePunct/>
                    <w:snapToGrid w:val="0"/>
                    <w:jc w:val="center"/>
                    <w:rPr>
                      <w:rFonts w:hint="eastAsia"/>
                      <w:color w:val="auto"/>
                      <w:kern w:val="0"/>
                      <w:sz w:val="18"/>
                      <w:szCs w:val="18"/>
                      <w:lang w:val="en-US" w:eastAsia="zh-CN"/>
                    </w:rPr>
                  </w:pPr>
                </w:p>
              </w:tc>
              <w:tc>
                <w:tcPr>
                  <w:tcW w:w="717" w:type="dxa"/>
                  <w:vMerge w:val="continue"/>
                  <w:vAlign w:val="center"/>
                </w:tcPr>
                <w:p w14:paraId="71A6F494">
                  <w:pPr>
                    <w:topLinePunct/>
                    <w:snapToGrid w:val="0"/>
                    <w:jc w:val="center"/>
                    <w:rPr>
                      <w:rFonts w:hint="eastAsia"/>
                      <w:color w:val="auto"/>
                      <w:kern w:val="0"/>
                      <w:sz w:val="18"/>
                      <w:szCs w:val="18"/>
                      <w:lang w:val="en-US" w:eastAsia="zh-CN"/>
                    </w:rPr>
                  </w:pPr>
                </w:p>
              </w:tc>
              <w:tc>
                <w:tcPr>
                  <w:tcW w:w="775" w:type="dxa"/>
                  <w:vMerge w:val="continue"/>
                  <w:vAlign w:val="center"/>
                </w:tcPr>
                <w:p w14:paraId="036CD892">
                  <w:pPr>
                    <w:topLinePunct/>
                    <w:snapToGrid w:val="0"/>
                    <w:jc w:val="center"/>
                    <w:rPr>
                      <w:rFonts w:hint="eastAsia"/>
                      <w:color w:val="auto"/>
                      <w:kern w:val="0"/>
                      <w:sz w:val="18"/>
                      <w:szCs w:val="18"/>
                      <w:lang w:val="en-US" w:eastAsia="zh-CN"/>
                    </w:rPr>
                  </w:pPr>
                </w:p>
              </w:tc>
              <w:tc>
                <w:tcPr>
                  <w:tcW w:w="775" w:type="dxa"/>
                  <w:vMerge w:val="continue"/>
                  <w:vAlign w:val="center"/>
                </w:tcPr>
                <w:p w14:paraId="34022825">
                  <w:pPr>
                    <w:topLinePunct/>
                    <w:snapToGrid w:val="0"/>
                    <w:jc w:val="center"/>
                    <w:rPr>
                      <w:rFonts w:hint="eastAsia"/>
                      <w:color w:val="auto"/>
                      <w:kern w:val="0"/>
                      <w:sz w:val="18"/>
                      <w:szCs w:val="18"/>
                      <w:lang w:val="en-US" w:eastAsia="zh-CN"/>
                    </w:rPr>
                  </w:pPr>
                </w:p>
              </w:tc>
              <w:tc>
                <w:tcPr>
                  <w:tcW w:w="720" w:type="dxa"/>
                  <w:vMerge w:val="continue"/>
                  <w:vAlign w:val="center"/>
                </w:tcPr>
                <w:p w14:paraId="6893522B">
                  <w:pPr>
                    <w:topLinePunct/>
                    <w:snapToGrid w:val="0"/>
                    <w:jc w:val="center"/>
                    <w:rPr>
                      <w:rFonts w:hint="eastAsia"/>
                      <w:color w:val="auto"/>
                      <w:kern w:val="0"/>
                      <w:sz w:val="18"/>
                      <w:szCs w:val="18"/>
                      <w:lang w:val="en-US" w:eastAsia="zh-CN"/>
                    </w:rPr>
                  </w:pPr>
                </w:p>
              </w:tc>
            </w:tr>
            <w:tr w14:paraId="46484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35" w:hRule="atLeast"/>
                <w:jc w:val="center"/>
              </w:trPr>
              <w:tc>
                <w:tcPr>
                  <w:tcW w:w="777" w:type="dxa"/>
                  <w:vMerge w:val="continue"/>
                  <w:vAlign w:val="center"/>
                </w:tcPr>
                <w:p w14:paraId="77751E0B">
                  <w:pPr>
                    <w:topLinePunct/>
                    <w:snapToGrid w:val="0"/>
                    <w:jc w:val="center"/>
                    <w:rPr>
                      <w:rFonts w:hint="eastAsia"/>
                      <w:color w:val="auto"/>
                      <w:kern w:val="0"/>
                      <w:sz w:val="18"/>
                      <w:szCs w:val="18"/>
                      <w:lang w:val="en-US" w:eastAsia="zh-CN"/>
                    </w:rPr>
                  </w:pPr>
                </w:p>
              </w:tc>
              <w:tc>
                <w:tcPr>
                  <w:tcW w:w="1306" w:type="dxa"/>
                  <w:shd w:val="clear" w:color="auto" w:fill="auto"/>
                  <w:vAlign w:val="center"/>
                </w:tcPr>
                <w:p w14:paraId="6D3FC998">
                  <w:pPr>
                    <w:topLinePunct/>
                    <w:snapToGrid w:val="0"/>
                    <w:jc w:val="center"/>
                    <w:rPr>
                      <w:rFonts w:hint="default"/>
                      <w:color w:val="auto"/>
                      <w:kern w:val="0"/>
                      <w:sz w:val="18"/>
                      <w:szCs w:val="18"/>
                      <w:lang w:val="en-US" w:eastAsia="zh-CN"/>
                    </w:rPr>
                  </w:pPr>
                  <w:r>
                    <w:rPr>
                      <w:rFonts w:hint="eastAsia"/>
                      <w:color w:val="auto"/>
                      <w:kern w:val="0"/>
                      <w:sz w:val="18"/>
                      <w:szCs w:val="18"/>
                      <w:lang w:val="en-US" w:eastAsia="zh-CN"/>
                    </w:rPr>
                    <w:t>废过滤棉</w:t>
                  </w:r>
                </w:p>
              </w:tc>
              <w:tc>
                <w:tcPr>
                  <w:tcW w:w="775" w:type="dxa"/>
                  <w:shd w:val="clear" w:color="auto" w:fill="auto"/>
                  <w:vAlign w:val="center"/>
                </w:tcPr>
                <w:p w14:paraId="124607A8">
                  <w:pPr>
                    <w:adjustRightInd w:val="0"/>
                    <w:snapToGrid w:val="0"/>
                    <w:jc w:val="center"/>
                    <w:rPr>
                      <w:color w:val="auto"/>
                      <w:sz w:val="18"/>
                      <w:szCs w:val="18"/>
                    </w:rPr>
                  </w:pPr>
                  <w:r>
                    <w:rPr>
                      <w:color w:val="auto"/>
                      <w:sz w:val="18"/>
                      <w:szCs w:val="18"/>
                    </w:rPr>
                    <w:t>HW</w:t>
                  </w:r>
                  <w:r>
                    <w:rPr>
                      <w:rFonts w:hint="eastAsia"/>
                      <w:color w:val="auto"/>
                      <w:sz w:val="18"/>
                      <w:szCs w:val="18"/>
                      <w:lang w:val="en-US" w:eastAsia="zh-CN"/>
                    </w:rPr>
                    <w:t>49</w:t>
                  </w:r>
                </w:p>
              </w:tc>
              <w:tc>
                <w:tcPr>
                  <w:tcW w:w="1338" w:type="dxa"/>
                  <w:shd w:val="clear" w:color="auto" w:fill="auto"/>
                  <w:vAlign w:val="center"/>
                </w:tcPr>
                <w:p w14:paraId="4DF40E90">
                  <w:pPr>
                    <w:keepNext w:val="0"/>
                    <w:keepLines w:val="0"/>
                    <w:widowControl/>
                    <w:suppressLineNumbers w:val="0"/>
                    <w:jc w:val="center"/>
                    <w:rPr>
                      <w:rFonts w:hint="eastAsia" w:cs="Times New Roman"/>
                      <w:color w:val="auto"/>
                      <w:kern w:val="0"/>
                      <w:sz w:val="18"/>
                      <w:szCs w:val="18"/>
                      <w:lang w:val="en-US" w:eastAsia="zh-CN" w:bidi="ar"/>
                    </w:rPr>
                  </w:pPr>
                  <w:r>
                    <w:rPr>
                      <w:rFonts w:hint="eastAsia" w:cs="Times New Roman"/>
                      <w:color w:val="auto"/>
                      <w:kern w:val="0"/>
                      <w:sz w:val="18"/>
                      <w:szCs w:val="18"/>
                      <w:lang w:val="en-US" w:eastAsia="zh-CN" w:bidi="ar"/>
                    </w:rPr>
                    <w:t>900-041-49</w:t>
                  </w:r>
                </w:p>
              </w:tc>
              <w:tc>
                <w:tcPr>
                  <w:tcW w:w="840" w:type="dxa"/>
                  <w:vMerge w:val="continue"/>
                  <w:vAlign w:val="center"/>
                </w:tcPr>
                <w:p w14:paraId="639CC16F">
                  <w:pPr>
                    <w:topLinePunct/>
                    <w:snapToGrid w:val="0"/>
                    <w:jc w:val="center"/>
                    <w:rPr>
                      <w:rFonts w:hint="eastAsia"/>
                      <w:color w:val="auto"/>
                      <w:kern w:val="0"/>
                      <w:sz w:val="18"/>
                      <w:szCs w:val="18"/>
                      <w:lang w:val="en-US" w:eastAsia="zh-CN"/>
                    </w:rPr>
                  </w:pPr>
                </w:p>
              </w:tc>
              <w:tc>
                <w:tcPr>
                  <w:tcW w:w="717" w:type="dxa"/>
                  <w:vMerge w:val="continue"/>
                  <w:vAlign w:val="center"/>
                </w:tcPr>
                <w:p w14:paraId="39F0C2C1">
                  <w:pPr>
                    <w:topLinePunct/>
                    <w:snapToGrid w:val="0"/>
                    <w:jc w:val="center"/>
                    <w:rPr>
                      <w:rFonts w:hint="eastAsia"/>
                      <w:color w:val="auto"/>
                      <w:kern w:val="0"/>
                      <w:sz w:val="18"/>
                      <w:szCs w:val="18"/>
                      <w:lang w:val="en-US" w:eastAsia="zh-CN"/>
                    </w:rPr>
                  </w:pPr>
                </w:p>
              </w:tc>
              <w:tc>
                <w:tcPr>
                  <w:tcW w:w="775" w:type="dxa"/>
                  <w:vMerge w:val="continue"/>
                  <w:vAlign w:val="center"/>
                </w:tcPr>
                <w:p w14:paraId="7DB1ADE5">
                  <w:pPr>
                    <w:topLinePunct/>
                    <w:snapToGrid w:val="0"/>
                    <w:jc w:val="center"/>
                    <w:rPr>
                      <w:rFonts w:hint="eastAsia"/>
                      <w:color w:val="auto"/>
                      <w:kern w:val="0"/>
                      <w:sz w:val="18"/>
                      <w:szCs w:val="18"/>
                      <w:lang w:val="en-US" w:eastAsia="zh-CN"/>
                    </w:rPr>
                  </w:pPr>
                </w:p>
              </w:tc>
              <w:tc>
                <w:tcPr>
                  <w:tcW w:w="775" w:type="dxa"/>
                  <w:vMerge w:val="continue"/>
                  <w:vAlign w:val="center"/>
                </w:tcPr>
                <w:p w14:paraId="0CEF28ED">
                  <w:pPr>
                    <w:topLinePunct/>
                    <w:snapToGrid w:val="0"/>
                    <w:jc w:val="center"/>
                    <w:rPr>
                      <w:rFonts w:hint="eastAsia"/>
                      <w:color w:val="auto"/>
                      <w:kern w:val="0"/>
                      <w:sz w:val="18"/>
                      <w:szCs w:val="18"/>
                      <w:lang w:val="en-US" w:eastAsia="zh-CN"/>
                    </w:rPr>
                  </w:pPr>
                </w:p>
              </w:tc>
              <w:tc>
                <w:tcPr>
                  <w:tcW w:w="720" w:type="dxa"/>
                  <w:vMerge w:val="continue"/>
                  <w:vAlign w:val="center"/>
                </w:tcPr>
                <w:p w14:paraId="35C8957E">
                  <w:pPr>
                    <w:topLinePunct/>
                    <w:snapToGrid w:val="0"/>
                    <w:jc w:val="center"/>
                    <w:rPr>
                      <w:rFonts w:hint="eastAsia"/>
                      <w:color w:val="auto"/>
                      <w:kern w:val="0"/>
                      <w:sz w:val="18"/>
                      <w:szCs w:val="18"/>
                      <w:lang w:val="en-US" w:eastAsia="zh-CN"/>
                    </w:rPr>
                  </w:pPr>
                </w:p>
              </w:tc>
            </w:tr>
            <w:tr w14:paraId="396C01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777" w:type="dxa"/>
                  <w:vMerge w:val="continue"/>
                  <w:vAlign w:val="center"/>
                </w:tcPr>
                <w:p w14:paraId="35F2160E">
                  <w:pPr>
                    <w:topLinePunct/>
                    <w:snapToGrid w:val="0"/>
                    <w:jc w:val="center"/>
                    <w:rPr>
                      <w:rFonts w:hint="eastAsia"/>
                      <w:color w:val="auto"/>
                      <w:kern w:val="0"/>
                      <w:sz w:val="18"/>
                      <w:szCs w:val="18"/>
                      <w:lang w:val="en-US" w:eastAsia="zh-CN"/>
                    </w:rPr>
                  </w:pPr>
                </w:p>
              </w:tc>
              <w:tc>
                <w:tcPr>
                  <w:tcW w:w="1306" w:type="dxa"/>
                  <w:vAlign w:val="center"/>
                </w:tcPr>
                <w:p w14:paraId="795A6CFD">
                  <w:pPr>
                    <w:topLinePunct/>
                    <w:snapToGrid w:val="0"/>
                    <w:jc w:val="center"/>
                    <w:rPr>
                      <w:rFonts w:hint="default"/>
                      <w:color w:val="auto"/>
                      <w:kern w:val="0"/>
                      <w:sz w:val="18"/>
                      <w:szCs w:val="18"/>
                      <w:lang w:val="en-US" w:eastAsia="zh-CN"/>
                    </w:rPr>
                  </w:pPr>
                  <w:r>
                    <w:rPr>
                      <w:rFonts w:hint="eastAsia"/>
                      <w:color w:val="auto"/>
                      <w:kern w:val="0"/>
                      <w:sz w:val="18"/>
                      <w:szCs w:val="18"/>
                      <w:lang w:val="en-US" w:eastAsia="zh-CN"/>
                    </w:rPr>
                    <w:t>废活性炭</w:t>
                  </w:r>
                </w:p>
              </w:tc>
              <w:tc>
                <w:tcPr>
                  <w:tcW w:w="775" w:type="dxa"/>
                  <w:vAlign w:val="center"/>
                </w:tcPr>
                <w:p w14:paraId="346792E0">
                  <w:pPr>
                    <w:adjustRightInd w:val="0"/>
                    <w:snapToGrid w:val="0"/>
                    <w:jc w:val="center"/>
                    <w:rPr>
                      <w:rFonts w:hint="eastAsia"/>
                      <w:color w:val="auto"/>
                      <w:kern w:val="0"/>
                      <w:sz w:val="18"/>
                      <w:szCs w:val="18"/>
                      <w:lang w:val="en-US" w:eastAsia="zh-CN"/>
                    </w:rPr>
                  </w:pPr>
                  <w:r>
                    <w:rPr>
                      <w:color w:val="auto"/>
                      <w:sz w:val="18"/>
                      <w:szCs w:val="18"/>
                    </w:rPr>
                    <w:t>HW</w:t>
                  </w:r>
                  <w:r>
                    <w:rPr>
                      <w:rFonts w:hint="eastAsia"/>
                      <w:color w:val="auto"/>
                      <w:sz w:val="18"/>
                      <w:szCs w:val="18"/>
                      <w:lang w:val="en-US" w:eastAsia="zh-CN"/>
                    </w:rPr>
                    <w:t>49</w:t>
                  </w:r>
                </w:p>
              </w:tc>
              <w:tc>
                <w:tcPr>
                  <w:tcW w:w="1338" w:type="dxa"/>
                  <w:shd w:val="clear" w:color="auto" w:fill="auto"/>
                  <w:vAlign w:val="center"/>
                </w:tcPr>
                <w:p w14:paraId="6947CA4F">
                  <w:pPr>
                    <w:keepNext w:val="0"/>
                    <w:keepLines w:val="0"/>
                    <w:widowControl/>
                    <w:suppressLineNumbers w:val="0"/>
                    <w:jc w:val="center"/>
                    <w:rPr>
                      <w:rFonts w:hint="default"/>
                      <w:color w:val="auto"/>
                      <w:sz w:val="18"/>
                      <w:szCs w:val="18"/>
                      <w:lang w:val="en-US" w:eastAsia="zh-CN"/>
                    </w:rPr>
                  </w:pPr>
                  <w:r>
                    <w:rPr>
                      <w:rFonts w:hint="eastAsia"/>
                      <w:color w:val="auto"/>
                      <w:sz w:val="18"/>
                      <w:szCs w:val="18"/>
                      <w:lang w:val="en-US" w:eastAsia="zh-CN"/>
                    </w:rPr>
                    <w:t>900-039-49</w:t>
                  </w:r>
                </w:p>
              </w:tc>
              <w:tc>
                <w:tcPr>
                  <w:tcW w:w="840" w:type="dxa"/>
                  <w:vMerge w:val="continue"/>
                  <w:vAlign w:val="center"/>
                </w:tcPr>
                <w:p w14:paraId="54E39D65">
                  <w:pPr>
                    <w:topLinePunct/>
                    <w:snapToGrid w:val="0"/>
                    <w:jc w:val="center"/>
                    <w:rPr>
                      <w:rFonts w:hint="eastAsia"/>
                      <w:color w:val="auto"/>
                      <w:kern w:val="0"/>
                      <w:sz w:val="18"/>
                      <w:szCs w:val="18"/>
                      <w:lang w:val="en-US" w:eastAsia="zh-CN"/>
                    </w:rPr>
                  </w:pPr>
                </w:p>
              </w:tc>
              <w:tc>
                <w:tcPr>
                  <w:tcW w:w="717" w:type="dxa"/>
                  <w:vMerge w:val="continue"/>
                  <w:vAlign w:val="center"/>
                </w:tcPr>
                <w:p w14:paraId="4A741367">
                  <w:pPr>
                    <w:topLinePunct/>
                    <w:snapToGrid w:val="0"/>
                    <w:jc w:val="center"/>
                    <w:rPr>
                      <w:rFonts w:hint="eastAsia"/>
                      <w:color w:val="auto"/>
                      <w:kern w:val="0"/>
                      <w:sz w:val="18"/>
                      <w:szCs w:val="18"/>
                      <w:lang w:val="en-US" w:eastAsia="zh-CN"/>
                    </w:rPr>
                  </w:pPr>
                </w:p>
              </w:tc>
              <w:tc>
                <w:tcPr>
                  <w:tcW w:w="775" w:type="dxa"/>
                  <w:vMerge w:val="continue"/>
                  <w:vAlign w:val="center"/>
                </w:tcPr>
                <w:p w14:paraId="306D65A9">
                  <w:pPr>
                    <w:topLinePunct/>
                    <w:snapToGrid w:val="0"/>
                    <w:jc w:val="center"/>
                    <w:rPr>
                      <w:rFonts w:hint="eastAsia"/>
                      <w:color w:val="auto"/>
                      <w:kern w:val="0"/>
                      <w:sz w:val="18"/>
                      <w:szCs w:val="18"/>
                      <w:lang w:val="en-US" w:eastAsia="zh-CN"/>
                    </w:rPr>
                  </w:pPr>
                </w:p>
              </w:tc>
              <w:tc>
                <w:tcPr>
                  <w:tcW w:w="775" w:type="dxa"/>
                  <w:vMerge w:val="continue"/>
                  <w:vAlign w:val="center"/>
                </w:tcPr>
                <w:p w14:paraId="6EB60C60">
                  <w:pPr>
                    <w:topLinePunct/>
                    <w:snapToGrid w:val="0"/>
                    <w:jc w:val="center"/>
                    <w:rPr>
                      <w:rFonts w:hint="eastAsia"/>
                      <w:color w:val="auto"/>
                      <w:kern w:val="0"/>
                      <w:sz w:val="18"/>
                      <w:szCs w:val="18"/>
                      <w:lang w:val="en-US" w:eastAsia="zh-CN"/>
                    </w:rPr>
                  </w:pPr>
                </w:p>
              </w:tc>
              <w:tc>
                <w:tcPr>
                  <w:tcW w:w="720" w:type="dxa"/>
                  <w:vMerge w:val="continue"/>
                  <w:vAlign w:val="center"/>
                </w:tcPr>
                <w:p w14:paraId="127B0B24">
                  <w:pPr>
                    <w:topLinePunct/>
                    <w:snapToGrid w:val="0"/>
                    <w:jc w:val="center"/>
                    <w:rPr>
                      <w:rFonts w:hint="eastAsia"/>
                      <w:color w:val="auto"/>
                      <w:kern w:val="0"/>
                      <w:sz w:val="18"/>
                      <w:szCs w:val="18"/>
                      <w:lang w:val="en-US" w:eastAsia="zh-CN"/>
                    </w:rPr>
                  </w:pPr>
                </w:p>
              </w:tc>
            </w:tr>
          </w:tbl>
          <w:p w14:paraId="4DEB6FCA">
            <w:pPr>
              <w:widowControl/>
              <w:snapToGrid w:val="0"/>
              <w:spacing w:line="360" w:lineRule="auto"/>
              <w:ind w:firstLine="420" w:firstLineChars="200"/>
              <w:rPr>
                <w:bCs/>
                <w:color w:val="auto"/>
                <w:szCs w:val="21"/>
              </w:rPr>
            </w:pPr>
            <w:r>
              <w:rPr>
                <w:bCs/>
                <w:color w:val="auto"/>
                <w:szCs w:val="21"/>
              </w:rPr>
              <w:t>企业设置的危废贮存场所需严格按照《危险废物贮存污染控制标准》（GB18597-20</w:t>
            </w:r>
            <w:r>
              <w:rPr>
                <w:rFonts w:hint="eastAsia"/>
                <w:bCs/>
                <w:color w:val="auto"/>
                <w:szCs w:val="21"/>
              </w:rPr>
              <w:t>23</w:t>
            </w:r>
            <w:r>
              <w:rPr>
                <w:bCs/>
                <w:color w:val="auto"/>
                <w:szCs w:val="21"/>
              </w:rPr>
              <w:t>）</w:t>
            </w:r>
            <w:r>
              <w:rPr>
                <w:rFonts w:hint="eastAsia"/>
                <w:bCs/>
                <w:color w:val="auto"/>
                <w:szCs w:val="21"/>
              </w:rPr>
              <w:t>进行贮存，贮存设施识别标志和标签等应按照</w:t>
            </w:r>
            <w:r>
              <w:rPr>
                <w:bCs/>
                <w:color w:val="auto"/>
                <w:szCs w:val="21"/>
              </w:rPr>
              <w:t>《环境保护图形标志</w:t>
            </w:r>
            <w:r>
              <w:rPr>
                <w:rFonts w:hint="eastAsia"/>
                <w:bCs/>
                <w:color w:val="auto"/>
                <w:szCs w:val="21"/>
              </w:rPr>
              <w:t>—</w:t>
            </w:r>
            <w:r>
              <w:rPr>
                <w:bCs/>
                <w:color w:val="auto"/>
                <w:szCs w:val="21"/>
              </w:rPr>
              <w:t>固体废物贮存（处置）场》（GB15562.2-1995）</w:t>
            </w:r>
            <w:r>
              <w:rPr>
                <w:rFonts w:hint="eastAsia"/>
                <w:bCs/>
                <w:color w:val="auto"/>
                <w:szCs w:val="21"/>
              </w:rPr>
              <w:t>（</w:t>
            </w:r>
            <w:r>
              <w:rPr>
                <w:bCs/>
                <w:color w:val="auto"/>
                <w:szCs w:val="21"/>
              </w:rPr>
              <w:t>公告2023年第5号</w:t>
            </w:r>
            <w:r>
              <w:rPr>
                <w:rFonts w:hint="eastAsia"/>
                <w:bCs/>
                <w:color w:val="auto"/>
                <w:szCs w:val="21"/>
              </w:rPr>
              <w:t>）及《</w:t>
            </w:r>
            <w:r>
              <w:rPr>
                <w:bCs/>
                <w:color w:val="auto"/>
                <w:szCs w:val="21"/>
              </w:rPr>
              <w:t>危险废物识别标志设置技术规范</w:t>
            </w:r>
            <w:r>
              <w:rPr>
                <w:rFonts w:hint="eastAsia"/>
                <w:bCs/>
                <w:color w:val="auto"/>
                <w:szCs w:val="21"/>
              </w:rPr>
              <w:t>》</w:t>
            </w:r>
            <w:r>
              <w:rPr>
                <w:bCs/>
                <w:color w:val="auto"/>
                <w:szCs w:val="21"/>
              </w:rPr>
              <w:t>（HJ1276—2022）</w:t>
            </w:r>
            <w:r>
              <w:rPr>
                <w:rFonts w:hint="eastAsia"/>
                <w:bCs/>
                <w:color w:val="auto"/>
                <w:szCs w:val="21"/>
              </w:rPr>
              <w:t>等标准设置</w:t>
            </w:r>
            <w:r>
              <w:rPr>
                <w:bCs/>
                <w:color w:val="auto"/>
                <w:szCs w:val="21"/>
              </w:rPr>
              <w:t>，危险废物的收集、运输应按照《危险废物收集、贮存、运输技术规范》（HJ2025-2012）的要求进行。</w:t>
            </w:r>
          </w:p>
          <w:p w14:paraId="536993F8">
            <w:pPr>
              <w:widowControl/>
              <w:snapToGrid w:val="0"/>
              <w:spacing w:line="360" w:lineRule="auto"/>
              <w:ind w:firstLine="420" w:firstLineChars="200"/>
              <w:rPr>
                <w:bCs/>
                <w:color w:val="auto"/>
                <w:szCs w:val="21"/>
              </w:rPr>
            </w:pPr>
            <w:r>
              <w:rPr>
                <w:bCs/>
                <w:color w:val="auto"/>
                <w:szCs w:val="21"/>
              </w:rPr>
              <w:t>1）危险废物贮存设施</w:t>
            </w:r>
            <w:r>
              <w:rPr>
                <w:rFonts w:hint="eastAsia"/>
                <w:bCs/>
                <w:color w:val="auto"/>
                <w:szCs w:val="21"/>
              </w:rPr>
              <w:t>污染控制一般规定</w:t>
            </w:r>
            <w:r>
              <w:rPr>
                <w:bCs/>
                <w:color w:val="auto"/>
                <w:szCs w:val="21"/>
              </w:rPr>
              <w:t>：</w:t>
            </w:r>
          </w:p>
          <w:p w14:paraId="6F245638">
            <w:pPr>
              <w:widowControl/>
              <w:snapToGrid w:val="0"/>
              <w:spacing w:line="360" w:lineRule="auto"/>
              <w:ind w:firstLine="420" w:firstLineChars="200"/>
              <w:rPr>
                <w:bCs/>
                <w:color w:val="auto"/>
                <w:szCs w:val="21"/>
              </w:rPr>
            </w:pPr>
            <w:r>
              <w:rPr>
                <w:bCs/>
                <w:color w:val="auto"/>
                <w:szCs w:val="21"/>
              </w:rPr>
              <w:t>本项目的危险废物收集后，放置在厂内的</w:t>
            </w:r>
            <w:r>
              <w:rPr>
                <w:rFonts w:hint="eastAsia"/>
                <w:bCs/>
                <w:color w:val="auto"/>
                <w:szCs w:val="21"/>
              </w:rPr>
              <w:t>危废</w:t>
            </w:r>
            <w:r>
              <w:rPr>
                <w:rFonts w:hint="eastAsia"/>
                <w:bCs/>
                <w:color w:val="auto"/>
                <w:szCs w:val="21"/>
                <w:lang w:val="en-US" w:eastAsia="zh-CN"/>
              </w:rPr>
              <w:t>贮存</w:t>
            </w:r>
            <w:r>
              <w:rPr>
                <w:rFonts w:hint="eastAsia"/>
                <w:bCs/>
                <w:color w:val="auto"/>
                <w:szCs w:val="21"/>
              </w:rPr>
              <w:t>库</w:t>
            </w:r>
            <w:r>
              <w:rPr>
                <w:bCs/>
                <w:color w:val="auto"/>
                <w:szCs w:val="21"/>
              </w:rPr>
              <w:t>，同时做好危险废物的记录。危险废物</w:t>
            </w:r>
            <w:r>
              <w:rPr>
                <w:rFonts w:hint="eastAsia"/>
                <w:bCs/>
                <w:color w:val="auto"/>
                <w:szCs w:val="21"/>
              </w:rPr>
              <w:t>贮存</w:t>
            </w:r>
            <w:r>
              <w:rPr>
                <w:bCs/>
                <w:color w:val="auto"/>
                <w:szCs w:val="21"/>
              </w:rPr>
              <w:t>场所严格按照《危险废物贮存污染控制标准》（GB18597-20</w:t>
            </w:r>
            <w:r>
              <w:rPr>
                <w:rFonts w:hint="eastAsia"/>
                <w:bCs/>
                <w:color w:val="auto"/>
                <w:szCs w:val="21"/>
              </w:rPr>
              <w:t>23</w:t>
            </w:r>
            <w:r>
              <w:rPr>
                <w:bCs/>
                <w:color w:val="auto"/>
                <w:szCs w:val="21"/>
              </w:rPr>
              <w:t>）及其修改单的要求规范建设和维护使用。具体</w:t>
            </w:r>
            <w:r>
              <w:rPr>
                <w:rFonts w:hint="eastAsia"/>
                <w:bCs/>
                <w:color w:val="auto"/>
                <w:szCs w:val="21"/>
              </w:rPr>
              <w:t>要求如下</w:t>
            </w:r>
            <w:r>
              <w:rPr>
                <w:bCs/>
                <w:color w:val="auto"/>
                <w:szCs w:val="21"/>
              </w:rPr>
              <w:t>：</w:t>
            </w:r>
          </w:p>
          <w:p w14:paraId="038543BC">
            <w:pPr>
              <w:widowControl/>
              <w:snapToGrid w:val="0"/>
              <w:spacing w:line="360" w:lineRule="auto"/>
              <w:ind w:firstLine="420" w:firstLineChars="200"/>
              <w:rPr>
                <w:bCs/>
                <w:color w:val="auto"/>
                <w:szCs w:val="21"/>
              </w:rPr>
            </w:pPr>
            <w:r>
              <w:rPr>
                <w:bCs/>
                <w:color w:val="auto"/>
                <w:szCs w:val="21"/>
              </w:rPr>
              <w:t>①贮存设施应根据危险废物的形态、物理化学性质、包装形式和污染物迁移途径，采取必要的防风、防晒、防雨、防漏、防渗、防腐以及其他环境污染防治措施，不应露天堆放危险废物。</w:t>
            </w:r>
          </w:p>
          <w:p w14:paraId="26378257">
            <w:pPr>
              <w:widowControl/>
              <w:snapToGrid w:val="0"/>
              <w:spacing w:line="360" w:lineRule="auto"/>
              <w:ind w:firstLine="420" w:firstLineChars="200"/>
              <w:rPr>
                <w:bCs/>
                <w:color w:val="auto"/>
                <w:szCs w:val="21"/>
              </w:rPr>
            </w:pPr>
            <w:r>
              <w:rPr>
                <w:bCs/>
                <w:color w:val="auto"/>
                <w:szCs w:val="21"/>
              </w:rPr>
              <w:t>②贮存设施应根据危险废物的类别、数量、形态、物理化学性质和污染防治等要求设置必要的贮存分区，避免不相容的危险废物接触、混合</w:t>
            </w:r>
            <w:r>
              <w:rPr>
                <w:rFonts w:hint="eastAsia"/>
                <w:bCs/>
                <w:color w:val="auto"/>
                <w:szCs w:val="21"/>
              </w:rPr>
              <w:t>。</w:t>
            </w:r>
          </w:p>
          <w:p w14:paraId="549ACB6F">
            <w:pPr>
              <w:widowControl/>
              <w:snapToGrid w:val="0"/>
              <w:spacing w:line="360" w:lineRule="auto"/>
              <w:ind w:firstLine="420" w:firstLineChars="200"/>
              <w:rPr>
                <w:bCs/>
                <w:color w:val="auto"/>
                <w:szCs w:val="21"/>
              </w:rPr>
            </w:pPr>
            <w:r>
              <w:rPr>
                <w:bCs/>
                <w:color w:val="auto"/>
                <w:szCs w:val="21"/>
              </w:rPr>
              <w:t>③贮存设施或贮存分区内地面、墙面裙脚、堵截泄漏的围堰、接触危险废物的隔板和墙体等应采 用坚固的材料建造，表面无裂缝。</w:t>
            </w:r>
          </w:p>
          <w:p w14:paraId="69DB6867">
            <w:pPr>
              <w:widowControl/>
              <w:snapToGrid w:val="0"/>
              <w:spacing w:line="360" w:lineRule="auto"/>
              <w:ind w:firstLine="420" w:firstLineChars="200"/>
              <w:rPr>
                <w:bCs/>
                <w:color w:val="auto"/>
                <w:szCs w:val="21"/>
              </w:rPr>
            </w:pPr>
            <w:r>
              <w:rPr>
                <w:bCs/>
                <w:color w:val="auto"/>
                <w:szCs w:val="21"/>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m厚黏土层（渗透系数不大于10</w:t>
            </w:r>
            <w:r>
              <w:rPr>
                <w:bCs/>
                <w:color w:val="auto"/>
                <w:szCs w:val="21"/>
                <w:vertAlign w:val="superscript"/>
              </w:rPr>
              <w:t>-7</w:t>
            </w:r>
            <w:r>
              <w:rPr>
                <w:bCs/>
                <w:color w:val="auto"/>
                <w:szCs w:val="21"/>
              </w:rPr>
              <w:t>cm/s），或至少2 mm厚高密度聚乙烯膜等人工防渗材料（渗透系数不大于10</w:t>
            </w:r>
            <w:r>
              <w:rPr>
                <w:bCs/>
                <w:color w:val="auto"/>
                <w:szCs w:val="21"/>
                <w:vertAlign w:val="superscript"/>
              </w:rPr>
              <w:t xml:space="preserve"> -10</w:t>
            </w:r>
            <w:r>
              <w:rPr>
                <w:bCs/>
                <w:color w:val="auto"/>
                <w:szCs w:val="21"/>
              </w:rPr>
              <w:t xml:space="preserve"> cm/s），或其他防渗性能等效的材料。</w:t>
            </w:r>
          </w:p>
          <w:p w14:paraId="76C7AE4A">
            <w:pPr>
              <w:widowControl/>
              <w:snapToGrid w:val="0"/>
              <w:spacing w:line="360" w:lineRule="auto"/>
              <w:ind w:firstLine="420" w:firstLineChars="200"/>
              <w:rPr>
                <w:bCs/>
                <w:color w:val="auto"/>
                <w:szCs w:val="21"/>
              </w:rPr>
            </w:pPr>
            <w:r>
              <w:rPr>
                <w:bCs/>
                <w:color w:val="auto"/>
                <w:szCs w:val="21"/>
              </w:rPr>
              <w:t>⑤贮存设施应采取技术和管理措施防止无关人员进入</w:t>
            </w:r>
          </w:p>
          <w:p w14:paraId="15BCE031">
            <w:pPr>
              <w:widowControl/>
              <w:snapToGrid w:val="0"/>
              <w:spacing w:line="360" w:lineRule="auto"/>
              <w:ind w:firstLine="420" w:firstLineChars="200"/>
              <w:rPr>
                <w:bCs/>
                <w:color w:val="auto"/>
                <w:szCs w:val="21"/>
              </w:rPr>
            </w:pPr>
            <w:r>
              <w:rPr>
                <w:bCs/>
                <w:color w:val="auto"/>
                <w:szCs w:val="21"/>
              </w:rPr>
              <w:t>⑥贮存库内不同贮存分区之间应采取隔离措施。隔离措施可根据危险废物特性采用过道、隔板或隔墙等方式。</w:t>
            </w:r>
          </w:p>
          <w:p w14:paraId="4F46702A">
            <w:pPr>
              <w:widowControl/>
              <w:snapToGrid w:val="0"/>
              <w:spacing w:line="360" w:lineRule="auto"/>
              <w:ind w:firstLine="420" w:firstLineChars="200"/>
              <w:rPr>
                <w:bCs/>
                <w:color w:val="auto"/>
                <w:szCs w:val="21"/>
              </w:rPr>
            </w:pPr>
            <w:r>
              <w:rPr>
                <w:bCs/>
                <w:color w:val="auto"/>
                <w:szCs w:val="21"/>
              </w:rPr>
              <w:t>⑦在贮存库内或通过贮存分区方式贮存液态危险废物的，应具有液体泄漏堵截设施，堵截设施最小容积不应低于对应贮存区域最大液态废物容器容积或液态废物总储量 1/10（二者取较大者）；用于贮 存可能产生渗滤液的危险废物的贮存库或贮存分区应设计渗滤液收集设施，收集设施容积应满足渗滤液的收集要求。</w:t>
            </w:r>
          </w:p>
          <w:p w14:paraId="7FBCC4E5">
            <w:pPr>
              <w:widowControl/>
              <w:snapToGrid w:val="0"/>
              <w:spacing w:line="360" w:lineRule="auto"/>
              <w:ind w:firstLine="420" w:firstLineChars="200"/>
              <w:rPr>
                <w:bCs/>
                <w:color w:val="auto"/>
                <w:szCs w:val="21"/>
              </w:rPr>
            </w:pPr>
            <w:r>
              <w:rPr>
                <w:rFonts w:hint="eastAsia"/>
                <w:bCs/>
                <w:color w:val="auto"/>
                <w:szCs w:val="21"/>
              </w:rPr>
              <w:t>2）</w:t>
            </w:r>
            <w:r>
              <w:rPr>
                <w:bCs/>
                <w:color w:val="auto"/>
                <w:szCs w:val="21"/>
              </w:rPr>
              <w:t>容器和包装物污染控制要求</w:t>
            </w:r>
            <w:r>
              <w:rPr>
                <w:rFonts w:hint="eastAsia"/>
                <w:bCs/>
                <w:color w:val="auto"/>
                <w:szCs w:val="21"/>
              </w:rPr>
              <w:t>：</w:t>
            </w:r>
          </w:p>
          <w:p w14:paraId="36CC7E74">
            <w:pPr>
              <w:widowControl/>
              <w:snapToGrid w:val="0"/>
              <w:spacing w:line="360" w:lineRule="auto"/>
              <w:ind w:firstLine="420" w:firstLineChars="200"/>
              <w:rPr>
                <w:bCs/>
                <w:color w:val="auto"/>
                <w:szCs w:val="21"/>
              </w:rPr>
            </w:pPr>
            <w:r>
              <w:rPr>
                <w:bCs/>
                <w:color w:val="auto"/>
                <w:szCs w:val="21"/>
              </w:rPr>
              <w:t xml:space="preserve">①容器和包装物材质、内衬应与盛装的危险废物相容。 </w:t>
            </w:r>
          </w:p>
          <w:p w14:paraId="25DBCDAF">
            <w:pPr>
              <w:widowControl/>
              <w:snapToGrid w:val="0"/>
              <w:spacing w:line="360" w:lineRule="auto"/>
              <w:ind w:firstLine="420" w:firstLineChars="200"/>
              <w:rPr>
                <w:bCs/>
                <w:color w:val="auto"/>
                <w:szCs w:val="21"/>
              </w:rPr>
            </w:pPr>
            <w:r>
              <w:rPr>
                <w:bCs/>
                <w:color w:val="auto"/>
                <w:szCs w:val="21"/>
              </w:rPr>
              <w:t xml:space="preserve">②针对不同类别、形态、物理化学性质的危险废物，其容器和包装物应满足相应的防渗、防漏、防腐和强度等要求。 </w:t>
            </w:r>
          </w:p>
          <w:p w14:paraId="727245C2">
            <w:pPr>
              <w:widowControl/>
              <w:snapToGrid w:val="0"/>
              <w:spacing w:line="360" w:lineRule="auto"/>
              <w:ind w:firstLine="420" w:firstLineChars="200"/>
              <w:rPr>
                <w:bCs/>
                <w:color w:val="auto"/>
                <w:szCs w:val="21"/>
              </w:rPr>
            </w:pPr>
            <w:r>
              <w:rPr>
                <w:bCs/>
                <w:color w:val="auto"/>
                <w:szCs w:val="21"/>
              </w:rPr>
              <w:t xml:space="preserve">③硬质容器和包装物及其支护结构堆叠码放时不应有明显变形，无破损泄漏。 </w:t>
            </w:r>
          </w:p>
          <w:p w14:paraId="42A01447">
            <w:pPr>
              <w:widowControl/>
              <w:snapToGrid w:val="0"/>
              <w:spacing w:line="360" w:lineRule="auto"/>
              <w:ind w:firstLine="420" w:firstLineChars="200"/>
              <w:rPr>
                <w:bCs/>
                <w:color w:val="auto"/>
                <w:szCs w:val="21"/>
              </w:rPr>
            </w:pPr>
            <w:r>
              <w:rPr>
                <w:bCs/>
                <w:color w:val="auto"/>
                <w:szCs w:val="21"/>
              </w:rPr>
              <w:t xml:space="preserve">④柔性容器和包装物堆叠码放时应封口严密，无破损泄漏。 </w:t>
            </w:r>
          </w:p>
          <w:p w14:paraId="3B150820">
            <w:pPr>
              <w:widowControl/>
              <w:snapToGrid w:val="0"/>
              <w:spacing w:line="360" w:lineRule="auto"/>
              <w:ind w:firstLine="420" w:firstLineChars="200"/>
              <w:rPr>
                <w:bCs/>
                <w:color w:val="auto"/>
                <w:szCs w:val="21"/>
              </w:rPr>
            </w:pPr>
            <w:r>
              <w:rPr>
                <w:bCs/>
                <w:color w:val="auto"/>
                <w:szCs w:val="21"/>
              </w:rPr>
              <w:t xml:space="preserve">⑤使用容器盛装液态、半固态危险废物时，容器内部应留有适当的空间，以适应因温度变化等可能引发的收缩和膨胀，防止其导致容器渗漏或永久变形。 </w:t>
            </w:r>
          </w:p>
          <w:p w14:paraId="653BD8B3">
            <w:pPr>
              <w:widowControl/>
              <w:snapToGrid w:val="0"/>
              <w:spacing w:line="360" w:lineRule="auto"/>
              <w:ind w:firstLine="420" w:firstLineChars="200"/>
              <w:rPr>
                <w:bCs/>
                <w:color w:val="auto"/>
                <w:szCs w:val="21"/>
              </w:rPr>
            </w:pPr>
            <w:r>
              <w:rPr>
                <w:bCs/>
                <w:color w:val="auto"/>
                <w:szCs w:val="21"/>
              </w:rPr>
              <w:t>⑥容器和包装物外表面应保持清洁</w:t>
            </w:r>
            <w:r>
              <w:rPr>
                <w:rFonts w:hint="eastAsia"/>
                <w:bCs/>
                <w:color w:val="auto"/>
                <w:szCs w:val="21"/>
              </w:rPr>
              <w:t>。</w:t>
            </w:r>
          </w:p>
          <w:p w14:paraId="046DD03B">
            <w:pPr>
              <w:widowControl/>
              <w:snapToGrid w:val="0"/>
              <w:spacing w:line="360" w:lineRule="auto"/>
              <w:ind w:firstLine="420" w:firstLineChars="200"/>
              <w:rPr>
                <w:bCs/>
                <w:color w:val="auto"/>
                <w:szCs w:val="21"/>
              </w:rPr>
            </w:pPr>
            <w:r>
              <w:rPr>
                <w:rFonts w:hint="eastAsia"/>
                <w:bCs/>
                <w:color w:val="auto"/>
                <w:szCs w:val="21"/>
              </w:rPr>
              <w:t>3）</w:t>
            </w:r>
            <w:r>
              <w:rPr>
                <w:bCs/>
                <w:color w:val="auto"/>
                <w:szCs w:val="21"/>
              </w:rPr>
              <w:t>贮存设施运行环境管理要求</w:t>
            </w:r>
          </w:p>
          <w:p w14:paraId="2F2AAAB7">
            <w:pPr>
              <w:widowControl/>
              <w:snapToGrid w:val="0"/>
              <w:spacing w:line="360" w:lineRule="auto"/>
              <w:ind w:firstLine="420" w:firstLineChars="200"/>
              <w:rPr>
                <w:bCs/>
                <w:color w:val="auto"/>
                <w:szCs w:val="21"/>
              </w:rPr>
            </w:pPr>
            <w:r>
              <w:rPr>
                <w:bCs/>
                <w:color w:val="auto"/>
                <w:szCs w:val="21"/>
              </w:rPr>
              <w:t xml:space="preserve">①危险废物存入贮存设施前应对危险废物类别和特性与危险废物标签等危险废物识别标志的一致性进行核验，不一致的或类别、特性不明的不应存入。 </w:t>
            </w:r>
          </w:p>
          <w:p w14:paraId="06C72B18">
            <w:pPr>
              <w:widowControl/>
              <w:snapToGrid w:val="0"/>
              <w:spacing w:line="360" w:lineRule="auto"/>
              <w:ind w:firstLine="420" w:firstLineChars="200"/>
              <w:rPr>
                <w:bCs/>
                <w:color w:val="auto"/>
                <w:szCs w:val="21"/>
              </w:rPr>
            </w:pPr>
            <w:r>
              <w:rPr>
                <w:bCs/>
                <w:color w:val="auto"/>
                <w:szCs w:val="21"/>
              </w:rPr>
              <w:t xml:space="preserve">②应定期检查危险废物的贮存状况，及时清理贮存设施地面，更换破损泄漏的危险废物贮存容器和包装物，保证堆存危险废物的防雨、防风、防扬尘等设施功能完好。 </w:t>
            </w:r>
          </w:p>
          <w:p w14:paraId="741BC304">
            <w:pPr>
              <w:widowControl/>
              <w:snapToGrid w:val="0"/>
              <w:spacing w:line="360" w:lineRule="auto"/>
              <w:ind w:firstLine="420" w:firstLineChars="200"/>
              <w:rPr>
                <w:bCs/>
                <w:color w:val="auto"/>
                <w:szCs w:val="21"/>
              </w:rPr>
            </w:pPr>
            <w:r>
              <w:rPr>
                <w:bCs/>
                <w:color w:val="auto"/>
                <w:szCs w:val="21"/>
              </w:rPr>
              <w:t xml:space="preserve">③贮存设施运行期间，应按国家有关标准和规定建立危险废物管理台账并保存。 </w:t>
            </w:r>
          </w:p>
          <w:p w14:paraId="3E855E53">
            <w:pPr>
              <w:widowControl/>
              <w:snapToGrid w:val="0"/>
              <w:spacing w:line="360" w:lineRule="auto"/>
              <w:ind w:firstLine="420" w:firstLineChars="200"/>
              <w:rPr>
                <w:bCs/>
                <w:color w:val="auto"/>
                <w:szCs w:val="21"/>
              </w:rPr>
            </w:pPr>
            <w:r>
              <w:rPr>
                <w:bCs/>
                <w:color w:val="auto"/>
                <w:szCs w:val="21"/>
              </w:rPr>
              <w:t xml:space="preserve">④贮存设施所有者或运营者应建立贮存设施环境管理制度、管理人员岗位职责制度、设施运行操作制度、人员岗位培训制度等。 </w:t>
            </w:r>
          </w:p>
          <w:p w14:paraId="6CDEEFDC">
            <w:pPr>
              <w:widowControl/>
              <w:snapToGrid w:val="0"/>
              <w:spacing w:line="360" w:lineRule="auto"/>
              <w:ind w:firstLine="420" w:firstLineChars="200"/>
              <w:rPr>
                <w:bCs/>
                <w:color w:val="auto"/>
                <w:szCs w:val="21"/>
              </w:rPr>
            </w:pPr>
            <w:r>
              <w:rPr>
                <w:bCs/>
                <w:color w:val="auto"/>
                <w:szCs w:val="21"/>
              </w:rPr>
              <w:t xml:space="preserve">⑤贮存设施所有者或运营者应依据国家土壤和地下水污染防治的有关规定，结合贮存设施特点建立土壤和地下水污染隐患排查制度，并定期开展隐患排查；发现隐患应及时采取措施消除隐患，并建立档案。 </w:t>
            </w:r>
          </w:p>
          <w:p w14:paraId="2991CDC6">
            <w:pPr>
              <w:widowControl/>
              <w:snapToGrid w:val="0"/>
              <w:spacing w:line="360" w:lineRule="auto"/>
              <w:ind w:firstLine="420" w:firstLineChars="200"/>
              <w:rPr>
                <w:bCs/>
                <w:color w:val="auto"/>
                <w:szCs w:val="21"/>
              </w:rPr>
            </w:pPr>
            <w:r>
              <w:rPr>
                <w:bCs/>
                <w:color w:val="auto"/>
                <w:szCs w:val="21"/>
              </w:rPr>
              <w:t>⑥贮存设施所有者或运营者应建立贮存设施全部档案，包括设计、施工、验收、运行、监测和环境应急等，应按国家有关档案管理的法律法规进行整理和归档</w:t>
            </w:r>
            <w:r>
              <w:rPr>
                <w:rFonts w:hint="eastAsia"/>
                <w:bCs/>
                <w:color w:val="auto"/>
                <w:szCs w:val="21"/>
              </w:rPr>
              <w:t>。</w:t>
            </w:r>
          </w:p>
          <w:p w14:paraId="2C964B1E">
            <w:pPr>
              <w:widowControl/>
              <w:snapToGrid w:val="0"/>
              <w:spacing w:line="360" w:lineRule="auto"/>
              <w:ind w:firstLine="420" w:firstLineChars="200"/>
              <w:rPr>
                <w:rFonts w:hint="eastAsia"/>
                <w:bCs/>
                <w:color w:val="auto"/>
                <w:szCs w:val="21"/>
              </w:rPr>
            </w:pPr>
            <w:r>
              <w:rPr>
                <w:rFonts w:hint="eastAsia"/>
                <w:bCs/>
                <w:color w:val="auto"/>
                <w:szCs w:val="21"/>
              </w:rPr>
              <w:t>⑦企业在转移危险废物前，首先在全国固体废物管理信息系统进行网上填报联单信息，危险废物产生单位应当如实填写联单中产生单位栏目，并加盖公章，经交付危险废物运输单位核实验收签字后，将联单第一联副联自留存档，将联单第二联交移出地环境保护行政主管部门，联单第一联正联及其余各联交付运输单位随危险废物转移运行。险废物运输单位应当如实填写联单的运输单位栏目，按照国家有关危险物品运输的规定，将危险废物安全运抵联单载明的接受地点，并将联单第一联、第二联副联、第三联、第四联、第五联随转移的危险废物交付危险废物接受单位。</w:t>
            </w:r>
          </w:p>
          <w:p w14:paraId="1E7AD513">
            <w:pPr>
              <w:widowControl/>
              <w:snapToGrid w:val="0"/>
              <w:spacing w:line="360" w:lineRule="auto"/>
              <w:ind w:firstLine="420" w:firstLineChars="200"/>
              <w:rPr>
                <w:rFonts w:hint="default" w:eastAsia="宋体"/>
                <w:bCs/>
                <w:color w:val="auto"/>
                <w:szCs w:val="21"/>
                <w:lang w:val="en-US" w:eastAsia="zh-CN"/>
              </w:rPr>
            </w:pPr>
            <w:r>
              <w:rPr>
                <w:rFonts w:hint="eastAsia"/>
                <w:bCs/>
                <w:color w:val="auto"/>
                <w:szCs w:val="21"/>
                <w:lang w:val="en-US" w:eastAsia="zh-CN"/>
              </w:rPr>
              <w:t>危险废物标志、警示牌等如下所示：</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0"/>
              <w:gridCol w:w="4023"/>
            </w:tblGrid>
            <w:tr w14:paraId="2FFA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5333D189">
                  <w:pPr>
                    <w:widowControl/>
                    <w:snapToGrid w:val="0"/>
                    <w:spacing w:line="360" w:lineRule="auto"/>
                    <w:jc w:val="center"/>
                    <w:rPr>
                      <w:rFonts w:hint="eastAsia"/>
                      <w:bCs/>
                      <w:color w:val="auto"/>
                      <w:szCs w:val="21"/>
                      <w:vertAlign w:val="baseline"/>
                    </w:rPr>
                  </w:pPr>
                  <w:r>
                    <w:rPr>
                      <w:color w:val="auto"/>
                    </w:rPr>
                    <w:drawing>
                      <wp:inline distT="0" distB="0" distL="114300" distR="114300">
                        <wp:extent cx="1458595" cy="1148080"/>
                        <wp:effectExtent l="0" t="0" r="8255" b="13970"/>
                        <wp:docPr id="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
                                <pic:cNvPicPr>
                                  <a:picLocks noChangeAspect="1"/>
                                </pic:cNvPicPr>
                              </pic:nvPicPr>
                              <pic:blipFill>
                                <a:blip r:embed="rId27"/>
                                <a:stretch>
                                  <a:fillRect/>
                                </a:stretch>
                              </pic:blipFill>
                              <pic:spPr>
                                <a:xfrm>
                                  <a:off x="0" y="0"/>
                                  <a:ext cx="1458595" cy="1148080"/>
                                </a:xfrm>
                                <a:prstGeom prst="rect">
                                  <a:avLst/>
                                </a:prstGeom>
                                <a:noFill/>
                                <a:ln>
                                  <a:noFill/>
                                </a:ln>
                              </pic:spPr>
                            </pic:pic>
                          </a:graphicData>
                        </a:graphic>
                      </wp:inline>
                    </w:drawing>
                  </w:r>
                </w:p>
              </w:tc>
              <w:tc>
                <w:tcPr>
                  <w:tcW w:w="4023" w:type="dxa"/>
                  <w:vAlign w:val="center"/>
                </w:tcPr>
                <w:p w14:paraId="69B169BD">
                  <w:pPr>
                    <w:widowControl/>
                    <w:snapToGrid w:val="0"/>
                    <w:spacing w:line="360" w:lineRule="auto"/>
                    <w:jc w:val="center"/>
                    <w:rPr>
                      <w:rFonts w:hint="eastAsia"/>
                      <w:bCs/>
                      <w:color w:val="auto"/>
                      <w:szCs w:val="21"/>
                      <w:vertAlign w:val="baseline"/>
                    </w:rPr>
                  </w:pPr>
                  <w:r>
                    <w:rPr>
                      <w:color w:val="auto"/>
                    </w:rPr>
                    <w:drawing>
                      <wp:inline distT="0" distB="0" distL="114300" distR="114300">
                        <wp:extent cx="1262380" cy="1265555"/>
                        <wp:effectExtent l="0" t="0" r="13970" b="10795"/>
                        <wp:docPr id="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
                                <pic:cNvPicPr>
                                  <a:picLocks noChangeAspect="1"/>
                                </pic:cNvPicPr>
                              </pic:nvPicPr>
                              <pic:blipFill>
                                <a:blip r:embed="rId28"/>
                                <a:stretch>
                                  <a:fillRect/>
                                </a:stretch>
                              </pic:blipFill>
                              <pic:spPr>
                                <a:xfrm>
                                  <a:off x="0" y="0"/>
                                  <a:ext cx="1262380" cy="1265555"/>
                                </a:xfrm>
                                <a:prstGeom prst="rect">
                                  <a:avLst/>
                                </a:prstGeom>
                                <a:noFill/>
                                <a:ln>
                                  <a:noFill/>
                                </a:ln>
                              </pic:spPr>
                            </pic:pic>
                          </a:graphicData>
                        </a:graphic>
                      </wp:inline>
                    </w:drawing>
                  </w:r>
                </w:p>
              </w:tc>
            </w:tr>
            <w:tr w14:paraId="7E34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58E1F418">
                  <w:pPr>
                    <w:widowControl/>
                    <w:snapToGrid w:val="0"/>
                    <w:spacing w:line="360" w:lineRule="auto"/>
                    <w:jc w:val="center"/>
                    <w:rPr>
                      <w:rFonts w:hint="default" w:eastAsia="宋体"/>
                      <w:bCs/>
                      <w:color w:val="auto"/>
                      <w:szCs w:val="21"/>
                      <w:vertAlign w:val="baseline"/>
                      <w:lang w:val="en-US" w:eastAsia="zh-CN"/>
                    </w:rPr>
                  </w:pPr>
                  <w:r>
                    <w:rPr>
                      <w:rFonts w:hint="eastAsia"/>
                      <w:b/>
                      <w:bCs w:val="0"/>
                      <w:color w:val="auto"/>
                      <w:sz w:val="18"/>
                      <w:szCs w:val="18"/>
                      <w:vertAlign w:val="baseline"/>
                      <w:lang w:val="en-US" w:eastAsia="zh-CN"/>
                    </w:rPr>
                    <w:t>危险废物标签设置示意图</w:t>
                  </w:r>
                </w:p>
              </w:tc>
              <w:tc>
                <w:tcPr>
                  <w:tcW w:w="4023" w:type="dxa"/>
                  <w:vAlign w:val="center"/>
                </w:tcPr>
                <w:p w14:paraId="0286C12E">
                  <w:pPr>
                    <w:widowControl/>
                    <w:snapToGrid w:val="0"/>
                    <w:spacing w:line="360" w:lineRule="auto"/>
                    <w:jc w:val="center"/>
                    <w:rPr>
                      <w:rFonts w:hint="default" w:eastAsia="宋体"/>
                      <w:bCs/>
                      <w:color w:val="auto"/>
                      <w:szCs w:val="21"/>
                      <w:vertAlign w:val="baseline"/>
                      <w:lang w:val="en-US" w:eastAsia="zh-CN"/>
                    </w:rPr>
                  </w:pPr>
                  <w:r>
                    <w:rPr>
                      <w:rFonts w:hint="eastAsia"/>
                      <w:b/>
                      <w:bCs w:val="0"/>
                      <w:color w:val="auto"/>
                      <w:sz w:val="18"/>
                      <w:szCs w:val="18"/>
                      <w:vertAlign w:val="baseline"/>
                      <w:lang w:val="en-US" w:eastAsia="zh-CN"/>
                    </w:rPr>
                    <w:t>危险废物标签样式示意图</w:t>
                  </w:r>
                </w:p>
              </w:tc>
            </w:tr>
            <w:tr w14:paraId="2656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6C74B3ED">
                  <w:pPr>
                    <w:widowControl/>
                    <w:snapToGrid w:val="0"/>
                    <w:spacing w:line="360" w:lineRule="auto"/>
                    <w:jc w:val="center"/>
                    <w:rPr>
                      <w:rFonts w:hint="eastAsia"/>
                      <w:b/>
                      <w:bCs w:val="0"/>
                      <w:color w:val="auto"/>
                      <w:sz w:val="18"/>
                      <w:szCs w:val="18"/>
                      <w:vertAlign w:val="baseline"/>
                      <w:lang w:val="en-US" w:eastAsia="zh-CN"/>
                    </w:rPr>
                  </w:pPr>
                  <w:r>
                    <w:rPr>
                      <w:color w:val="auto"/>
                    </w:rPr>
                    <w:drawing>
                      <wp:inline distT="0" distB="0" distL="114300" distR="114300">
                        <wp:extent cx="1672590" cy="1407795"/>
                        <wp:effectExtent l="0" t="0" r="3810" b="1905"/>
                        <wp:docPr id="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
                                <pic:cNvPicPr>
                                  <a:picLocks noChangeAspect="1"/>
                                </pic:cNvPicPr>
                              </pic:nvPicPr>
                              <pic:blipFill>
                                <a:blip r:embed="rId29"/>
                                <a:stretch>
                                  <a:fillRect/>
                                </a:stretch>
                              </pic:blipFill>
                              <pic:spPr>
                                <a:xfrm>
                                  <a:off x="0" y="0"/>
                                  <a:ext cx="1672590" cy="1407795"/>
                                </a:xfrm>
                                <a:prstGeom prst="rect">
                                  <a:avLst/>
                                </a:prstGeom>
                                <a:noFill/>
                                <a:ln>
                                  <a:noFill/>
                                </a:ln>
                              </pic:spPr>
                            </pic:pic>
                          </a:graphicData>
                        </a:graphic>
                      </wp:inline>
                    </w:drawing>
                  </w:r>
                </w:p>
              </w:tc>
              <w:tc>
                <w:tcPr>
                  <w:tcW w:w="4023" w:type="dxa"/>
                  <w:vAlign w:val="center"/>
                </w:tcPr>
                <w:p w14:paraId="2E82BE89">
                  <w:pPr>
                    <w:widowControl/>
                    <w:snapToGrid w:val="0"/>
                    <w:spacing w:line="360" w:lineRule="auto"/>
                    <w:jc w:val="center"/>
                    <w:rPr>
                      <w:rFonts w:hint="eastAsia"/>
                      <w:b/>
                      <w:bCs w:val="0"/>
                      <w:color w:val="auto"/>
                      <w:sz w:val="18"/>
                      <w:szCs w:val="18"/>
                      <w:vertAlign w:val="baseline"/>
                      <w:lang w:val="en-US" w:eastAsia="zh-CN"/>
                    </w:rPr>
                  </w:pPr>
                  <w:r>
                    <w:rPr>
                      <w:color w:val="auto"/>
                    </w:rPr>
                    <w:drawing>
                      <wp:inline distT="0" distB="0" distL="114300" distR="114300">
                        <wp:extent cx="2245360" cy="1408430"/>
                        <wp:effectExtent l="0" t="0" r="2540" b="1270"/>
                        <wp:docPr id="7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pic:cNvPicPr>
                                  <a:picLocks noChangeAspect="1"/>
                                </pic:cNvPicPr>
                              </pic:nvPicPr>
                              <pic:blipFill>
                                <a:blip r:embed="rId30"/>
                                <a:stretch>
                                  <a:fillRect/>
                                </a:stretch>
                              </pic:blipFill>
                              <pic:spPr>
                                <a:xfrm>
                                  <a:off x="0" y="0"/>
                                  <a:ext cx="2245360" cy="1408430"/>
                                </a:xfrm>
                                <a:prstGeom prst="rect">
                                  <a:avLst/>
                                </a:prstGeom>
                                <a:noFill/>
                                <a:ln>
                                  <a:noFill/>
                                </a:ln>
                              </pic:spPr>
                            </pic:pic>
                          </a:graphicData>
                        </a:graphic>
                      </wp:inline>
                    </w:drawing>
                  </w:r>
                </w:p>
              </w:tc>
            </w:tr>
            <w:tr w14:paraId="5CB5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0C4A3BD1">
                  <w:pPr>
                    <w:widowControl/>
                    <w:snapToGrid w:val="0"/>
                    <w:spacing w:line="360" w:lineRule="auto"/>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危险废物贮存分区标志样式示意图</w:t>
                  </w:r>
                </w:p>
              </w:tc>
              <w:tc>
                <w:tcPr>
                  <w:tcW w:w="4023" w:type="dxa"/>
                  <w:vAlign w:val="center"/>
                </w:tcPr>
                <w:p w14:paraId="3EDB397B">
                  <w:pPr>
                    <w:widowControl/>
                    <w:snapToGrid w:val="0"/>
                    <w:spacing w:line="360" w:lineRule="auto"/>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危险废物贮存设施标志（横版）</w:t>
                  </w:r>
                </w:p>
              </w:tc>
            </w:tr>
            <w:tr w14:paraId="318D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511D6EE8">
                  <w:pPr>
                    <w:widowControl/>
                    <w:snapToGrid w:val="0"/>
                    <w:spacing w:line="360" w:lineRule="auto"/>
                    <w:jc w:val="center"/>
                    <w:rPr>
                      <w:rFonts w:hint="eastAsia"/>
                      <w:b/>
                      <w:bCs w:val="0"/>
                      <w:color w:val="auto"/>
                      <w:sz w:val="18"/>
                      <w:szCs w:val="18"/>
                      <w:vertAlign w:val="baseline"/>
                      <w:lang w:val="en-US" w:eastAsia="zh-CN"/>
                    </w:rPr>
                  </w:pPr>
                  <w:r>
                    <w:rPr>
                      <w:color w:val="auto"/>
                    </w:rPr>
                    <w:drawing>
                      <wp:inline distT="0" distB="0" distL="114300" distR="114300">
                        <wp:extent cx="873760" cy="1390650"/>
                        <wp:effectExtent l="0" t="0" r="2540" b="0"/>
                        <wp:docPr id="7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pic:cNvPicPr>
                                  <a:picLocks noChangeAspect="1"/>
                                </pic:cNvPicPr>
                              </pic:nvPicPr>
                              <pic:blipFill>
                                <a:blip r:embed="rId31"/>
                                <a:stretch>
                                  <a:fillRect/>
                                </a:stretch>
                              </pic:blipFill>
                              <pic:spPr>
                                <a:xfrm>
                                  <a:off x="0" y="0"/>
                                  <a:ext cx="873760" cy="1390650"/>
                                </a:xfrm>
                                <a:prstGeom prst="rect">
                                  <a:avLst/>
                                </a:prstGeom>
                                <a:noFill/>
                                <a:ln>
                                  <a:noFill/>
                                </a:ln>
                              </pic:spPr>
                            </pic:pic>
                          </a:graphicData>
                        </a:graphic>
                      </wp:inline>
                    </w:drawing>
                  </w:r>
                </w:p>
              </w:tc>
              <w:tc>
                <w:tcPr>
                  <w:tcW w:w="4023" w:type="dxa"/>
                  <w:vAlign w:val="center"/>
                </w:tcPr>
                <w:p w14:paraId="177AF730">
                  <w:pPr>
                    <w:widowControl/>
                    <w:snapToGrid w:val="0"/>
                    <w:spacing w:line="360" w:lineRule="auto"/>
                    <w:jc w:val="center"/>
                    <w:rPr>
                      <w:rFonts w:hint="eastAsia"/>
                      <w:b/>
                      <w:bCs w:val="0"/>
                      <w:color w:val="auto"/>
                      <w:sz w:val="18"/>
                      <w:szCs w:val="18"/>
                      <w:vertAlign w:val="baseline"/>
                      <w:lang w:val="en-US" w:eastAsia="zh-CN"/>
                    </w:rPr>
                  </w:pPr>
                  <w:r>
                    <w:rPr>
                      <w:color w:val="auto"/>
                    </w:rPr>
                    <w:drawing>
                      <wp:inline distT="0" distB="0" distL="114300" distR="114300">
                        <wp:extent cx="1514475" cy="1181100"/>
                        <wp:effectExtent l="0" t="0" r="9525" b="0"/>
                        <wp:docPr id="8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1"/>
                                <pic:cNvPicPr>
                                  <a:picLocks noChangeAspect="1"/>
                                </pic:cNvPicPr>
                              </pic:nvPicPr>
                              <pic:blipFill>
                                <a:blip r:embed="rId32"/>
                                <a:stretch>
                                  <a:fillRect/>
                                </a:stretch>
                              </pic:blipFill>
                              <pic:spPr>
                                <a:xfrm>
                                  <a:off x="0" y="0"/>
                                  <a:ext cx="1514475" cy="1181100"/>
                                </a:xfrm>
                                <a:prstGeom prst="rect">
                                  <a:avLst/>
                                </a:prstGeom>
                                <a:noFill/>
                                <a:ln>
                                  <a:noFill/>
                                </a:ln>
                              </pic:spPr>
                            </pic:pic>
                          </a:graphicData>
                        </a:graphic>
                      </wp:inline>
                    </w:drawing>
                  </w:r>
                </w:p>
              </w:tc>
            </w:tr>
            <w:tr w14:paraId="57DB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0" w:type="dxa"/>
                  <w:vAlign w:val="center"/>
                </w:tcPr>
                <w:p w14:paraId="0E14DE6D">
                  <w:pPr>
                    <w:widowControl/>
                    <w:snapToGrid w:val="0"/>
                    <w:spacing w:line="360" w:lineRule="auto"/>
                    <w:jc w:val="center"/>
                    <w:rPr>
                      <w:rFonts w:hint="eastAsia"/>
                      <w:b/>
                      <w:bCs w:val="0"/>
                      <w:color w:val="auto"/>
                      <w:sz w:val="18"/>
                      <w:szCs w:val="18"/>
                      <w:vertAlign w:val="baseline"/>
                      <w:lang w:val="en-US" w:eastAsia="zh-CN"/>
                    </w:rPr>
                  </w:pPr>
                  <w:r>
                    <w:rPr>
                      <w:rFonts w:hint="eastAsia"/>
                      <w:b/>
                      <w:bCs w:val="0"/>
                      <w:color w:val="auto"/>
                      <w:sz w:val="18"/>
                      <w:szCs w:val="18"/>
                      <w:vertAlign w:val="baseline"/>
                      <w:lang w:val="en-US" w:eastAsia="zh-CN"/>
                    </w:rPr>
                    <w:t>危险废物贮存设施标志（竖版）</w:t>
                  </w:r>
                </w:p>
              </w:tc>
              <w:tc>
                <w:tcPr>
                  <w:tcW w:w="4023" w:type="dxa"/>
                  <w:vAlign w:val="center"/>
                </w:tcPr>
                <w:p w14:paraId="5371646F">
                  <w:pPr>
                    <w:widowControl/>
                    <w:snapToGrid w:val="0"/>
                    <w:spacing w:line="360" w:lineRule="auto"/>
                    <w:jc w:val="center"/>
                    <w:rPr>
                      <w:rFonts w:hint="default"/>
                      <w:b/>
                      <w:bCs w:val="0"/>
                      <w:color w:val="auto"/>
                      <w:sz w:val="18"/>
                      <w:szCs w:val="18"/>
                      <w:vertAlign w:val="baseline"/>
                      <w:lang w:val="en-US" w:eastAsia="zh-CN"/>
                    </w:rPr>
                  </w:pPr>
                  <w:r>
                    <w:rPr>
                      <w:rFonts w:hint="eastAsia"/>
                      <w:b/>
                      <w:bCs w:val="0"/>
                      <w:color w:val="auto"/>
                      <w:sz w:val="18"/>
                      <w:szCs w:val="18"/>
                      <w:vertAlign w:val="baseline"/>
                      <w:lang w:val="en-US" w:eastAsia="zh-CN"/>
                    </w:rPr>
                    <w:t>危险特性警示图形（易燃）</w:t>
                  </w:r>
                </w:p>
              </w:tc>
            </w:tr>
          </w:tbl>
          <w:p w14:paraId="7D40CE95">
            <w:pPr>
              <w:autoSpaceDE w:val="0"/>
              <w:autoSpaceDN w:val="0"/>
              <w:adjustRightInd w:val="0"/>
              <w:spacing w:line="360" w:lineRule="auto"/>
              <w:ind w:firstLine="361" w:firstLineChars="200"/>
              <w:jc w:val="center"/>
              <w:rPr>
                <w:rFonts w:hint="default" w:eastAsia="宋体"/>
                <w:bCs/>
                <w:color w:val="auto"/>
                <w:szCs w:val="21"/>
                <w:lang w:val="en-US" w:eastAsia="zh-CN"/>
              </w:rPr>
            </w:pPr>
            <w:r>
              <w:rPr>
                <w:rFonts w:hint="eastAsia"/>
                <w:b/>
                <w:bCs w:val="0"/>
                <w:color w:val="auto"/>
                <w:sz w:val="18"/>
                <w:szCs w:val="18"/>
                <w:lang w:val="en-US" w:eastAsia="zh-CN"/>
              </w:rPr>
              <w:t>图4-2    危险废物贮存设施标志标识示意图</w:t>
            </w:r>
          </w:p>
          <w:p w14:paraId="5A2905D0">
            <w:pPr>
              <w:autoSpaceDE w:val="0"/>
              <w:autoSpaceDN w:val="0"/>
              <w:adjustRightInd w:val="0"/>
              <w:spacing w:line="360" w:lineRule="auto"/>
              <w:ind w:firstLine="420" w:firstLineChars="200"/>
              <w:jc w:val="left"/>
              <w:rPr>
                <w:bCs/>
                <w:color w:val="auto"/>
                <w:szCs w:val="21"/>
              </w:rPr>
            </w:pPr>
            <w:r>
              <w:rPr>
                <w:bCs/>
                <w:color w:val="auto"/>
                <w:szCs w:val="21"/>
              </w:rPr>
              <w:t>同时，危险废物应按照国家有关规定向当地环境保护行政主管部门申报登记，接受当地环境保护行政主管部门监督管理。</w:t>
            </w:r>
          </w:p>
          <w:p w14:paraId="2AC3E595">
            <w:pPr>
              <w:pStyle w:val="79"/>
              <w:snapToGrid/>
              <w:ind w:firstLine="422"/>
              <w:rPr>
                <w:b w:val="0"/>
                <w:bCs w:val="0"/>
                <w:color w:val="auto"/>
                <w:szCs w:val="21"/>
              </w:rPr>
            </w:pPr>
            <w:r>
              <w:rPr>
                <w:b w:val="0"/>
                <w:bCs w:val="0"/>
                <w:color w:val="auto"/>
                <w:szCs w:val="21"/>
              </w:rPr>
              <w:t>综上所述，在严格按照环境评价提出的要求下，固体废弃物处置方式合理可行，不会产生对区域环境的明显影响。</w:t>
            </w:r>
          </w:p>
          <w:p w14:paraId="7864D45F">
            <w:pPr>
              <w:pStyle w:val="79"/>
              <w:snapToGrid/>
              <w:ind w:firstLine="422"/>
              <w:rPr>
                <w:b/>
                <w:color w:val="auto"/>
                <w:szCs w:val="21"/>
              </w:rPr>
            </w:pPr>
            <w:r>
              <w:rPr>
                <w:rFonts w:hint="eastAsia" w:ascii="Times New Roman" w:hAnsi="Times New Roman"/>
                <w:b/>
                <w:bCs/>
                <w:color w:val="auto"/>
                <w:szCs w:val="21"/>
                <w:lang w:val="en-US" w:eastAsia="zh-CN"/>
              </w:rPr>
              <w:t>4.</w:t>
            </w:r>
            <w:r>
              <w:rPr>
                <w:rFonts w:hint="default" w:ascii="Times New Roman" w:hAnsi="Times New Roman"/>
                <w:b/>
                <w:bCs/>
                <w:color w:val="auto"/>
                <w:szCs w:val="21"/>
                <w:lang w:val="en-US" w:eastAsia="zh-CN"/>
              </w:rPr>
              <w:t>5</w:t>
            </w:r>
            <w:r>
              <w:rPr>
                <w:b/>
                <w:color w:val="auto"/>
                <w:szCs w:val="21"/>
              </w:rPr>
              <w:t>地下水和土壤</w:t>
            </w:r>
          </w:p>
          <w:p w14:paraId="2B9B9496">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b w:val="0"/>
                <w:bCs w:val="0"/>
                <w:color w:val="auto"/>
                <w:szCs w:val="21"/>
                <w:lang w:val="en-US" w:eastAsia="zh-CN"/>
              </w:rPr>
            </w:pPr>
            <w:r>
              <w:rPr>
                <w:rFonts w:hint="eastAsia" w:ascii="Times New Roman" w:hAnsi="Times New Roman"/>
                <w:b w:val="0"/>
                <w:bCs w:val="0"/>
                <w:color w:val="auto"/>
                <w:szCs w:val="21"/>
                <w:lang w:val="en-US" w:eastAsia="zh-CN"/>
              </w:rPr>
              <w:t>（1）地下水、土壤污染途径</w:t>
            </w:r>
          </w:p>
          <w:p w14:paraId="6B1F36D7">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b w:val="0"/>
                <w:bCs w:val="0"/>
                <w:color w:val="auto"/>
                <w:szCs w:val="21"/>
                <w:lang w:val="en-US" w:eastAsia="zh-CN"/>
              </w:rPr>
            </w:pPr>
            <w:r>
              <w:rPr>
                <w:rFonts w:hint="eastAsia" w:ascii="Times New Roman" w:hAnsi="Times New Roman"/>
                <w:b w:val="0"/>
                <w:bCs w:val="0"/>
                <w:color w:val="auto"/>
                <w:szCs w:val="21"/>
                <w:lang w:val="en-US" w:eastAsia="zh-CN"/>
              </w:rPr>
              <w:t>本项目涉水/液设施包括化粪池、沉淀池、危险废物贮存库等，污染途径为垂直入渗。</w:t>
            </w:r>
          </w:p>
          <w:p w14:paraId="4A415E56">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b w:val="0"/>
                <w:bCs w:val="0"/>
                <w:color w:val="auto"/>
                <w:szCs w:val="21"/>
                <w:lang w:val="en-US" w:eastAsia="zh-CN"/>
              </w:rPr>
            </w:pPr>
            <w:r>
              <w:rPr>
                <w:rFonts w:hint="eastAsia" w:ascii="Times New Roman" w:hAnsi="Times New Roman"/>
                <w:b w:val="0"/>
                <w:bCs w:val="0"/>
                <w:color w:val="auto"/>
                <w:szCs w:val="21"/>
                <w:lang w:val="en-US" w:eastAsia="zh-CN"/>
              </w:rPr>
              <w:t>（2）污染防治措施</w:t>
            </w:r>
          </w:p>
          <w:p w14:paraId="307C177C">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 xml:space="preserve">源头控制：源头控制措施主要包括在工艺、管道、设备、污水储存及处理构筑物采取相应措施，防止和降低污染物跑、冒、滴、漏，将污染物泄漏的环境风险事故降到最低程度。使用质量合格的管道、设备，并定期进行各类设备、管道的检修。 </w:t>
            </w:r>
          </w:p>
          <w:p w14:paraId="183087F8">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 xml:space="preserve">分区防控：根据厂区各生产、生活功能单元可能产生的污染，将厂区划分为重点防渗区、一般防渗区和简单防渗区。地下水分区防渗图见附图5。 </w:t>
            </w:r>
          </w:p>
          <w:p w14:paraId="728C68C6">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 xml:space="preserve">重点防渗区 ：重点防渗区是指对地下水环境有污染的物料或污染物泄漏后，不能及时发现和处理的区域或部位。主要包括危废贮存库。 </w:t>
            </w:r>
          </w:p>
          <w:p w14:paraId="761CA99C">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 xml:space="preserve">一般防渗区：一般防渗区是指对地下水环境有污染的物料或污染物泄漏后，可及时发现和处理的区域或部位。主要包括各类罐区、各类池体等。 </w:t>
            </w:r>
          </w:p>
          <w:p w14:paraId="75459C5D">
            <w:pPr>
              <w:pStyle w:val="79"/>
              <w:keepNext w:val="0"/>
              <w:keepLines w:val="0"/>
              <w:pageBreakBefore w:val="0"/>
              <w:widowControl w:val="0"/>
              <w:kinsoku/>
              <w:wordWrap/>
              <w:overflowPunct/>
              <w:topLinePunct w:val="0"/>
              <w:autoSpaceDE/>
              <w:autoSpaceDN/>
              <w:bidi w:val="0"/>
              <w:adjustRightInd/>
              <w:snapToGrid/>
              <w:spacing w:line="360" w:lineRule="auto"/>
              <w:ind w:firstLine="422"/>
              <w:textAlignment w:val="auto"/>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简单防渗区：简单防渗区是指一般和重点防渗区以外的区域或部位，一般为地面硬化。</w:t>
            </w:r>
          </w:p>
          <w:p w14:paraId="4AD9B834">
            <w:pPr>
              <w:keepNext w:val="0"/>
              <w:keepLines w:val="0"/>
              <w:pageBreakBefore w:val="0"/>
              <w:widowControl w:val="0"/>
              <w:kinsoku/>
              <w:wordWrap/>
              <w:overflowPunct/>
              <w:topLinePunct w:val="0"/>
              <w:autoSpaceDE/>
              <w:autoSpaceDN/>
              <w:bidi w:val="0"/>
              <w:adjustRightInd/>
              <w:snapToGrid/>
              <w:spacing w:line="240" w:lineRule="exact"/>
              <w:ind w:firstLine="361" w:firstLineChars="200"/>
              <w:jc w:val="center"/>
              <w:textAlignment w:val="auto"/>
              <w:rPr>
                <w:rFonts w:hint="default" w:eastAsia="宋体"/>
                <w:b/>
                <w:bCs/>
                <w:color w:val="auto"/>
                <w:sz w:val="18"/>
                <w:szCs w:val="18"/>
                <w:highlight w:val="none"/>
                <w:lang w:val="en-US" w:eastAsia="zh-CN"/>
              </w:rPr>
            </w:pPr>
            <w:r>
              <w:rPr>
                <w:b/>
                <w:bCs/>
                <w:color w:val="auto"/>
                <w:sz w:val="18"/>
                <w:szCs w:val="18"/>
                <w:highlight w:val="none"/>
              </w:rPr>
              <w:t>表</w:t>
            </w:r>
            <w:r>
              <w:rPr>
                <w:rFonts w:hint="eastAsia"/>
                <w:b/>
                <w:bCs/>
                <w:color w:val="auto"/>
                <w:sz w:val="18"/>
                <w:szCs w:val="18"/>
                <w:highlight w:val="none"/>
              </w:rPr>
              <w:t>4</w:t>
            </w:r>
            <w:r>
              <w:rPr>
                <w:rFonts w:hint="eastAsia"/>
                <w:b/>
                <w:bCs/>
                <w:color w:val="auto"/>
                <w:sz w:val="18"/>
                <w:szCs w:val="18"/>
                <w:highlight w:val="none"/>
                <w:lang w:val="en-US" w:eastAsia="zh-CN"/>
              </w:rPr>
              <w:t>.5</w:t>
            </w:r>
            <w:r>
              <w:rPr>
                <w:rFonts w:hint="eastAsia"/>
                <w:b/>
                <w:bCs/>
                <w:color w:val="auto"/>
                <w:sz w:val="18"/>
                <w:szCs w:val="18"/>
                <w:highlight w:val="none"/>
              </w:rPr>
              <w:t>-</w:t>
            </w:r>
            <w:r>
              <w:rPr>
                <w:rFonts w:hint="eastAsia"/>
                <w:b/>
                <w:bCs/>
                <w:color w:val="auto"/>
                <w:sz w:val="18"/>
                <w:szCs w:val="18"/>
                <w:highlight w:val="none"/>
                <w:lang w:val="en-US" w:eastAsia="zh-CN"/>
              </w:rPr>
              <w:t>1</w:t>
            </w:r>
            <w:r>
              <w:rPr>
                <w:rFonts w:hint="eastAsia"/>
                <w:b/>
                <w:bCs/>
                <w:color w:val="auto"/>
                <w:sz w:val="18"/>
                <w:szCs w:val="18"/>
                <w:highlight w:val="none"/>
              </w:rPr>
              <w:t xml:space="preserve">    </w:t>
            </w:r>
            <w:r>
              <w:rPr>
                <w:rFonts w:hint="eastAsia"/>
                <w:b/>
                <w:bCs/>
                <w:color w:val="auto"/>
                <w:sz w:val="18"/>
                <w:szCs w:val="18"/>
                <w:highlight w:val="none"/>
                <w:lang w:val="en-US" w:eastAsia="zh-CN"/>
              </w:rPr>
              <w:t>防渗分区及防渗要求表</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04"/>
              <w:gridCol w:w="2379"/>
              <w:gridCol w:w="1896"/>
              <w:gridCol w:w="3037"/>
            </w:tblGrid>
            <w:tr w14:paraId="11B1B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37" w:hRule="atLeast"/>
              </w:trPr>
              <w:tc>
                <w:tcPr>
                  <w:tcW w:w="382" w:type="pct"/>
                  <w:shd w:val="clear" w:color="auto" w:fill="auto"/>
                  <w:vAlign w:val="center"/>
                </w:tcPr>
                <w:p w14:paraId="7B58B72F">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防渗分区</w:t>
                  </w:r>
                </w:p>
              </w:tc>
              <w:tc>
                <w:tcPr>
                  <w:tcW w:w="1502" w:type="pct"/>
                  <w:shd w:val="clear" w:color="auto" w:fill="auto"/>
                  <w:vAlign w:val="center"/>
                </w:tcPr>
                <w:p w14:paraId="0D17F585">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防渗区域</w:t>
                  </w:r>
                </w:p>
              </w:tc>
              <w:tc>
                <w:tcPr>
                  <w:tcW w:w="1197" w:type="pct"/>
                  <w:tcBorders>
                    <w:right w:val="single" w:color="auto" w:sz="4" w:space="0"/>
                  </w:tcBorders>
                  <w:vAlign w:val="center"/>
                </w:tcPr>
                <w:p w14:paraId="5B0182D5">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防渗技术要求</w:t>
                  </w:r>
                </w:p>
              </w:tc>
              <w:tc>
                <w:tcPr>
                  <w:tcW w:w="1918" w:type="pct"/>
                  <w:tcBorders>
                    <w:left w:val="single" w:color="auto" w:sz="4" w:space="0"/>
                  </w:tcBorders>
                  <w:vAlign w:val="center"/>
                </w:tcPr>
                <w:p w14:paraId="02C2231B">
                  <w:pPr>
                    <w:spacing w:line="280" w:lineRule="exact"/>
                    <w:jc w:val="center"/>
                    <w:rPr>
                      <w:bCs/>
                      <w:color w:val="auto"/>
                      <w:sz w:val="18"/>
                      <w:szCs w:val="18"/>
                      <w:highlight w:val="none"/>
                    </w:rPr>
                  </w:pPr>
                  <w:r>
                    <w:rPr>
                      <w:rFonts w:hint="eastAsia"/>
                      <w:bCs/>
                      <w:color w:val="auto"/>
                      <w:sz w:val="18"/>
                      <w:szCs w:val="18"/>
                      <w:highlight w:val="none"/>
                      <w:lang w:val="en-US" w:eastAsia="zh-CN"/>
                    </w:rPr>
                    <w:t>防渗方案</w:t>
                  </w:r>
                </w:p>
              </w:tc>
            </w:tr>
            <w:tr w14:paraId="02BADB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5" w:hRule="atLeast"/>
              </w:trPr>
              <w:tc>
                <w:tcPr>
                  <w:tcW w:w="382" w:type="pct"/>
                  <w:vMerge w:val="restart"/>
                  <w:shd w:val="clear" w:color="auto" w:fill="auto"/>
                  <w:vAlign w:val="center"/>
                </w:tcPr>
                <w:p w14:paraId="5154DA35">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重点防渗区</w:t>
                  </w:r>
                </w:p>
              </w:tc>
              <w:tc>
                <w:tcPr>
                  <w:tcW w:w="1502" w:type="pct"/>
                  <w:shd w:val="clear" w:color="auto" w:fill="auto"/>
                  <w:vAlign w:val="center"/>
                </w:tcPr>
                <w:p w14:paraId="31A9C7AE">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危险废物贮存库（20m</w:t>
                  </w:r>
                  <w:r>
                    <w:rPr>
                      <w:rFonts w:hint="eastAsia"/>
                      <w:bCs/>
                      <w:color w:val="auto"/>
                      <w:sz w:val="18"/>
                      <w:szCs w:val="18"/>
                      <w:highlight w:val="none"/>
                      <w:vertAlign w:val="superscript"/>
                      <w:lang w:val="en-US" w:eastAsia="zh-CN"/>
                    </w:rPr>
                    <w:t>2</w:t>
                  </w:r>
                  <w:r>
                    <w:rPr>
                      <w:rFonts w:hint="eastAsia"/>
                      <w:bCs/>
                      <w:color w:val="auto"/>
                      <w:sz w:val="18"/>
                      <w:szCs w:val="18"/>
                      <w:highlight w:val="none"/>
                      <w:lang w:val="en-US" w:eastAsia="zh-CN"/>
                    </w:rPr>
                    <w:t>）</w:t>
                  </w:r>
                </w:p>
              </w:tc>
              <w:tc>
                <w:tcPr>
                  <w:tcW w:w="1197" w:type="pct"/>
                  <w:vMerge w:val="restart"/>
                  <w:tcBorders>
                    <w:right w:val="single" w:color="auto" w:sz="4" w:space="0"/>
                  </w:tcBorders>
                  <w:vAlign w:val="center"/>
                </w:tcPr>
                <w:p w14:paraId="402C7919">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按照《危险废物贮存污染控制标准》（GB18597-2023）执行</w:t>
                  </w:r>
                </w:p>
              </w:tc>
              <w:tc>
                <w:tcPr>
                  <w:tcW w:w="1918" w:type="pct"/>
                  <w:vMerge w:val="restart"/>
                  <w:tcBorders>
                    <w:left w:val="single" w:color="auto" w:sz="4" w:space="0"/>
                  </w:tcBorders>
                  <w:vAlign w:val="center"/>
                </w:tcPr>
                <w:p w14:paraId="63983D0E">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危废贮存库设置防腐、防淋、防渗等措施要求，等效黏土防渗层Mb≥6.0m，K≤1×10</w:t>
                  </w:r>
                  <w:r>
                    <w:rPr>
                      <w:rFonts w:hint="eastAsia"/>
                      <w:bCs/>
                      <w:color w:val="auto"/>
                      <w:sz w:val="18"/>
                      <w:szCs w:val="18"/>
                      <w:highlight w:val="none"/>
                      <w:vertAlign w:val="superscript"/>
                      <w:lang w:val="en-US" w:eastAsia="zh-CN"/>
                    </w:rPr>
                    <w:t>-7</w:t>
                  </w:r>
                  <w:r>
                    <w:rPr>
                      <w:rFonts w:hint="eastAsia"/>
                      <w:bCs/>
                      <w:color w:val="auto"/>
                      <w:sz w:val="18"/>
                      <w:szCs w:val="18"/>
                      <w:highlight w:val="none"/>
                      <w:lang w:val="en-US" w:eastAsia="zh-CN"/>
                    </w:rPr>
                    <w:t>cm/s，重点防渗</w:t>
                  </w:r>
                </w:p>
              </w:tc>
            </w:tr>
            <w:tr w14:paraId="21252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 w:hRule="atLeast"/>
              </w:trPr>
              <w:tc>
                <w:tcPr>
                  <w:tcW w:w="382" w:type="pct"/>
                  <w:vMerge w:val="restart"/>
                  <w:shd w:val="clear" w:color="auto" w:fill="auto"/>
                  <w:vAlign w:val="center"/>
                </w:tcPr>
                <w:p w14:paraId="6598B7F3">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一般防渗区</w:t>
                  </w:r>
                </w:p>
              </w:tc>
              <w:tc>
                <w:tcPr>
                  <w:tcW w:w="1502" w:type="pct"/>
                  <w:shd w:val="clear" w:color="auto" w:fill="auto"/>
                  <w:vAlign w:val="center"/>
                </w:tcPr>
                <w:p w14:paraId="184F5434">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cs="Times New Roman"/>
                      <w:bCs/>
                      <w:color w:val="auto"/>
                      <w:kern w:val="2"/>
                      <w:sz w:val="18"/>
                      <w:szCs w:val="18"/>
                      <w:highlight w:val="none"/>
                      <w:lang w:val="en-US" w:eastAsia="zh-CN" w:bidi="ar-SA"/>
                    </w:rPr>
                    <w:t>1座</w:t>
                  </w:r>
                  <w:r>
                    <w:rPr>
                      <w:rFonts w:hint="eastAsia"/>
                      <w:bCs/>
                      <w:color w:val="auto"/>
                      <w:sz w:val="18"/>
                      <w:szCs w:val="18"/>
                      <w:highlight w:val="none"/>
                      <w:lang w:val="en-US" w:eastAsia="zh-CN"/>
                    </w:rPr>
                    <w:t>沉淀池（30m</w:t>
                  </w:r>
                  <w:r>
                    <w:rPr>
                      <w:rFonts w:hint="eastAsia"/>
                      <w:bCs/>
                      <w:color w:val="auto"/>
                      <w:sz w:val="18"/>
                      <w:szCs w:val="18"/>
                      <w:highlight w:val="none"/>
                      <w:vertAlign w:val="superscript"/>
                      <w:lang w:val="en-US" w:eastAsia="zh-CN"/>
                    </w:rPr>
                    <w:t>3</w:t>
                  </w:r>
                  <w:r>
                    <w:rPr>
                      <w:rFonts w:hint="eastAsia"/>
                      <w:bCs/>
                      <w:color w:val="auto"/>
                      <w:sz w:val="18"/>
                      <w:szCs w:val="18"/>
                      <w:highlight w:val="none"/>
                      <w:lang w:val="en-US" w:eastAsia="zh-CN"/>
                    </w:rPr>
                    <w:t>）</w:t>
                  </w:r>
                </w:p>
              </w:tc>
              <w:tc>
                <w:tcPr>
                  <w:tcW w:w="1197" w:type="pct"/>
                  <w:vMerge w:val="restart"/>
                  <w:tcBorders>
                    <w:right w:val="single" w:color="auto" w:sz="4" w:space="0"/>
                  </w:tcBorders>
                  <w:vAlign w:val="center"/>
                </w:tcPr>
                <w:p w14:paraId="2BF8C0FE">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等效黏土防渗层Mb≥1.5m，K≤1×10</w:t>
                  </w:r>
                  <w:r>
                    <w:rPr>
                      <w:rFonts w:hint="eastAsia"/>
                      <w:bCs/>
                      <w:color w:val="auto"/>
                      <w:sz w:val="18"/>
                      <w:szCs w:val="18"/>
                      <w:highlight w:val="none"/>
                      <w:vertAlign w:val="superscript"/>
                      <w:lang w:val="en-US" w:eastAsia="zh-CN"/>
                    </w:rPr>
                    <w:t>-7</w:t>
                  </w:r>
                  <w:r>
                    <w:rPr>
                      <w:rFonts w:hint="eastAsia"/>
                      <w:bCs/>
                      <w:color w:val="auto"/>
                      <w:sz w:val="18"/>
                      <w:szCs w:val="18"/>
                      <w:highlight w:val="none"/>
                      <w:lang w:val="en-US" w:eastAsia="zh-CN"/>
                    </w:rPr>
                    <w:t>cm/s</w:t>
                  </w:r>
                </w:p>
              </w:tc>
              <w:tc>
                <w:tcPr>
                  <w:tcW w:w="1918" w:type="pct"/>
                  <w:vMerge w:val="restart"/>
                  <w:tcBorders>
                    <w:left w:val="single" w:color="auto" w:sz="4" w:space="0"/>
                  </w:tcBorders>
                  <w:vAlign w:val="center"/>
                </w:tcPr>
                <w:p w14:paraId="37E9C921">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水池及配套冷却输送管道等设施区域加强并满足一般防渗要求</w:t>
                  </w:r>
                </w:p>
              </w:tc>
            </w:tr>
            <w:tr w14:paraId="2A99D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 w:hRule="atLeast"/>
              </w:trPr>
              <w:tc>
                <w:tcPr>
                  <w:tcW w:w="382" w:type="pct"/>
                  <w:vMerge w:val="continue"/>
                  <w:shd w:val="clear" w:color="auto" w:fill="auto"/>
                  <w:vAlign w:val="center"/>
                </w:tcPr>
                <w:p w14:paraId="67028B3F">
                  <w:pPr>
                    <w:spacing w:line="280" w:lineRule="exact"/>
                    <w:jc w:val="center"/>
                    <w:rPr>
                      <w:rFonts w:hint="eastAsia"/>
                      <w:bCs/>
                      <w:color w:val="auto"/>
                      <w:sz w:val="18"/>
                      <w:szCs w:val="18"/>
                      <w:highlight w:val="none"/>
                      <w:lang w:val="en-US" w:eastAsia="zh-CN"/>
                    </w:rPr>
                  </w:pPr>
                </w:p>
              </w:tc>
              <w:tc>
                <w:tcPr>
                  <w:tcW w:w="1502" w:type="pct"/>
                  <w:shd w:val="clear" w:color="auto" w:fill="auto"/>
                  <w:vAlign w:val="center"/>
                </w:tcPr>
                <w:p w14:paraId="6E81AD97">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cs="Times New Roman"/>
                      <w:bCs/>
                      <w:color w:val="auto"/>
                      <w:kern w:val="2"/>
                      <w:sz w:val="18"/>
                      <w:szCs w:val="18"/>
                      <w:highlight w:val="none"/>
                      <w:lang w:val="en-US" w:eastAsia="zh-CN" w:bidi="ar-SA"/>
                    </w:rPr>
                    <w:t>1座化粪池（占地50m</w:t>
                  </w:r>
                  <w:r>
                    <w:rPr>
                      <w:rFonts w:hint="eastAsia" w:cs="Times New Roman"/>
                      <w:bCs/>
                      <w:color w:val="auto"/>
                      <w:kern w:val="2"/>
                      <w:sz w:val="18"/>
                      <w:szCs w:val="18"/>
                      <w:highlight w:val="none"/>
                      <w:vertAlign w:val="superscript"/>
                      <w:lang w:val="en-US" w:eastAsia="zh-CN" w:bidi="ar-SA"/>
                    </w:rPr>
                    <w:t>2</w:t>
                  </w:r>
                  <w:r>
                    <w:rPr>
                      <w:rFonts w:hint="eastAsia" w:cs="Times New Roman"/>
                      <w:bCs/>
                      <w:color w:val="auto"/>
                      <w:kern w:val="2"/>
                      <w:sz w:val="18"/>
                      <w:szCs w:val="18"/>
                      <w:highlight w:val="none"/>
                      <w:lang w:val="en-US" w:eastAsia="zh-CN" w:bidi="ar-SA"/>
                    </w:rPr>
                    <w:t>）</w:t>
                  </w:r>
                </w:p>
              </w:tc>
              <w:tc>
                <w:tcPr>
                  <w:tcW w:w="1197" w:type="pct"/>
                  <w:vMerge w:val="continue"/>
                  <w:tcBorders>
                    <w:right w:val="single" w:color="auto" w:sz="4" w:space="0"/>
                  </w:tcBorders>
                  <w:vAlign w:val="center"/>
                </w:tcPr>
                <w:p w14:paraId="397C78CA">
                  <w:pPr>
                    <w:spacing w:line="280" w:lineRule="exact"/>
                    <w:jc w:val="center"/>
                    <w:rPr>
                      <w:rFonts w:hint="eastAsia"/>
                      <w:bCs/>
                      <w:color w:val="auto"/>
                      <w:sz w:val="18"/>
                      <w:szCs w:val="18"/>
                      <w:highlight w:val="none"/>
                      <w:lang w:val="en-US" w:eastAsia="zh-CN"/>
                    </w:rPr>
                  </w:pPr>
                </w:p>
              </w:tc>
              <w:tc>
                <w:tcPr>
                  <w:tcW w:w="1918" w:type="pct"/>
                  <w:vMerge w:val="continue"/>
                  <w:tcBorders>
                    <w:left w:val="single" w:color="auto" w:sz="4" w:space="0"/>
                  </w:tcBorders>
                  <w:vAlign w:val="center"/>
                </w:tcPr>
                <w:p w14:paraId="05884ABA">
                  <w:pPr>
                    <w:spacing w:line="280" w:lineRule="exact"/>
                    <w:jc w:val="center"/>
                    <w:rPr>
                      <w:rFonts w:hint="eastAsia"/>
                      <w:bCs/>
                      <w:color w:val="auto"/>
                      <w:sz w:val="18"/>
                      <w:szCs w:val="18"/>
                      <w:highlight w:val="none"/>
                      <w:lang w:val="en-US" w:eastAsia="zh-CN"/>
                    </w:rPr>
                  </w:pPr>
                </w:p>
              </w:tc>
            </w:tr>
            <w:tr w14:paraId="790AE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 w:hRule="atLeast"/>
              </w:trPr>
              <w:tc>
                <w:tcPr>
                  <w:tcW w:w="382" w:type="pct"/>
                  <w:vMerge w:val="continue"/>
                  <w:shd w:val="clear" w:color="auto" w:fill="auto"/>
                  <w:vAlign w:val="center"/>
                </w:tcPr>
                <w:p w14:paraId="3877CD94">
                  <w:pPr>
                    <w:spacing w:line="280" w:lineRule="exact"/>
                    <w:jc w:val="center"/>
                    <w:rPr>
                      <w:rFonts w:hint="eastAsia"/>
                      <w:bCs/>
                      <w:color w:val="auto"/>
                      <w:sz w:val="18"/>
                      <w:szCs w:val="18"/>
                      <w:highlight w:val="none"/>
                      <w:lang w:val="en-US" w:eastAsia="zh-CN"/>
                    </w:rPr>
                  </w:pPr>
                </w:p>
              </w:tc>
              <w:tc>
                <w:tcPr>
                  <w:tcW w:w="1502" w:type="pct"/>
                  <w:shd w:val="clear" w:color="auto" w:fill="auto"/>
                  <w:vAlign w:val="center"/>
                </w:tcPr>
                <w:p w14:paraId="7C66563A">
                  <w:pPr>
                    <w:spacing w:line="280" w:lineRule="exact"/>
                    <w:jc w:val="center"/>
                    <w:rPr>
                      <w:rFonts w:hint="default" w:cs="Times New Roman"/>
                      <w:bCs/>
                      <w:color w:val="auto"/>
                      <w:kern w:val="2"/>
                      <w:sz w:val="18"/>
                      <w:szCs w:val="18"/>
                      <w:highlight w:val="none"/>
                      <w:lang w:val="en-US" w:eastAsia="zh-CN" w:bidi="ar-SA"/>
                    </w:rPr>
                  </w:pPr>
                  <w:r>
                    <w:rPr>
                      <w:rFonts w:hint="eastAsia" w:cs="Times New Roman"/>
                      <w:bCs/>
                      <w:color w:val="auto"/>
                      <w:kern w:val="2"/>
                      <w:sz w:val="18"/>
                      <w:szCs w:val="18"/>
                      <w:highlight w:val="none"/>
                      <w:lang w:val="en-US" w:eastAsia="zh-CN" w:bidi="ar-SA"/>
                    </w:rPr>
                    <w:t>1座</w:t>
                  </w:r>
                  <w:r>
                    <w:rPr>
                      <w:rFonts w:hint="eastAsia"/>
                      <w:bCs/>
                      <w:color w:val="auto"/>
                      <w:sz w:val="18"/>
                      <w:szCs w:val="18"/>
                      <w:highlight w:val="none"/>
                      <w:lang w:val="en-US" w:eastAsia="zh-CN"/>
                    </w:rPr>
                    <w:t>初期雨水收集（100m</w:t>
                  </w:r>
                  <w:r>
                    <w:rPr>
                      <w:rFonts w:hint="eastAsia"/>
                      <w:bCs/>
                      <w:color w:val="auto"/>
                      <w:sz w:val="18"/>
                      <w:szCs w:val="18"/>
                      <w:highlight w:val="none"/>
                      <w:vertAlign w:val="superscript"/>
                      <w:lang w:val="en-US" w:eastAsia="zh-CN"/>
                    </w:rPr>
                    <w:t>3</w:t>
                  </w:r>
                  <w:r>
                    <w:rPr>
                      <w:rFonts w:hint="eastAsia"/>
                      <w:bCs/>
                      <w:color w:val="auto"/>
                      <w:sz w:val="18"/>
                      <w:szCs w:val="18"/>
                      <w:highlight w:val="none"/>
                      <w:lang w:val="en-US" w:eastAsia="zh-CN"/>
                    </w:rPr>
                    <w:t>）</w:t>
                  </w:r>
                </w:p>
              </w:tc>
              <w:tc>
                <w:tcPr>
                  <w:tcW w:w="1197" w:type="pct"/>
                  <w:vMerge w:val="continue"/>
                  <w:tcBorders>
                    <w:right w:val="single" w:color="auto" w:sz="4" w:space="0"/>
                  </w:tcBorders>
                  <w:vAlign w:val="center"/>
                </w:tcPr>
                <w:p w14:paraId="3A383805">
                  <w:pPr>
                    <w:spacing w:line="280" w:lineRule="exact"/>
                    <w:jc w:val="center"/>
                    <w:rPr>
                      <w:rFonts w:hint="eastAsia"/>
                      <w:bCs/>
                      <w:color w:val="auto"/>
                      <w:sz w:val="18"/>
                      <w:szCs w:val="18"/>
                      <w:highlight w:val="none"/>
                      <w:lang w:val="en-US" w:eastAsia="zh-CN"/>
                    </w:rPr>
                  </w:pPr>
                </w:p>
              </w:tc>
              <w:tc>
                <w:tcPr>
                  <w:tcW w:w="1918" w:type="pct"/>
                  <w:vMerge w:val="continue"/>
                  <w:tcBorders>
                    <w:left w:val="single" w:color="auto" w:sz="4" w:space="0"/>
                  </w:tcBorders>
                  <w:vAlign w:val="center"/>
                </w:tcPr>
                <w:p w14:paraId="451F3B67">
                  <w:pPr>
                    <w:spacing w:line="280" w:lineRule="exact"/>
                    <w:jc w:val="center"/>
                    <w:rPr>
                      <w:rFonts w:hint="eastAsia"/>
                      <w:bCs/>
                      <w:color w:val="auto"/>
                      <w:sz w:val="18"/>
                      <w:szCs w:val="18"/>
                      <w:highlight w:val="none"/>
                      <w:lang w:val="en-US" w:eastAsia="zh-CN"/>
                    </w:rPr>
                  </w:pPr>
                </w:p>
              </w:tc>
            </w:tr>
            <w:tr w14:paraId="38EA9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382" w:type="pct"/>
                  <w:shd w:val="clear" w:color="auto" w:fill="auto"/>
                  <w:vAlign w:val="center"/>
                </w:tcPr>
                <w:p w14:paraId="3608758B">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简单防渗区</w:t>
                  </w:r>
                </w:p>
              </w:tc>
              <w:tc>
                <w:tcPr>
                  <w:tcW w:w="1502" w:type="pct"/>
                  <w:shd w:val="clear" w:color="auto" w:fill="auto"/>
                  <w:vAlign w:val="center"/>
                </w:tcPr>
                <w:p w14:paraId="6EA49E1D">
                  <w:pPr>
                    <w:spacing w:line="280" w:lineRule="exact"/>
                    <w:jc w:val="center"/>
                    <w:rPr>
                      <w:rFonts w:hint="default" w:ascii="Times New Roman" w:hAnsi="Times New Roman" w:eastAsia="宋体" w:cs="Times New Roman"/>
                      <w:bCs/>
                      <w:color w:val="auto"/>
                      <w:kern w:val="2"/>
                      <w:sz w:val="18"/>
                      <w:szCs w:val="18"/>
                      <w:highlight w:val="none"/>
                      <w:lang w:val="en-US" w:eastAsia="zh-CN" w:bidi="ar-SA"/>
                    </w:rPr>
                  </w:pPr>
                  <w:r>
                    <w:rPr>
                      <w:rFonts w:hint="eastAsia"/>
                      <w:bCs/>
                      <w:color w:val="auto"/>
                      <w:sz w:val="18"/>
                      <w:szCs w:val="18"/>
                      <w:highlight w:val="none"/>
                      <w:lang w:val="en-US" w:eastAsia="zh-CN"/>
                    </w:rPr>
                    <w:t>各车间、场地、道路以及厂区其他位置</w:t>
                  </w:r>
                </w:p>
              </w:tc>
              <w:tc>
                <w:tcPr>
                  <w:tcW w:w="1197" w:type="pct"/>
                  <w:tcBorders>
                    <w:right w:val="single" w:color="auto" w:sz="4" w:space="0"/>
                  </w:tcBorders>
                  <w:vAlign w:val="center"/>
                </w:tcPr>
                <w:p w14:paraId="78B97D62">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一般地面硬化</w:t>
                  </w:r>
                </w:p>
              </w:tc>
              <w:tc>
                <w:tcPr>
                  <w:tcW w:w="1918" w:type="pct"/>
                  <w:tcBorders>
                    <w:left w:val="single" w:color="auto" w:sz="4" w:space="0"/>
                  </w:tcBorders>
                  <w:vAlign w:val="center"/>
                </w:tcPr>
                <w:p w14:paraId="19D39A64">
                  <w:pPr>
                    <w:spacing w:line="280" w:lineRule="exact"/>
                    <w:jc w:val="center"/>
                    <w:rPr>
                      <w:rFonts w:hint="default" w:eastAsia="宋体"/>
                      <w:bCs/>
                      <w:color w:val="auto"/>
                      <w:sz w:val="18"/>
                      <w:szCs w:val="18"/>
                      <w:highlight w:val="none"/>
                      <w:lang w:val="en-US" w:eastAsia="zh-CN"/>
                    </w:rPr>
                  </w:pPr>
                  <w:r>
                    <w:rPr>
                      <w:rFonts w:hint="eastAsia"/>
                      <w:bCs/>
                      <w:color w:val="auto"/>
                      <w:sz w:val="18"/>
                      <w:szCs w:val="18"/>
                      <w:highlight w:val="none"/>
                      <w:lang w:val="en-US" w:eastAsia="zh-CN"/>
                    </w:rPr>
                    <w:t>加强厂区、综合车间地面硬化</w:t>
                  </w:r>
                </w:p>
              </w:tc>
            </w:tr>
          </w:tbl>
          <w:p w14:paraId="7F566BE9">
            <w:pPr>
              <w:pStyle w:val="79"/>
              <w:snapToGrid/>
              <w:ind w:firstLine="422"/>
              <w:rPr>
                <w:rFonts w:ascii="Times New Roman" w:hAnsi="Times New Roman"/>
                <w:b w:val="0"/>
                <w:bCs w:val="0"/>
                <w:color w:val="auto"/>
                <w:szCs w:val="21"/>
              </w:rPr>
            </w:pPr>
            <w:r>
              <w:rPr>
                <w:rFonts w:hint="eastAsia" w:ascii="Times New Roman" w:hAnsi="Times New Roman"/>
                <w:b w:val="0"/>
                <w:bCs w:val="0"/>
                <w:color w:val="auto"/>
                <w:szCs w:val="21"/>
                <w:lang w:val="en-US" w:eastAsia="zh-CN"/>
              </w:rPr>
              <w:t>（2）</w:t>
            </w:r>
            <w:r>
              <w:rPr>
                <w:rFonts w:ascii="Times New Roman" w:hAnsi="Times New Roman"/>
                <w:b w:val="0"/>
                <w:bCs w:val="0"/>
                <w:color w:val="auto"/>
                <w:szCs w:val="21"/>
              </w:rPr>
              <w:t>关于防沙治沙</w:t>
            </w:r>
          </w:p>
          <w:p w14:paraId="50A125D7">
            <w:pPr>
              <w:spacing w:line="360" w:lineRule="auto"/>
              <w:ind w:firstLine="420" w:firstLineChars="200"/>
              <w:rPr>
                <w:rFonts w:hint="eastAsia" w:eastAsia="宋体"/>
                <w:bCs/>
                <w:color w:val="auto"/>
                <w:szCs w:val="21"/>
                <w:lang w:val="en-US" w:eastAsia="zh-CN"/>
              </w:rPr>
            </w:pPr>
            <w:r>
              <w:rPr>
                <w:bCs/>
                <w:color w:val="auto"/>
                <w:szCs w:val="21"/>
              </w:rPr>
              <w:t>根据</w:t>
            </w:r>
            <w:r>
              <w:rPr>
                <w:rFonts w:hint="eastAsia"/>
                <w:bCs/>
                <w:color w:val="auto"/>
                <w:szCs w:val="21"/>
                <w:lang w:eastAsia="zh-CN"/>
              </w:rPr>
              <w:t>《</w:t>
            </w:r>
            <w:r>
              <w:rPr>
                <w:rFonts w:hint="eastAsia"/>
                <w:bCs/>
                <w:color w:val="auto"/>
                <w:szCs w:val="21"/>
                <w:lang w:val="en-US" w:eastAsia="zh-CN"/>
              </w:rPr>
              <w:t>全国防沙治沙规划</w:t>
            </w:r>
            <w:r>
              <w:rPr>
                <w:rFonts w:hint="eastAsia"/>
                <w:bCs/>
                <w:color w:val="auto"/>
                <w:szCs w:val="21"/>
                <w:lang w:eastAsia="zh-CN"/>
              </w:rPr>
              <w:t>》（</w:t>
            </w:r>
            <w:r>
              <w:rPr>
                <w:rFonts w:hint="eastAsia"/>
                <w:bCs/>
                <w:color w:val="auto"/>
                <w:szCs w:val="21"/>
                <w:lang w:val="en-US" w:eastAsia="zh-CN"/>
              </w:rPr>
              <w:t>2021-2030年</w:t>
            </w:r>
            <w:r>
              <w:rPr>
                <w:rFonts w:hint="eastAsia"/>
                <w:bCs/>
                <w:color w:val="auto"/>
                <w:szCs w:val="21"/>
                <w:lang w:eastAsia="zh-CN"/>
              </w:rPr>
              <w:t>）（林规发〔2022〕115号）、</w:t>
            </w:r>
            <w:r>
              <w:rPr>
                <w:rFonts w:hint="eastAsia"/>
                <w:bCs/>
                <w:color w:val="auto"/>
                <w:szCs w:val="21"/>
              </w:rPr>
              <w:t xml:space="preserve">山西省林业和草原局 山西省生态环境厅 </w:t>
            </w:r>
            <w:r>
              <w:rPr>
                <w:rFonts w:hint="eastAsia"/>
                <w:bCs/>
                <w:color w:val="auto"/>
                <w:szCs w:val="21"/>
                <w:lang w:eastAsia="zh-CN"/>
              </w:rPr>
              <w:t>《</w:t>
            </w:r>
            <w:r>
              <w:rPr>
                <w:rFonts w:hint="eastAsia"/>
                <w:bCs/>
                <w:color w:val="auto"/>
                <w:szCs w:val="21"/>
              </w:rPr>
              <w:t>关于落实沙区开发建设项目环境影响评价制度的通知》（晋林造发[2020]30号）</w:t>
            </w:r>
            <w:r>
              <w:rPr>
                <w:bCs/>
                <w:color w:val="auto"/>
                <w:szCs w:val="21"/>
              </w:rPr>
              <w:t>，大同市</w:t>
            </w:r>
            <w:r>
              <w:rPr>
                <w:rFonts w:hint="eastAsia"/>
                <w:bCs/>
                <w:color w:val="auto"/>
                <w:szCs w:val="21"/>
                <w:lang w:val="en-US" w:eastAsia="zh-CN"/>
              </w:rPr>
              <w:t>云州区</w:t>
            </w:r>
            <w:r>
              <w:rPr>
                <w:bCs/>
                <w:color w:val="auto"/>
                <w:szCs w:val="21"/>
              </w:rPr>
              <w:t>属于防沙治沙范围，根据相关规定，本次评价应对项目建设过程可能造成的土地沙化影响进行分析评价。</w:t>
            </w:r>
          </w:p>
          <w:p w14:paraId="4E91830C">
            <w:pPr>
              <w:spacing w:line="360" w:lineRule="auto"/>
              <w:ind w:firstLine="420" w:firstLineChars="200"/>
              <w:rPr>
                <w:bCs/>
                <w:color w:val="auto"/>
                <w:szCs w:val="21"/>
              </w:rPr>
            </w:pPr>
            <w:r>
              <w:rPr>
                <w:bCs/>
                <w:color w:val="auto"/>
                <w:szCs w:val="21"/>
              </w:rPr>
              <w:t>造成土地沙化的原因包括自然因素和人为因素，自然因素包括气候变化，降雨减少，气温升高等，人为因素主要包括开荒、</w:t>
            </w:r>
            <w:r>
              <w:rPr>
                <w:rFonts w:hint="eastAsia"/>
                <w:bCs/>
                <w:color w:val="auto"/>
                <w:szCs w:val="21"/>
                <w:lang w:eastAsia="zh-CN"/>
              </w:rPr>
              <w:t>滥</w:t>
            </w:r>
            <w:r>
              <w:rPr>
                <w:bCs/>
                <w:color w:val="auto"/>
                <w:szCs w:val="21"/>
              </w:rPr>
              <w:t>挖乱采、过度放牧、水资源利用不合理等。</w:t>
            </w:r>
          </w:p>
          <w:p w14:paraId="71B9CA91">
            <w:pPr>
              <w:spacing w:line="360" w:lineRule="auto"/>
              <w:ind w:firstLine="420" w:firstLineChars="200"/>
              <w:rPr>
                <w:bCs/>
                <w:color w:val="auto"/>
                <w:szCs w:val="21"/>
              </w:rPr>
            </w:pPr>
            <w:r>
              <w:rPr>
                <w:bCs/>
                <w:color w:val="auto"/>
                <w:szCs w:val="21"/>
              </w:rPr>
              <w:t>评价主要从项目占地情况、对水资源尤其是地下水资源影响这几个方面进行分析。</w:t>
            </w:r>
          </w:p>
          <w:p w14:paraId="157BF7C2">
            <w:pPr>
              <w:spacing w:line="360" w:lineRule="auto"/>
              <w:ind w:firstLine="420" w:firstLineChars="200"/>
              <w:rPr>
                <w:bCs/>
                <w:color w:val="auto"/>
                <w:szCs w:val="21"/>
              </w:rPr>
            </w:pPr>
            <w:r>
              <w:rPr>
                <w:bCs/>
                <w:color w:val="auto"/>
                <w:szCs w:val="21"/>
              </w:rPr>
              <w:t>1）占地性质及占地现状</w:t>
            </w:r>
          </w:p>
          <w:p w14:paraId="12332D37">
            <w:pPr>
              <w:spacing w:line="360" w:lineRule="auto"/>
              <w:ind w:firstLine="420" w:firstLineChars="200"/>
              <w:rPr>
                <w:bCs/>
                <w:color w:val="auto"/>
                <w:szCs w:val="21"/>
              </w:rPr>
            </w:pPr>
            <w:r>
              <w:rPr>
                <w:bCs/>
                <w:color w:val="auto"/>
                <w:szCs w:val="21"/>
              </w:rPr>
              <w:t>项目</w:t>
            </w:r>
            <w:r>
              <w:rPr>
                <w:rFonts w:hint="eastAsia"/>
                <w:color w:val="auto"/>
                <w:szCs w:val="21"/>
              </w:rPr>
              <w:t>占地性质为</w:t>
            </w:r>
            <w:r>
              <w:rPr>
                <w:rFonts w:hint="eastAsia"/>
                <w:color w:val="auto"/>
                <w:szCs w:val="21"/>
                <w:lang w:val="en-US" w:eastAsia="zh-CN"/>
              </w:rPr>
              <w:t>农用地</w:t>
            </w:r>
            <w:r>
              <w:rPr>
                <w:rFonts w:hint="eastAsia"/>
                <w:color w:val="auto"/>
                <w:szCs w:val="21"/>
              </w:rPr>
              <w:t>，</w:t>
            </w:r>
            <w:r>
              <w:rPr>
                <w:color w:val="auto"/>
                <w:szCs w:val="21"/>
              </w:rPr>
              <w:t>项目不新增占地</w:t>
            </w:r>
            <w:r>
              <w:rPr>
                <w:bCs/>
                <w:color w:val="auto"/>
                <w:szCs w:val="21"/>
              </w:rPr>
              <w:t>，项目建设不改变原有土地性质。</w:t>
            </w:r>
            <w:r>
              <w:rPr>
                <w:rFonts w:hint="eastAsia"/>
                <w:bCs/>
                <w:color w:val="auto"/>
                <w:szCs w:val="21"/>
                <w:lang w:val="en-US" w:eastAsia="zh-CN"/>
              </w:rPr>
              <w:t>施工范围限制在原厂区范围内，不新增施工临时用地</w:t>
            </w:r>
            <w:r>
              <w:rPr>
                <w:rFonts w:hint="eastAsia"/>
                <w:bCs/>
                <w:color w:val="auto"/>
                <w:szCs w:val="21"/>
              </w:rPr>
              <w:t>。</w:t>
            </w:r>
          </w:p>
          <w:p w14:paraId="26CBB92F">
            <w:pPr>
              <w:spacing w:line="360" w:lineRule="auto"/>
              <w:ind w:firstLine="420" w:firstLineChars="200"/>
              <w:rPr>
                <w:bCs/>
                <w:color w:val="auto"/>
                <w:szCs w:val="21"/>
              </w:rPr>
            </w:pPr>
            <w:r>
              <w:rPr>
                <w:bCs/>
                <w:color w:val="auto"/>
                <w:szCs w:val="21"/>
              </w:rPr>
              <w:t>2）对水资源的影响</w:t>
            </w:r>
          </w:p>
          <w:p w14:paraId="3906DA88">
            <w:pPr>
              <w:spacing w:line="360" w:lineRule="auto"/>
              <w:ind w:firstLine="420" w:firstLineChars="200"/>
              <w:rPr>
                <w:bCs/>
                <w:color w:val="auto"/>
                <w:szCs w:val="21"/>
              </w:rPr>
            </w:pPr>
            <w:r>
              <w:rPr>
                <w:bCs/>
                <w:color w:val="auto"/>
                <w:szCs w:val="21"/>
              </w:rPr>
              <w:t>根据工程分析，项目营运期水源为</w:t>
            </w:r>
            <w:r>
              <w:rPr>
                <w:rFonts w:hint="eastAsia"/>
                <w:bCs/>
                <w:color w:val="auto"/>
                <w:szCs w:val="21"/>
                <w:lang w:val="en-US" w:eastAsia="zh-CN"/>
              </w:rPr>
              <w:t>自来水管道提供的自来水</w:t>
            </w:r>
            <w:r>
              <w:rPr>
                <w:rFonts w:hint="eastAsia"/>
                <w:bCs/>
                <w:color w:val="auto"/>
                <w:szCs w:val="21"/>
              </w:rPr>
              <w:t>。</w:t>
            </w:r>
          </w:p>
          <w:p w14:paraId="6FDF5A43">
            <w:pPr>
              <w:spacing w:line="360" w:lineRule="auto"/>
              <w:ind w:firstLine="420" w:firstLineChars="200"/>
              <w:rPr>
                <w:bCs/>
                <w:color w:val="auto"/>
                <w:szCs w:val="21"/>
              </w:rPr>
            </w:pPr>
            <w:r>
              <w:rPr>
                <w:bCs/>
                <w:color w:val="auto"/>
                <w:szCs w:val="21"/>
              </w:rPr>
              <w:t>本项目建成后运营期生产用水主要为职工生活用水等，用水量较小，不会对地下水水位造成明显影响，不属于占用水资源多的项目。</w:t>
            </w:r>
          </w:p>
          <w:p w14:paraId="45DB1C98">
            <w:pPr>
              <w:autoSpaceDE w:val="0"/>
              <w:autoSpaceDN w:val="0"/>
              <w:adjustRightInd w:val="0"/>
              <w:spacing w:line="360" w:lineRule="auto"/>
              <w:ind w:firstLine="420" w:firstLineChars="200"/>
              <w:jc w:val="left"/>
              <w:rPr>
                <w:bCs/>
                <w:color w:val="auto"/>
                <w:szCs w:val="21"/>
              </w:rPr>
            </w:pPr>
            <w:r>
              <w:rPr>
                <w:rFonts w:hint="eastAsia"/>
                <w:bCs/>
                <w:color w:val="auto"/>
                <w:szCs w:val="21"/>
              </w:rPr>
              <w:t>根据相关规定，本次评价提出以下防治措施：</w:t>
            </w:r>
          </w:p>
          <w:p w14:paraId="5168198F">
            <w:pPr>
              <w:spacing w:line="360" w:lineRule="auto"/>
              <w:ind w:firstLine="420" w:firstLineChars="200"/>
              <w:rPr>
                <w:rFonts w:hint="default" w:eastAsia="宋体"/>
                <w:bCs/>
                <w:color w:val="auto"/>
                <w:szCs w:val="21"/>
                <w:highlight w:val="none"/>
                <w:lang w:val="en-US" w:eastAsia="zh-CN"/>
              </w:rPr>
            </w:pPr>
            <w:r>
              <w:rPr>
                <w:rFonts w:hint="eastAsia"/>
                <w:bCs/>
                <w:color w:val="auto"/>
                <w:szCs w:val="21"/>
              </w:rPr>
              <w:t>1）严格控制占地范围，不得占用项目占地外其他土地</w:t>
            </w:r>
            <w:r>
              <w:rPr>
                <w:rFonts w:hint="eastAsia"/>
                <w:bCs/>
                <w:color w:val="auto"/>
                <w:szCs w:val="21"/>
                <w:lang w:eastAsia="zh-CN"/>
              </w:rPr>
              <w:t>，</w:t>
            </w:r>
            <w:r>
              <w:rPr>
                <w:rFonts w:hint="eastAsia"/>
                <w:bCs/>
                <w:color w:val="auto"/>
                <w:szCs w:val="21"/>
                <w:lang w:val="en-US" w:eastAsia="zh-CN"/>
              </w:rPr>
              <w:t>施工范围仅限在厂区范围内，不新增任何临时占地</w:t>
            </w:r>
            <w:r>
              <w:rPr>
                <w:rFonts w:hint="eastAsia"/>
                <w:bCs/>
                <w:color w:val="auto"/>
                <w:szCs w:val="21"/>
              </w:rPr>
              <w:t>；加强施工期管理，</w:t>
            </w:r>
            <w:r>
              <w:rPr>
                <w:rFonts w:hint="eastAsia"/>
                <w:bCs/>
                <w:color w:val="auto"/>
                <w:szCs w:val="21"/>
                <w:lang w:val="en-US" w:eastAsia="zh-CN"/>
              </w:rPr>
              <w:t>加设物料暂存棚，用于减少施工物料堆存产生的扬尘，</w:t>
            </w:r>
            <w:r>
              <w:rPr>
                <w:rFonts w:hint="eastAsia"/>
                <w:bCs/>
                <w:color w:val="auto"/>
                <w:szCs w:val="21"/>
              </w:rPr>
              <w:t>减少水土流失影响；</w:t>
            </w:r>
            <w:r>
              <w:rPr>
                <w:rFonts w:hint="eastAsia"/>
                <w:bCs/>
                <w:color w:val="auto"/>
                <w:szCs w:val="21"/>
                <w:highlight w:val="none"/>
                <w:lang w:val="en-US" w:eastAsia="zh-CN"/>
              </w:rPr>
              <w:t>加强厂区地面硬化等；</w:t>
            </w:r>
          </w:p>
          <w:p w14:paraId="16ECB5DB">
            <w:pPr>
              <w:spacing w:line="360" w:lineRule="auto"/>
              <w:ind w:firstLine="420" w:firstLineChars="200"/>
              <w:rPr>
                <w:rFonts w:hint="eastAsia" w:eastAsia="宋体"/>
                <w:bCs/>
                <w:color w:val="auto"/>
                <w:szCs w:val="21"/>
                <w:highlight w:val="none"/>
                <w:lang w:eastAsia="zh-CN"/>
              </w:rPr>
            </w:pPr>
            <w:r>
              <w:rPr>
                <w:rFonts w:hint="eastAsia"/>
                <w:bCs/>
                <w:color w:val="auto"/>
                <w:szCs w:val="21"/>
                <w:highlight w:val="none"/>
              </w:rPr>
              <w:t>2）提高</w:t>
            </w:r>
            <w:r>
              <w:rPr>
                <w:rFonts w:hint="eastAsia"/>
                <w:bCs/>
                <w:color w:val="auto"/>
                <w:szCs w:val="21"/>
                <w:highlight w:val="none"/>
                <w:lang w:val="en-US" w:eastAsia="zh-CN"/>
              </w:rPr>
              <w:t>厂区范围</w:t>
            </w:r>
            <w:r>
              <w:rPr>
                <w:rFonts w:hint="eastAsia"/>
                <w:bCs/>
                <w:color w:val="auto"/>
                <w:szCs w:val="21"/>
                <w:highlight w:val="none"/>
              </w:rPr>
              <w:t>内的植被覆盖率</w:t>
            </w:r>
            <w:r>
              <w:rPr>
                <w:rFonts w:hint="eastAsia"/>
                <w:bCs/>
                <w:color w:val="auto"/>
                <w:szCs w:val="21"/>
                <w:highlight w:val="none"/>
                <w:lang w:val="en-US" w:eastAsia="zh-CN"/>
              </w:rPr>
              <w:t>，建设符合要求的绿化带</w:t>
            </w:r>
            <w:r>
              <w:rPr>
                <w:rFonts w:hint="eastAsia"/>
                <w:bCs/>
                <w:color w:val="auto"/>
                <w:szCs w:val="21"/>
                <w:highlight w:val="none"/>
              </w:rPr>
              <w:t>，绿化对风沙的侵袭有很好的阻挡作用，能削弱风沙速度</w:t>
            </w:r>
            <w:r>
              <w:rPr>
                <w:rFonts w:hint="eastAsia"/>
                <w:bCs/>
                <w:color w:val="auto"/>
                <w:szCs w:val="21"/>
                <w:highlight w:val="none"/>
                <w:lang w:eastAsia="zh-CN"/>
              </w:rPr>
              <w:t>。</w:t>
            </w:r>
          </w:p>
          <w:p w14:paraId="1AD47A11">
            <w:pPr>
              <w:spacing w:line="360" w:lineRule="auto"/>
              <w:ind w:firstLine="411" w:firstLineChars="196"/>
              <w:jc w:val="both"/>
              <w:rPr>
                <w:b/>
                <w:color w:val="auto"/>
                <w:sz w:val="18"/>
                <w:szCs w:val="18"/>
              </w:rPr>
            </w:pPr>
            <w:r>
              <w:rPr>
                <w:b w:val="0"/>
                <w:bCs w:val="0"/>
                <w:color w:val="auto"/>
                <w:szCs w:val="21"/>
              </w:rPr>
              <w:t>由此，评价认为项目实施不会对区域土地沙化情况造成影响。</w:t>
            </w:r>
          </w:p>
          <w:p w14:paraId="29B4B7B4">
            <w:pPr>
              <w:spacing w:line="360" w:lineRule="auto"/>
              <w:ind w:firstLine="413" w:firstLineChars="196"/>
              <w:rPr>
                <w:b/>
                <w:color w:val="auto"/>
                <w:szCs w:val="21"/>
              </w:rPr>
            </w:pPr>
            <w:r>
              <w:rPr>
                <w:rFonts w:hint="eastAsia"/>
                <w:b/>
                <w:color w:val="auto"/>
                <w:szCs w:val="21"/>
                <w:lang w:val="en-US" w:eastAsia="zh-CN"/>
              </w:rPr>
              <w:t>4.6</w:t>
            </w:r>
            <w:r>
              <w:rPr>
                <w:b/>
                <w:color w:val="auto"/>
                <w:szCs w:val="21"/>
              </w:rPr>
              <w:t>环境风险分析</w:t>
            </w:r>
          </w:p>
          <w:p w14:paraId="409316F7">
            <w:pPr>
              <w:spacing w:line="360" w:lineRule="auto"/>
              <w:ind w:firstLine="420" w:firstLineChars="200"/>
              <w:rPr>
                <w:rFonts w:hint="eastAsia"/>
                <w:bCs/>
                <w:color w:val="auto"/>
                <w:szCs w:val="21"/>
                <w:lang w:val="en-US" w:eastAsia="zh-CN"/>
              </w:rPr>
            </w:pPr>
            <w:r>
              <w:rPr>
                <w:rFonts w:hint="eastAsia"/>
                <w:bCs/>
                <w:color w:val="auto"/>
                <w:szCs w:val="21"/>
                <w:lang w:val="en-US" w:eastAsia="zh-CN"/>
              </w:rPr>
              <w:t>（1）风险识别</w:t>
            </w:r>
          </w:p>
          <w:p w14:paraId="2F798333">
            <w:pPr>
              <w:spacing w:line="360" w:lineRule="auto"/>
              <w:ind w:firstLine="420" w:firstLineChars="200"/>
              <w:rPr>
                <w:rFonts w:hint="eastAsia"/>
                <w:bCs/>
                <w:color w:val="auto"/>
                <w:szCs w:val="21"/>
                <w:lang w:val="en-US" w:eastAsia="zh-CN"/>
              </w:rPr>
            </w:pPr>
            <w:r>
              <w:rPr>
                <w:rFonts w:hint="eastAsia"/>
                <w:bCs/>
                <w:color w:val="auto"/>
                <w:szCs w:val="21"/>
                <w:lang w:val="en-US" w:eastAsia="zh-CN"/>
              </w:rPr>
              <w:t>根据《建设项目环境风险评价技术导则》（</w:t>
            </w:r>
            <w:r>
              <w:rPr>
                <w:rFonts w:hint="default"/>
                <w:bCs/>
                <w:color w:val="auto"/>
                <w:szCs w:val="21"/>
                <w:lang w:val="en-US" w:eastAsia="zh-CN"/>
              </w:rPr>
              <w:t>HJ169-2018</w:t>
            </w:r>
            <w:r>
              <w:rPr>
                <w:rFonts w:hint="eastAsia"/>
                <w:bCs/>
                <w:color w:val="auto"/>
                <w:szCs w:val="21"/>
                <w:lang w:val="en-US" w:eastAsia="zh-CN"/>
              </w:rPr>
              <w:t>）的要求，对项目生产装置、储运系统、公用工程系统等生产和辅助设施进行了风险识别，对使用和存储的原辅材料及能源的特性也进行了风险识别。</w:t>
            </w:r>
          </w:p>
          <w:p w14:paraId="44EB9AB1">
            <w:pPr>
              <w:spacing w:line="360" w:lineRule="auto"/>
              <w:ind w:firstLine="420" w:firstLineChars="200"/>
              <w:rPr>
                <w:rFonts w:hint="eastAsia"/>
                <w:bCs/>
                <w:color w:val="auto"/>
                <w:szCs w:val="21"/>
                <w:lang w:val="en-US" w:eastAsia="zh-CN"/>
              </w:rPr>
            </w:pPr>
            <w:r>
              <w:rPr>
                <w:rFonts w:hint="eastAsia"/>
                <w:bCs/>
                <w:color w:val="auto"/>
                <w:szCs w:val="21"/>
                <w:lang w:val="en-US" w:eastAsia="zh-CN"/>
              </w:rPr>
              <w:t>项目生产过程中涉及的有毒有害、易燃的危险物质主要为矿物油、废矿物油等油类物质，防腐剂、水性漆等属于易泄漏物质。根据《建设项目环境风险评价技术导则》</w:t>
            </w:r>
            <w:r>
              <w:rPr>
                <w:rFonts w:hint="default"/>
                <w:bCs/>
                <w:color w:val="auto"/>
                <w:szCs w:val="21"/>
                <w:lang w:val="en-US" w:eastAsia="zh-CN"/>
              </w:rPr>
              <w:t xml:space="preserve">(HJ169-2018) </w:t>
            </w:r>
            <w:r>
              <w:rPr>
                <w:rFonts w:hint="eastAsia"/>
                <w:bCs/>
                <w:color w:val="auto"/>
                <w:szCs w:val="21"/>
                <w:lang w:val="en-US" w:eastAsia="zh-CN"/>
              </w:rPr>
              <w:t>规定：涉及上述危险物质生产、使用、储存可能发生的突发性事故，应进行风险评价。</w:t>
            </w:r>
          </w:p>
          <w:p w14:paraId="1D0084E0">
            <w:pPr>
              <w:spacing w:line="360" w:lineRule="auto"/>
              <w:ind w:firstLine="420" w:firstLineChars="200"/>
              <w:rPr>
                <w:rFonts w:hint="eastAsia"/>
                <w:bCs/>
                <w:color w:val="auto"/>
                <w:szCs w:val="21"/>
                <w:lang w:val="en-US" w:eastAsia="zh-CN"/>
              </w:rPr>
            </w:pPr>
            <w:r>
              <w:rPr>
                <w:rFonts w:hint="eastAsia"/>
                <w:bCs/>
                <w:color w:val="auto"/>
                <w:szCs w:val="21"/>
                <w:lang w:val="en-US" w:eastAsia="zh-CN"/>
              </w:rPr>
              <w:t>本项目危险废物最大储存量与临界量比值见表</w:t>
            </w:r>
          </w:p>
          <w:p w14:paraId="2E12D427">
            <w:pPr>
              <w:jc w:val="center"/>
              <w:rPr>
                <w:b/>
                <w:bCs w:val="0"/>
                <w:color w:val="auto"/>
                <w:sz w:val="18"/>
                <w:szCs w:val="18"/>
              </w:rPr>
            </w:pPr>
            <w:r>
              <w:rPr>
                <w:rFonts w:hint="eastAsia"/>
                <w:b/>
                <w:bCs w:val="0"/>
                <w:color w:val="auto"/>
                <w:sz w:val="18"/>
                <w:szCs w:val="18"/>
                <w:lang w:val="en-US" w:eastAsia="zh-CN"/>
              </w:rPr>
              <w:t>表4.6-1</w:t>
            </w:r>
            <w:r>
              <w:rPr>
                <w:rFonts w:hint="eastAsia"/>
                <w:b/>
                <w:bCs w:val="0"/>
                <w:color w:val="auto"/>
                <w:sz w:val="18"/>
                <w:szCs w:val="18"/>
              </w:rPr>
              <w:t xml:space="preserve">    </w:t>
            </w:r>
            <w:r>
              <w:rPr>
                <w:b/>
                <w:bCs w:val="0"/>
                <w:color w:val="auto"/>
                <w:sz w:val="18"/>
                <w:szCs w:val="18"/>
              </w:rPr>
              <w:t>本项目Q值计算表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85"/>
              <w:gridCol w:w="1425"/>
              <w:gridCol w:w="1019"/>
              <w:gridCol w:w="846"/>
              <w:gridCol w:w="1529"/>
              <w:gridCol w:w="1336"/>
              <w:gridCol w:w="1176"/>
            </w:tblGrid>
            <w:tr w14:paraId="605975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69" w:type="pct"/>
                  <w:vAlign w:val="center"/>
                </w:tcPr>
                <w:p w14:paraId="6B5AF7D7">
                  <w:pPr>
                    <w:jc w:val="center"/>
                    <w:rPr>
                      <w:color w:val="auto"/>
                      <w:sz w:val="18"/>
                      <w:szCs w:val="18"/>
                    </w:rPr>
                  </w:pPr>
                  <w:r>
                    <w:rPr>
                      <w:color w:val="auto"/>
                      <w:sz w:val="18"/>
                      <w:szCs w:val="18"/>
                    </w:rPr>
                    <w:t>序号</w:t>
                  </w:r>
                </w:p>
              </w:tc>
              <w:tc>
                <w:tcPr>
                  <w:tcW w:w="899" w:type="pct"/>
                  <w:vAlign w:val="center"/>
                </w:tcPr>
                <w:p w14:paraId="3BA2353F">
                  <w:pPr>
                    <w:jc w:val="center"/>
                    <w:rPr>
                      <w:color w:val="auto"/>
                      <w:sz w:val="18"/>
                      <w:szCs w:val="18"/>
                    </w:rPr>
                  </w:pPr>
                  <w:r>
                    <w:rPr>
                      <w:color w:val="auto"/>
                      <w:sz w:val="18"/>
                      <w:szCs w:val="18"/>
                    </w:rPr>
                    <w:t>危险物质名称</w:t>
                  </w:r>
                </w:p>
              </w:tc>
              <w:tc>
                <w:tcPr>
                  <w:tcW w:w="643" w:type="pct"/>
                  <w:vAlign w:val="center"/>
                </w:tcPr>
                <w:p w14:paraId="40B052C3">
                  <w:pPr>
                    <w:jc w:val="center"/>
                    <w:rPr>
                      <w:color w:val="auto"/>
                      <w:sz w:val="18"/>
                      <w:szCs w:val="18"/>
                    </w:rPr>
                  </w:pPr>
                  <w:r>
                    <w:rPr>
                      <w:color w:val="auto"/>
                      <w:sz w:val="18"/>
                      <w:szCs w:val="18"/>
                    </w:rPr>
                    <w:t>CAS号</w:t>
                  </w:r>
                </w:p>
              </w:tc>
              <w:tc>
                <w:tcPr>
                  <w:tcW w:w="534" w:type="pct"/>
                  <w:vAlign w:val="center"/>
                </w:tcPr>
                <w:p w14:paraId="2A6F04E3">
                  <w:pPr>
                    <w:jc w:val="center"/>
                    <w:rPr>
                      <w:color w:val="auto"/>
                      <w:sz w:val="18"/>
                      <w:szCs w:val="18"/>
                    </w:rPr>
                  </w:pPr>
                  <w:r>
                    <w:rPr>
                      <w:color w:val="auto"/>
                      <w:sz w:val="18"/>
                      <w:szCs w:val="18"/>
                    </w:rPr>
                    <w:t>临界量/t</w:t>
                  </w:r>
                </w:p>
              </w:tc>
              <w:tc>
                <w:tcPr>
                  <w:tcW w:w="965" w:type="pct"/>
                  <w:vAlign w:val="center"/>
                </w:tcPr>
                <w:p w14:paraId="1296A76C">
                  <w:pPr>
                    <w:jc w:val="center"/>
                    <w:rPr>
                      <w:color w:val="auto"/>
                      <w:sz w:val="18"/>
                      <w:szCs w:val="18"/>
                    </w:rPr>
                  </w:pPr>
                  <w:r>
                    <w:rPr>
                      <w:color w:val="auto"/>
                      <w:sz w:val="18"/>
                      <w:szCs w:val="18"/>
                    </w:rPr>
                    <w:t>储存方式</w:t>
                  </w:r>
                </w:p>
              </w:tc>
              <w:tc>
                <w:tcPr>
                  <w:tcW w:w="843" w:type="pct"/>
                  <w:vAlign w:val="center"/>
                </w:tcPr>
                <w:p w14:paraId="714BFAC6">
                  <w:pPr>
                    <w:jc w:val="center"/>
                    <w:rPr>
                      <w:color w:val="auto"/>
                      <w:sz w:val="18"/>
                      <w:szCs w:val="18"/>
                    </w:rPr>
                  </w:pPr>
                  <w:r>
                    <w:rPr>
                      <w:color w:val="auto"/>
                      <w:sz w:val="18"/>
                      <w:szCs w:val="18"/>
                    </w:rPr>
                    <w:t>项目最大储量/t</w:t>
                  </w:r>
                </w:p>
              </w:tc>
              <w:tc>
                <w:tcPr>
                  <w:tcW w:w="742" w:type="pct"/>
                  <w:vAlign w:val="center"/>
                </w:tcPr>
                <w:p w14:paraId="23B27656">
                  <w:pPr>
                    <w:jc w:val="center"/>
                    <w:rPr>
                      <w:color w:val="auto"/>
                      <w:sz w:val="18"/>
                      <w:szCs w:val="18"/>
                    </w:rPr>
                  </w:pPr>
                  <w:r>
                    <w:rPr>
                      <w:color w:val="auto"/>
                      <w:sz w:val="18"/>
                      <w:szCs w:val="18"/>
                    </w:rPr>
                    <w:t>Q</w:t>
                  </w:r>
                </w:p>
              </w:tc>
            </w:tr>
            <w:tr w14:paraId="3C0E10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369" w:type="pct"/>
                  <w:vAlign w:val="center"/>
                </w:tcPr>
                <w:p w14:paraId="6CC0D989">
                  <w:pPr>
                    <w:jc w:val="center"/>
                    <w:rPr>
                      <w:rFonts w:hint="eastAsia" w:eastAsia="宋体"/>
                      <w:color w:val="auto"/>
                      <w:sz w:val="18"/>
                      <w:szCs w:val="18"/>
                      <w:lang w:eastAsia="zh-CN"/>
                    </w:rPr>
                  </w:pPr>
                  <w:r>
                    <w:rPr>
                      <w:rFonts w:hint="eastAsia"/>
                      <w:color w:val="auto"/>
                      <w:sz w:val="18"/>
                      <w:szCs w:val="18"/>
                      <w:lang w:val="en-US" w:eastAsia="zh-CN"/>
                    </w:rPr>
                    <w:t>1</w:t>
                  </w:r>
                </w:p>
              </w:tc>
              <w:tc>
                <w:tcPr>
                  <w:tcW w:w="899" w:type="pct"/>
                  <w:vAlign w:val="center"/>
                </w:tcPr>
                <w:p w14:paraId="77DA4604">
                  <w:pPr>
                    <w:jc w:val="center"/>
                    <w:rPr>
                      <w:color w:val="auto"/>
                      <w:sz w:val="18"/>
                      <w:szCs w:val="18"/>
                    </w:rPr>
                  </w:pPr>
                  <w:r>
                    <w:rPr>
                      <w:rFonts w:hint="eastAsia"/>
                      <w:color w:val="auto"/>
                      <w:sz w:val="18"/>
                      <w:szCs w:val="18"/>
                      <w:lang w:val="en-US" w:eastAsia="zh-CN"/>
                    </w:rPr>
                    <w:t>矿物</w:t>
                  </w:r>
                  <w:r>
                    <w:rPr>
                      <w:color w:val="auto"/>
                      <w:sz w:val="18"/>
                      <w:szCs w:val="18"/>
                    </w:rPr>
                    <w:t>油</w:t>
                  </w:r>
                </w:p>
              </w:tc>
              <w:tc>
                <w:tcPr>
                  <w:tcW w:w="643" w:type="pct"/>
                  <w:vAlign w:val="center"/>
                </w:tcPr>
                <w:p w14:paraId="4BBE6380">
                  <w:pPr>
                    <w:jc w:val="center"/>
                    <w:rPr>
                      <w:color w:val="auto"/>
                      <w:sz w:val="18"/>
                      <w:szCs w:val="18"/>
                    </w:rPr>
                  </w:pPr>
                  <w:r>
                    <w:rPr>
                      <w:rFonts w:hint="eastAsia"/>
                      <w:color w:val="auto"/>
                      <w:sz w:val="18"/>
                      <w:szCs w:val="18"/>
                    </w:rPr>
                    <w:t>-</w:t>
                  </w:r>
                </w:p>
              </w:tc>
              <w:tc>
                <w:tcPr>
                  <w:tcW w:w="534" w:type="pct"/>
                  <w:vAlign w:val="center"/>
                </w:tcPr>
                <w:p w14:paraId="0494B32E">
                  <w:pPr>
                    <w:jc w:val="center"/>
                    <w:rPr>
                      <w:color w:val="auto"/>
                      <w:sz w:val="18"/>
                      <w:szCs w:val="18"/>
                    </w:rPr>
                  </w:pPr>
                  <w:r>
                    <w:rPr>
                      <w:rFonts w:hint="eastAsia"/>
                      <w:color w:val="auto"/>
                      <w:sz w:val="18"/>
                      <w:szCs w:val="18"/>
                    </w:rPr>
                    <w:t>2500</w:t>
                  </w:r>
                </w:p>
              </w:tc>
              <w:tc>
                <w:tcPr>
                  <w:tcW w:w="965" w:type="pct"/>
                  <w:tcBorders>
                    <w:top w:val="single" w:color="auto" w:sz="4" w:space="0"/>
                  </w:tcBorders>
                  <w:vAlign w:val="center"/>
                </w:tcPr>
                <w:p w14:paraId="73B94CBD">
                  <w:pPr>
                    <w:jc w:val="center"/>
                    <w:rPr>
                      <w:color w:val="auto"/>
                      <w:sz w:val="18"/>
                      <w:szCs w:val="18"/>
                    </w:rPr>
                  </w:pPr>
                  <w:r>
                    <w:rPr>
                      <w:rFonts w:hint="eastAsia"/>
                      <w:color w:val="auto"/>
                      <w:sz w:val="18"/>
                      <w:szCs w:val="18"/>
                    </w:rPr>
                    <w:t>桶装</w:t>
                  </w:r>
                </w:p>
              </w:tc>
              <w:tc>
                <w:tcPr>
                  <w:tcW w:w="843" w:type="pct"/>
                  <w:tcBorders>
                    <w:top w:val="single" w:color="auto" w:sz="4" w:space="0"/>
                  </w:tcBorders>
                  <w:vAlign w:val="center"/>
                </w:tcPr>
                <w:p w14:paraId="3CEE1358">
                  <w:pPr>
                    <w:jc w:val="center"/>
                    <w:rPr>
                      <w:rFonts w:hint="eastAsia" w:eastAsia="宋体"/>
                      <w:color w:val="auto"/>
                      <w:sz w:val="18"/>
                      <w:szCs w:val="18"/>
                      <w:lang w:val="en-US" w:eastAsia="zh-CN"/>
                    </w:rPr>
                  </w:pPr>
                  <w:r>
                    <w:rPr>
                      <w:rFonts w:hint="eastAsia"/>
                      <w:color w:val="auto"/>
                      <w:sz w:val="18"/>
                      <w:szCs w:val="18"/>
                      <w:lang w:val="en-US" w:eastAsia="zh-CN"/>
                    </w:rPr>
                    <w:t>5</w:t>
                  </w:r>
                </w:p>
              </w:tc>
              <w:tc>
                <w:tcPr>
                  <w:tcW w:w="742" w:type="pct"/>
                  <w:tcBorders>
                    <w:top w:val="single" w:color="auto" w:sz="4" w:space="0"/>
                  </w:tcBorders>
                  <w:vAlign w:val="center"/>
                </w:tcPr>
                <w:p w14:paraId="4407FB30">
                  <w:pPr>
                    <w:jc w:val="center"/>
                    <w:rPr>
                      <w:rFonts w:hint="eastAsia" w:eastAsia="宋体"/>
                      <w:color w:val="auto"/>
                      <w:sz w:val="18"/>
                      <w:szCs w:val="18"/>
                      <w:lang w:val="en-US" w:eastAsia="zh-CN"/>
                    </w:rPr>
                  </w:pPr>
                  <w:r>
                    <w:rPr>
                      <w:rFonts w:hint="eastAsia"/>
                      <w:color w:val="auto"/>
                      <w:sz w:val="18"/>
                      <w:szCs w:val="18"/>
                    </w:rPr>
                    <w:t>0.00</w:t>
                  </w:r>
                  <w:r>
                    <w:rPr>
                      <w:rFonts w:hint="eastAsia"/>
                      <w:color w:val="auto"/>
                      <w:sz w:val="18"/>
                      <w:szCs w:val="18"/>
                      <w:lang w:val="en-US" w:eastAsia="zh-CN"/>
                    </w:rPr>
                    <w:t>2</w:t>
                  </w:r>
                </w:p>
              </w:tc>
            </w:tr>
            <w:tr w14:paraId="2DA98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369" w:type="pct"/>
                  <w:vAlign w:val="center"/>
                </w:tcPr>
                <w:p w14:paraId="6F9EB226">
                  <w:pPr>
                    <w:jc w:val="center"/>
                    <w:rPr>
                      <w:rFonts w:hint="eastAsia" w:eastAsia="宋体"/>
                      <w:color w:val="auto"/>
                      <w:sz w:val="18"/>
                      <w:szCs w:val="18"/>
                      <w:lang w:eastAsia="zh-CN"/>
                    </w:rPr>
                  </w:pPr>
                  <w:r>
                    <w:rPr>
                      <w:rFonts w:hint="eastAsia"/>
                      <w:color w:val="auto"/>
                      <w:sz w:val="18"/>
                      <w:szCs w:val="18"/>
                      <w:lang w:val="en-US" w:eastAsia="zh-CN"/>
                    </w:rPr>
                    <w:t>2</w:t>
                  </w:r>
                </w:p>
              </w:tc>
              <w:tc>
                <w:tcPr>
                  <w:tcW w:w="899" w:type="pct"/>
                  <w:vAlign w:val="center"/>
                </w:tcPr>
                <w:p w14:paraId="49E98F03">
                  <w:pPr>
                    <w:jc w:val="center"/>
                    <w:rPr>
                      <w:color w:val="auto"/>
                      <w:sz w:val="18"/>
                      <w:szCs w:val="18"/>
                    </w:rPr>
                  </w:pPr>
                  <w:r>
                    <w:rPr>
                      <w:color w:val="auto"/>
                      <w:sz w:val="18"/>
                      <w:szCs w:val="18"/>
                    </w:rPr>
                    <w:t>废</w:t>
                  </w:r>
                  <w:r>
                    <w:rPr>
                      <w:rFonts w:hint="eastAsia"/>
                      <w:color w:val="auto"/>
                      <w:sz w:val="18"/>
                      <w:szCs w:val="18"/>
                      <w:lang w:val="en-US" w:eastAsia="zh-CN"/>
                    </w:rPr>
                    <w:t>矿物</w:t>
                  </w:r>
                  <w:r>
                    <w:rPr>
                      <w:color w:val="auto"/>
                      <w:sz w:val="18"/>
                      <w:szCs w:val="18"/>
                    </w:rPr>
                    <w:t>油</w:t>
                  </w:r>
                </w:p>
              </w:tc>
              <w:tc>
                <w:tcPr>
                  <w:tcW w:w="643" w:type="pct"/>
                  <w:vAlign w:val="center"/>
                </w:tcPr>
                <w:p w14:paraId="6837AFFD">
                  <w:pPr>
                    <w:jc w:val="center"/>
                    <w:rPr>
                      <w:color w:val="auto"/>
                      <w:sz w:val="18"/>
                      <w:szCs w:val="18"/>
                    </w:rPr>
                  </w:pPr>
                  <w:r>
                    <w:rPr>
                      <w:rFonts w:hint="eastAsia"/>
                      <w:color w:val="auto"/>
                      <w:sz w:val="18"/>
                      <w:szCs w:val="18"/>
                    </w:rPr>
                    <w:t>-</w:t>
                  </w:r>
                </w:p>
              </w:tc>
              <w:tc>
                <w:tcPr>
                  <w:tcW w:w="534" w:type="pct"/>
                  <w:vAlign w:val="center"/>
                </w:tcPr>
                <w:p w14:paraId="649633B8">
                  <w:pPr>
                    <w:jc w:val="center"/>
                    <w:rPr>
                      <w:color w:val="auto"/>
                      <w:sz w:val="18"/>
                      <w:szCs w:val="18"/>
                    </w:rPr>
                  </w:pPr>
                  <w:r>
                    <w:rPr>
                      <w:rFonts w:hint="eastAsia"/>
                      <w:color w:val="auto"/>
                      <w:sz w:val="18"/>
                      <w:szCs w:val="18"/>
                    </w:rPr>
                    <w:t>2500</w:t>
                  </w:r>
                </w:p>
              </w:tc>
              <w:tc>
                <w:tcPr>
                  <w:tcW w:w="965" w:type="pct"/>
                  <w:tcBorders>
                    <w:top w:val="single" w:color="auto" w:sz="4" w:space="0"/>
                  </w:tcBorders>
                  <w:vAlign w:val="center"/>
                </w:tcPr>
                <w:p w14:paraId="777C4EAC">
                  <w:pPr>
                    <w:jc w:val="center"/>
                    <w:rPr>
                      <w:color w:val="auto"/>
                      <w:sz w:val="18"/>
                      <w:szCs w:val="18"/>
                    </w:rPr>
                  </w:pPr>
                  <w:r>
                    <w:rPr>
                      <w:rFonts w:hint="eastAsia"/>
                      <w:color w:val="auto"/>
                      <w:sz w:val="18"/>
                      <w:szCs w:val="18"/>
                    </w:rPr>
                    <w:t>桶装</w:t>
                  </w:r>
                </w:p>
              </w:tc>
              <w:tc>
                <w:tcPr>
                  <w:tcW w:w="843" w:type="pct"/>
                  <w:tcBorders>
                    <w:top w:val="single" w:color="auto" w:sz="4" w:space="0"/>
                  </w:tcBorders>
                  <w:vAlign w:val="center"/>
                </w:tcPr>
                <w:p w14:paraId="291A3369">
                  <w:pPr>
                    <w:jc w:val="center"/>
                    <w:rPr>
                      <w:rFonts w:hint="eastAsia" w:eastAsia="宋体"/>
                      <w:color w:val="auto"/>
                      <w:sz w:val="18"/>
                      <w:szCs w:val="18"/>
                      <w:lang w:val="en-US" w:eastAsia="zh-CN"/>
                    </w:rPr>
                  </w:pPr>
                  <w:r>
                    <w:rPr>
                      <w:rFonts w:hint="eastAsia"/>
                      <w:color w:val="auto"/>
                      <w:sz w:val="18"/>
                      <w:szCs w:val="18"/>
                    </w:rPr>
                    <w:t>0.</w:t>
                  </w:r>
                  <w:r>
                    <w:rPr>
                      <w:rFonts w:hint="eastAsia"/>
                      <w:color w:val="auto"/>
                      <w:sz w:val="18"/>
                      <w:szCs w:val="18"/>
                      <w:lang w:val="en-US" w:eastAsia="zh-CN"/>
                    </w:rPr>
                    <w:t>5</w:t>
                  </w:r>
                </w:p>
              </w:tc>
              <w:tc>
                <w:tcPr>
                  <w:tcW w:w="742" w:type="pct"/>
                  <w:tcBorders>
                    <w:top w:val="single" w:color="auto" w:sz="4" w:space="0"/>
                  </w:tcBorders>
                  <w:vAlign w:val="center"/>
                </w:tcPr>
                <w:p w14:paraId="6F482B1F">
                  <w:pPr>
                    <w:jc w:val="center"/>
                    <w:rPr>
                      <w:rFonts w:hint="eastAsia" w:eastAsia="宋体"/>
                      <w:color w:val="auto"/>
                      <w:sz w:val="18"/>
                      <w:szCs w:val="18"/>
                      <w:lang w:val="en-US" w:eastAsia="zh-CN"/>
                    </w:rPr>
                  </w:pPr>
                  <w:r>
                    <w:rPr>
                      <w:rFonts w:hint="eastAsia"/>
                      <w:color w:val="auto"/>
                      <w:sz w:val="18"/>
                      <w:szCs w:val="18"/>
                    </w:rPr>
                    <w:t>0.000</w:t>
                  </w:r>
                  <w:r>
                    <w:rPr>
                      <w:rFonts w:hint="eastAsia"/>
                      <w:color w:val="auto"/>
                      <w:sz w:val="18"/>
                      <w:szCs w:val="18"/>
                      <w:lang w:val="en-US" w:eastAsia="zh-CN"/>
                    </w:rPr>
                    <w:t>2</w:t>
                  </w:r>
                </w:p>
              </w:tc>
            </w:tr>
            <w:tr w14:paraId="1E38E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69" w:type="pct"/>
                  <w:vAlign w:val="center"/>
                </w:tcPr>
                <w:p w14:paraId="34040372">
                  <w:pPr>
                    <w:jc w:val="center"/>
                    <w:rPr>
                      <w:color w:val="auto"/>
                      <w:sz w:val="18"/>
                      <w:szCs w:val="18"/>
                    </w:rPr>
                  </w:pPr>
                </w:p>
              </w:tc>
              <w:tc>
                <w:tcPr>
                  <w:tcW w:w="899" w:type="pct"/>
                  <w:vAlign w:val="center"/>
                </w:tcPr>
                <w:p w14:paraId="3A3EFBA1">
                  <w:pPr>
                    <w:jc w:val="center"/>
                    <w:rPr>
                      <w:color w:val="auto"/>
                      <w:sz w:val="18"/>
                      <w:szCs w:val="18"/>
                    </w:rPr>
                  </w:pPr>
                  <w:r>
                    <w:rPr>
                      <w:rFonts w:hint="eastAsia"/>
                      <w:color w:val="auto"/>
                      <w:sz w:val="18"/>
                      <w:szCs w:val="18"/>
                    </w:rPr>
                    <w:t>合计</w:t>
                  </w:r>
                </w:p>
              </w:tc>
              <w:tc>
                <w:tcPr>
                  <w:tcW w:w="643" w:type="pct"/>
                  <w:vAlign w:val="center"/>
                </w:tcPr>
                <w:p w14:paraId="37A0BE5E">
                  <w:pPr>
                    <w:jc w:val="center"/>
                    <w:rPr>
                      <w:color w:val="auto"/>
                      <w:sz w:val="18"/>
                      <w:szCs w:val="18"/>
                    </w:rPr>
                  </w:pPr>
                </w:p>
              </w:tc>
              <w:tc>
                <w:tcPr>
                  <w:tcW w:w="534" w:type="pct"/>
                  <w:vAlign w:val="center"/>
                </w:tcPr>
                <w:p w14:paraId="07E3438A">
                  <w:pPr>
                    <w:jc w:val="center"/>
                    <w:rPr>
                      <w:color w:val="auto"/>
                      <w:sz w:val="18"/>
                      <w:szCs w:val="18"/>
                    </w:rPr>
                  </w:pPr>
                </w:p>
              </w:tc>
              <w:tc>
                <w:tcPr>
                  <w:tcW w:w="965" w:type="pct"/>
                  <w:vAlign w:val="center"/>
                </w:tcPr>
                <w:p w14:paraId="4EE0629B">
                  <w:pPr>
                    <w:jc w:val="center"/>
                    <w:rPr>
                      <w:color w:val="auto"/>
                      <w:sz w:val="18"/>
                      <w:szCs w:val="18"/>
                    </w:rPr>
                  </w:pPr>
                </w:p>
              </w:tc>
              <w:tc>
                <w:tcPr>
                  <w:tcW w:w="843" w:type="pct"/>
                  <w:vAlign w:val="center"/>
                </w:tcPr>
                <w:p w14:paraId="5CD0550B">
                  <w:pPr>
                    <w:jc w:val="center"/>
                    <w:rPr>
                      <w:color w:val="auto"/>
                      <w:sz w:val="18"/>
                      <w:szCs w:val="18"/>
                    </w:rPr>
                  </w:pPr>
                </w:p>
              </w:tc>
              <w:tc>
                <w:tcPr>
                  <w:tcW w:w="742" w:type="pct"/>
                  <w:vAlign w:val="center"/>
                </w:tcPr>
                <w:p w14:paraId="641D227C">
                  <w:pPr>
                    <w:jc w:val="center"/>
                    <w:rPr>
                      <w:rFonts w:hint="default"/>
                      <w:color w:val="auto"/>
                      <w:sz w:val="18"/>
                      <w:szCs w:val="18"/>
                      <w:lang w:val="en-US"/>
                    </w:rPr>
                  </w:pPr>
                  <w:r>
                    <w:rPr>
                      <w:rFonts w:hint="eastAsia"/>
                      <w:color w:val="auto"/>
                      <w:sz w:val="18"/>
                      <w:szCs w:val="18"/>
                    </w:rPr>
                    <w:t>0</w:t>
                  </w:r>
                  <w:r>
                    <w:rPr>
                      <w:rFonts w:hint="eastAsia"/>
                      <w:color w:val="auto"/>
                      <w:sz w:val="18"/>
                      <w:szCs w:val="18"/>
                      <w:lang w:val="en-US" w:eastAsia="zh-CN"/>
                    </w:rPr>
                    <w:t>.0022</w:t>
                  </w:r>
                </w:p>
              </w:tc>
            </w:tr>
          </w:tbl>
          <w:p w14:paraId="37268B51">
            <w:pPr>
              <w:spacing w:line="360" w:lineRule="auto"/>
              <w:ind w:firstLine="420" w:firstLineChars="200"/>
              <w:rPr>
                <w:rFonts w:hint="default"/>
                <w:bCs/>
                <w:color w:val="auto"/>
                <w:szCs w:val="21"/>
                <w:lang w:val="en-US" w:eastAsia="zh-CN"/>
              </w:rPr>
            </w:pPr>
            <w:r>
              <w:rPr>
                <w:rFonts w:hint="eastAsia"/>
                <w:bCs/>
                <w:color w:val="auto"/>
                <w:szCs w:val="21"/>
                <w:lang w:val="en-US" w:eastAsia="zh-CN"/>
              </w:rPr>
              <w:t>Q小于1，潜势力为Ⅰ 级，环境风险为简单分析。</w:t>
            </w:r>
          </w:p>
          <w:p w14:paraId="2D5F4BBE">
            <w:pPr>
              <w:spacing w:line="360" w:lineRule="auto"/>
              <w:ind w:firstLine="420" w:firstLineChars="200"/>
              <w:rPr>
                <w:rFonts w:hint="eastAsia"/>
                <w:bCs/>
                <w:color w:val="auto"/>
                <w:szCs w:val="21"/>
                <w:lang w:val="en-US" w:eastAsia="zh-CN"/>
              </w:rPr>
            </w:pPr>
            <w:r>
              <w:rPr>
                <w:rFonts w:hint="eastAsia"/>
                <w:bCs/>
                <w:color w:val="auto"/>
                <w:szCs w:val="21"/>
                <w:lang w:val="en-US" w:eastAsia="zh-CN"/>
              </w:rPr>
              <w:t>（2）影响途径</w:t>
            </w:r>
          </w:p>
          <w:p w14:paraId="61594009">
            <w:pPr>
              <w:spacing w:line="360" w:lineRule="auto"/>
              <w:ind w:firstLine="420" w:firstLineChars="200"/>
              <w:rPr>
                <w:rFonts w:hint="default"/>
                <w:bCs/>
                <w:color w:val="auto"/>
                <w:szCs w:val="21"/>
                <w:lang w:val="en-US" w:eastAsia="zh-CN"/>
              </w:rPr>
            </w:pPr>
            <w:r>
              <w:rPr>
                <w:rFonts w:hint="default"/>
                <w:bCs/>
                <w:color w:val="auto"/>
                <w:szCs w:val="21"/>
                <w:lang w:val="en-US" w:eastAsia="zh-CN"/>
              </w:rPr>
              <w:t xml:space="preserve"> 1</w:t>
            </w:r>
            <w:r>
              <w:rPr>
                <w:rFonts w:hint="eastAsia"/>
                <w:bCs/>
                <w:color w:val="auto"/>
                <w:szCs w:val="21"/>
                <w:lang w:val="en-US" w:eastAsia="zh-CN"/>
              </w:rPr>
              <w:t>）本项目存在风险物质为矿物油类，环境风险类型为泄漏及火灾引发的伴生</w:t>
            </w:r>
            <w:r>
              <w:rPr>
                <w:rFonts w:hint="default"/>
                <w:bCs/>
                <w:color w:val="auto"/>
                <w:szCs w:val="21"/>
                <w:lang w:val="en-US" w:eastAsia="zh-CN"/>
              </w:rPr>
              <w:t>/</w:t>
            </w:r>
            <w:r>
              <w:rPr>
                <w:rFonts w:hint="eastAsia"/>
                <w:bCs/>
                <w:color w:val="auto"/>
                <w:szCs w:val="21"/>
                <w:lang w:val="en-US" w:eastAsia="zh-CN"/>
              </w:rPr>
              <w:t>次生污染物排放；当环境风险发生时，潜在的环境影响途径有：污染物扩散进入大气、流入水体、入渗进入地下水。</w:t>
            </w:r>
            <w:r>
              <w:rPr>
                <w:rFonts w:hint="default"/>
                <w:bCs/>
                <w:color w:val="auto"/>
                <w:szCs w:val="21"/>
                <w:lang w:val="en-US" w:eastAsia="zh-CN"/>
              </w:rPr>
              <w:t xml:space="preserve"> </w:t>
            </w:r>
          </w:p>
          <w:p w14:paraId="5F73308C">
            <w:pPr>
              <w:spacing w:line="360" w:lineRule="auto"/>
              <w:ind w:firstLine="420" w:firstLineChars="200"/>
              <w:rPr>
                <w:rFonts w:hint="eastAsia"/>
                <w:bCs/>
                <w:color w:val="auto"/>
                <w:szCs w:val="21"/>
                <w:lang w:val="en-US" w:eastAsia="zh-CN"/>
              </w:rPr>
            </w:pPr>
            <w:r>
              <w:rPr>
                <w:rFonts w:hint="eastAsia"/>
                <w:bCs/>
                <w:color w:val="auto"/>
                <w:szCs w:val="21"/>
                <w:lang w:val="en-US" w:eastAsia="zh-CN"/>
              </w:rPr>
              <w:t>①对大气环境的影响</w:t>
            </w:r>
          </w:p>
          <w:p w14:paraId="7100709A">
            <w:pPr>
              <w:spacing w:line="360" w:lineRule="auto"/>
              <w:ind w:firstLine="420" w:firstLineChars="200"/>
              <w:rPr>
                <w:rFonts w:hint="eastAsia"/>
                <w:bCs/>
                <w:color w:val="auto"/>
                <w:szCs w:val="21"/>
                <w:lang w:val="en-US" w:eastAsia="zh-CN"/>
              </w:rPr>
            </w:pPr>
            <w:r>
              <w:rPr>
                <w:rFonts w:hint="eastAsia"/>
                <w:bCs/>
                <w:color w:val="auto"/>
                <w:szCs w:val="21"/>
                <w:lang w:val="en-US" w:eastAsia="zh-CN"/>
              </w:rPr>
              <w:t>泄漏情况分析：矿物油、水性漆等泄漏时，局部浓度过高，遇明火有燃烧的危险性。</w:t>
            </w:r>
          </w:p>
          <w:p w14:paraId="3492B47A">
            <w:pPr>
              <w:spacing w:line="360" w:lineRule="auto"/>
              <w:ind w:firstLine="420" w:firstLineChars="200"/>
              <w:rPr>
                <w:rFonts w:hint="eastAsia"/>
                <w:bCs/>
                <w:color w:val="auto"/>
                <w:szCs w:val="21"/>
                <w:lang w:val="en-US" w:eastAsia="zh-CN"/>
              </w:rPr>
            </w:pPr>
            <w:r>
              <w:rPr>
                <w:rFonts w:hint="eastAsia"/>
                <w:bCs/>
                <w:color w:val="auto"/>
                <w:szCs w:val="21"/>
                <w:lang w:val="en-US" w:eastAsia="zh-CN"/>
              </w:rPr>
              <w:t>燃烧情况分析：矿物油泄漏时若遇到明火、高热能引起燃烧，引发的火灾事故可在短时间内产生大量的烟气。</w:t>
            </w:r>
          </w:p>
          <w:p w14:paraId="463F8CC1">
            <w:pPr>
              <w:spacing w:line="360" w:lineRule="auto"/>
              <w:ind w:firstLine="420" w:firstLineChars="200"/>
              <w:rPr>
                <w:rFonts w:hint="eastAsia"/>
                <w:bCs/>
                <w:color w:val="auto"/>
                <w:szCs w:val="21"/>
                <w:lang w:val="en-US" w:eastAsia="zh-CN"/>
              </w:rPr>
            </w:pPr>
            <w:r>
              <w:rPr>
                <w:rFonts w:hint="default"/>
                <w:bCs/>
                <w:color w:val="auto"/>
                <w:szCs w:val="21"/>
                <w:lang w:val="en-US" w:eastAsia="zh-CN"/>
              </w:rPr>
              <w:t xml:space="preserve"> </w:t>
            </w:r>
            <w:r>
              <w:rPr>
                <w:rFonts w:hint="eastAsia"/>
                <w:bCs/>
                <w:color w:val="auto"/>
                <w:szCs w:val="21"/>
                <w:lang w:val="en-US" w:eastAsia="zh-CN"/>
              </w:rPr>
              <w:t>②对地下水、土壤环境的影响</w:t>
            </w:r>
          </w:p>
          <w:p w14:paraId="5FF9CBDA">
            <w:pPr>
              <w:spacing w:line="360" w:lineRule="auto"/>
              <w:ind w:firstLine="420" w:firstLineChars="200"/>
              <w:rPr>
                <w:rFonts w:hint="eastAsia"/>
                <w:bCs/>
                <w:color w:val="auto"/>
                <w:szCs w:val="21"/>
                <w:lang w:val="en-US" w:eastAsia="zh-CN"/>
              </w:rPr>
            </w:pPr>
            <w:r>
              <w:rPr>
                <w:rFonts w:hint="eastAsia"/>
                <w:bCs/>
                <w:color w:val="auto"/>
                <w:szCs w:val="21"/>
                <w:lang w:val="en-US" w:eastAsia="zh-CN"/>
              </w:rPr>
              <w:t>矿物油、水性漆等均采用桶装方式暂存库房，少量废矿物油暂存于危险废物贮存库内，危废贮存库地面防渗，若发生泄漏可以很快发现并及时置。矿物油、水性漆等位于仓库内，泄漏不会直接进入地表水体，但是一旦发生火灾，会产生大量消防废水若不及时清理，有毒有害物质会渗入地下，进而对土壤和地下水产生影响。</w:t>
            </w:r>
          </w:p>
          <w:p w14:paraId="19153AB3">
            <w:pPr>
              <w:spacing w:line="360" w:lineRule="auto"/>
              <w:ind w:firstLine="420" w:firstLineChars="200"/>
              <w:rPr>
                <w:rFonts w:hint="eastAsia"/>
                <w:bCs/>
                <w:color w:val="auto"/>
                <w:szCs w:val="21"/>
                <w:lang w:val="en-US" w:eastAsia="zh-CN"/>
              </w:rPr>
            </w:pPr>
            <w:r>
              <w:rPr>
                <w:rFonts w:hint="eastAsia"/>
                <w:bCs/>
                <w:color w:val="auto"/>
                <w:szCs w:val="21"/>
                <w:lang w:val="en-US" w:eastAsia="zh-CN"/>
              </w:rPr>
              <w:t>（</w:t>
            </w:r>
            <w:r>
              <w:rPr>
                <w:rFonts w:hint="default"/>
                <w:bCs/>
                <w:color w:val="auto"/>
                <w:szCs w:val="21"/>
                <w:lang w:val="en-US" w:eastAsia="zh-CN"/>
              </w:rPr>
              <w:t>3</w:t>
            </w:r>
            <w:r>
              <w:rPr>
                <w:rFonts w:hint="eastAsia"/>
                <w:bCs/>
                <w:color w:val="auto"/>
                <w:szCs w:val="21"/>
                <w:lang w:val="en-US" w:eastAsia="zh-CN"/>
              </w:rPr>
              <w:t>）环境风险分析</w:t>
            </w:r>
          </w:p>
          <w:p w14:paraId="17089D46">
            <w:pPr>
              <w:spacing w:line="360" w:lineRule="auto"/>
              <w:ind w:firstLine="420" w:firstLineChars="200"/>
              <w:rPr>
                <w:rFonts w:hint="eastAsia"/>
                <w:bCs/>
                <w:color w:val="auto"/>
                <w:szCs w:val="21"/>
                <w:lang w:val="en-US" w:eastAsia="zh-CN"/>
              </w:rPr>
            </w:pPr>
            <w:r>
              <w:rPr>
                <w:rFonts w:hint="eastAsia"/>
                <w:bCs/>
                <w:color w:val="auto"/>
                <w:szCs w:val="21"/>
                <w:lang w:val="en-US" w:eastAsia="zh-CN"/>
              </w:rPr>
              <w:t>矿物油属于易燃物料。在贮存过程中一旦发生泄漏，极易进入空气引发污染事故，甚至发生火灾，当火灾热辐射损失等级高于</w:t>
            </w:r>
            <w:r>
              <w:rPr>
                <w:rFonts w:hint="default"/>
                <w:bCs/>
                <w:color w:val="auto"/>
                <w:szCs w:val="21"/>
                <w:lang w:val="en-US" w:eastAsia="zh-CN"/>
              </w:rPr>
              <w:t>Ⅲ</w:t>
            </w:r>
            <w:r>
              <w:rPr>
                <w:rFonts w:hint="eastAsia"/>
                <w:bCs/>
                <w:color w:val="auto"/>
                <w:szCs w:val="21"/>
                <w:lang w:val="en-US" w:eastAsia="zh-CN"/>
              </w:rPr>
              <w:t>级时，将会对周围建筑物、设备造成直接的影响。由于贮存量较小，存在的环境风险也较小，且矿物油类均在厂内存放，严格控制其存放量，在建设过程中已预留消防通道，以降低贮存风险，并针对性的采取相应的事故风险防范、应急 措施，避免环境污染引发的污染纠结事件。</w:t>
            </w:r>
          </w:p>
          <w:p w14:paraId="3F400C74">
            <w:pPr>
              <w:spacing w:line="360" w:lineRule="auto"/>
              <w:ind w:firstLine="420" w:firstLineChars="200"/>
              <w:rPr>
                <w:rFonts w:hint="eastAsia"/>
                <w:bCs/>
                <w:color w:val="auto"/>
                <w:szCs w:val="21"/>
                <w:lang w:val="en-US" w:eastAsia="zh-CN"/>
              </w:rPr>
            </w:pPr>
            <w:r>
              <w:rPr>
                <w:rFonts w:hint="eastAsia"/>
                <w:bCs/>
                <w:color w:val="auto"/>
                <w:szCs w:val="21"/>
                <w:lang w:val="en-US" w:eastAsia="zh-CN"/>
              </w:rPr>
              <w:t>（</w:t>
            </w:r>
            <w:r>
              <w:rPr>
                <w:rFonts w:hint="default"/>
                <w:bCs/>
                <w:color w:val="auto"/>
                <w:szCs w:val="21"/>
                <w:lang w:val="en-US" w:eastAsia="zh-CN"/>
              </w:rPr>
              <w:t>4</w:t>
            </w:r>
            <w:r>
              <w:rPr>
                <w:rFonts w:hint="eastAsia"/>
                <w:bCs/>
                <w:color w:val="auto"/>
                <w:szCs w:val="21"/>
                <w:lang w:val="en-US" w:eastAsia="zh-CN"/>
              </w:rPr>
              <w:t>）环境风险防范措施</w:t>
            </w:r>
          </w:p>
          <w:p w14:paraId="49531689">
            <w:pPr>
              <w:spacing w:line="360" w:lineRule="auto"/>
              <w:ind w:firstLine="420" w:firstLineChars="200"/>
              <w:rPr>
                <w:rFonts w:hint="eastAsia"/>
                <w:bCs/>
                <w:color w:val="auto"/>
                <w:szCs w:val="21"/>
                <w:lang w:val="en-US" w:eastAsia="zh-CN"/>
              </w:rPr>
            </w:pPr>
            <w:r>
              <w:rPr>
                <w:rFonts w:hint="eastAsia"/>
                <w:bCs/>
                <w:color w:val="auto"/>
                <w:szCs w:val="21"/>
                <w:lang w:val="en-US" w:eastAsia="zh-CN"/>
              </w:rPr>
              <w:t>矿物油类风险防范措施</w:t>
            </w:r>
          </w:p>
          <w:p w14:paraId="6CDD16EE">
            <w:pPr>
              <w:spacing w:line="360" w:lineRule="auto"/>
              <w:ind w:firstLine="420" w:firstLineChars="200"/>
              <w:rPr>
                <w:rFonts w:hint="eastAsia"/>
                <w:bCs/>
                <w:color w:val="auto"/>
                <w:szCs w:val="21"/>
                <w:lang w:val="en-US" w:eastAsia="zh-CN"/>
              </w:rPr>
            </w:pPr>
            <w:r>
              <w:rPr>
                <w:rFonts w:hint="eastAsia"/>
                <w:bCs/>
                <w:color w:val="auto"/>
                <w:szCs w:val="21"/>
                <w:lang w:val="en-US" w:eastAsia="zh-CN"/>
              </w:rPr>
              <w:t>①矿物油必须与爆炸物品、氧化剂、易燃物品、自燃物品、腐蚀性物 品隔离贮存，满瓶与空瓶应分开整齐放置，并有明显标记，应保持直立放置，且应有防止倾倒的措施，不准放在橡胶等绝缘体上，以防静电引起事故。</w:t>
            </w:r>
          </w:p>
          <w:p w14:paraId="61BF4743">
            <w:pPr>
              <w:spacing w:line="360" w:lineRule="auto"/>
              <w:ind w:firstLine="420" w:firstLineChars="200"/>
              <w:rPr>
                <w:rFonts w:hint="eastAsia"/>
                <w:bCs/>
                <w:color w:val="auto"/>
                <w:szCs w:val="21"/>
                <w:lang w:val="en-US" w:eastAsia="zh-CN"/>
              </w:rPr>
            </w:pPr>
            <w:r>
              <w:rPr>
                <w:rFonts w:hint="eastAsia"/>
                <w:bCs/>
                <w:color w:val="auto"/>
                <w:szCs w:val="21"/>
                <w:lang w:val="en-US" w:eastAsia="zh-CN"/>
              </w:rPr>
              <w:t>②制定完善的管理制度，对各类原料、产品和固废实行严格分类管理和 进出库台账管理。</w:t>
            </w:r>
          </w:p>
          <w:p w14:paraId="76146A08">
            <w:pPr>
              <w:spacing w:line="360" w:lineRule="auto"/>
              <w:ind w:firstLine="420" w:firstLineChars="200"/>
              <w:rPr>
                <w:rFonts w:hint="default"/>
                <w:bCs/>
                <w:color w:val="auto"/>
                <w:szCs w:val="21"/>
                <w:lang w:val="en-US" w:eastAsia="zh-CN"/>
              </w:rPr>
            </w:pPr>
            <w:r>
              <w:rPr>
                <w:rFonts w:hint="eastAsia"/>
                <w:bCs/>
                <w:color w:val="auto"/>
                <w:szCs w:val="21"/>
                <w:lang w:val="en-US" w:eastAsia="zh-CN"/>
              </w:rPr>
              <w:t>另外，合理优化收集管道、转排泵的设置；厂区雨水收集暗渠的分布并可有效收集雨水汇入初期雨水收集池内，雨水排放口与管道应设置雨水截断阀。</w:t>
            </w:r>
          </w:p>
          <w:p w14:paraId="7108DFB8">
            <w:pPr>
              <w:spacing w:line="360" w:lineRule="auto"/>
              <w:ind w:firstLine="420" w:firstLineChars="200"/>
              <w:rPr>
                <w:color w:val="auto"/>
              </w:rPr>
            </w:pPr>
            <w:r>
              <w:rPr>
                <w:bCs/>
                <w:color w:val="auto"/>
                <w:szCs w:val="21"/>
              </w:rPr>
              <w:t>事故应急预案</w:t>
            </w:r>
            <w:r>
              <w:rPr>
                <w:rFonts w:hint="eastAsia"/>
                <w:bCs/>
                <w:color w:val="auto"/>
                <w:szCs w:val="21"/>
              </w:rPr>
              <w:t>大体要求</w:t>
            </w:r>
            <w:r>
              <w:rPr>
                <w:bCs/>
                <w:color w:val="auto"/>
                <w:szCs w:val="21"/>
              </w:rPr>
              <w:t>见表</w:t>
            </w:r>
            <w:r>
              <w:rPr>
                <w:rFonts w:hint="eastAsia"/>
                <w:bCs/>
                <w:color w:val="auto"/>
                <w:szCs w:val="21"/>
              </w:rPr>
              <w:t>4</w:t>
            </w:r>
            <w:r>
              <w:rPr>
                <w:rFonts w:hint="eastAsia"/>
                <w:bCs/>
                <w:color w:val="auto"/>
                <w:szCs w:val="21"/>
                <w:lang w:val="en-US" w:eastAsia="zh-CN"/>
              </w:rPr>
              <w:t>.6</w:t>
            </w:r>
            <w:r>
              <w:rPr>
                <w:rFonts w:hint="eastAsia"/>
                <w:bCs/>
                <w:color w:val="auto"/>
                <w:szCs w:val="21"/>
              </w:rPr>
              <w:t>-</w:t>
            </w:r>
            <w:r>
              <w:rPr>
                <w:rFonts w:hint="eastAsia"/>
                <w:bCs/>
                <w:color w:val="auto"/>
                <w:szCs w:val="21"/>
                <w:lang w:val="en-US" w:eastAsia="zh-CN"/>
              </w:rPr>
              <w:t>2</w:t>
            </w:r>
            <w:r>
              <w:rPr>
                <w:bCs/>
                <w:color w:val="auto"/>
                <w:szCs w:val="21"/>
              </w:rPr>
              <w:t>。</w:t>
            </w:r>
          </w:p>
          <w:p w14:paraId="4066641A">
            <w:pPr>
              <w:spacing w:line="320" w:lineRule="exact"/>
              <w:jc w:val="center"/>
              <w:rPr>
                <w:b/>
                <w:bCs/>
                <w:color w:val="auto"/>
                <w:sz w:val="18"/>
                <w:szCs w:val="18"/>
              </w:rPr>
            </w:pPr>
            <w:r>
              <w:rPr>
                <w:b/>
                <w:bCs/>
                <w:color w:val="auto"/>
                <w:sz w:val="18"/>
                <w:szCs w:val="18"/>
              </w:rPr>
              <w:t>表</w:t>
            </w:r>
            <w:r>
              <w:rPr>
                <w:rFonts w:hint="eastAsia"/>
                <w:b/>
                <w:bCs/>
                <w:color w:val="auto"/>
                <w:sz w:val="18"/>
                <w:szCs w:val="18"/>
              </w:rPr>
              <w:t>4</w:t>
            </w:r>
            <w:r>
              <w:rPr>
                <w:rFonts w:hint="eastAsia"/>
                <w:b/>
                <w:bCs/>
                <w:color w:val="auto"/>
                <w:sz w:val="18"/>
                <w:szCs w:val="18"/>
                <w:lang w:val="en-US" w:eastAsia="zh-CN"/>
              </w:rPr>
              <w:t>.6</w:t>
            </w:r>
            <w:r>
              <w:rPr>
                <w:rFonts w:hint="eastAsia"/>
                <w:b/>
                <w:bCs/>
                <w:color w:val="auto"/>
                <w:sz w:val="18"/>
                <w:szCs w:val="18"/>
              </w:rPr>
              <w:t>-</w:t>
            </w:r>
            <w:r>
              <w:rPr>
                <w:rFonts w:hint="eastAsia"/>
                <w:b/>
                <w:bCs/>
                <w:color w:val="auto"/>
                <w:sz w:val="18"/>
                <w:szCs w:val="18"/>
                <w:lang w:val="en-US" w:eastAsia="zh-CN"/>
              </w:rPr>
              <w:t>2</w:t>
            </w:r>
            <w:r>
              <w:rPr>
                <w:rFonts w:hint="eastAsia"/>
                <w:b/>
                <w:bCs/>
                <w:color w:val="auto"/>
                <w:sz w:val="18"/>
                <w:szCs w:val="18"/>
              </w:rPr>
              <w:t xml:space="preserve">    </w:t>
            </w:r>
            <w:r>
              <w:rPr>
                <w:b/>
                <w:bCs/>
                <w:color w:val="auto"/>
                <w:sz w:val="18"/>
                <w:szCs w:val="18"/>
              </w:rPr>
              <w:t>事故应急预案</w:t>
            </w:r>
            <w:r>
              <w:rPr>
                <w:rFonts w:hint="eastAsia"/>
                <w:b/>
                <w:bCs/>
                <w:color w:val="auto"/>
                <w:sz w:val="18"/>
                <w:szCs w:val="18"/>
              </w:rPr>
              <w:t>要求</w:t>
            </w:r>
          </w:p>
          <w:tbl>
            <w:tblPr>
              <w:tblStyle w:val="4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1"/>
              <w:gridCol w:w="2040"/>
              <w:gridCol w:w="5415"/>
            </w:tblGrid>
            <w:tr w14:paraId="632ED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1B0288A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序号</w:t>
                  </w:r>
                </w:p>
              </w:tc>
              <w:tc>
                <w:tcPr>
                  <w:tcW w:w="1288" w:type="pct"/>
                  <w:vAlign w:val="center"/>
                </w:tcPr>
                <w:p w14:paraId="752506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项目</w:t>
                  </w:r>
                </w:p>
              </w:tc>
              <w:tc>
                <w:tcPr>
                  <w:tcW w:w="3419" w:type="pct"/>
                  <w:vAlign w:val="center"/>
                </w:tcPr>
                <w:p w14:paraId="25DBC7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rFonts w:hint="eastAsia"/>
                      <w:bCs/>
                      <w:color w:val="auto"/>
                      <w:sz w:val="18"/>
                      <w:szCs w:val="18"/>
                      <w:lang w:eastAsia="zh-CN"/>
                    </w:rPr>
                    <w:t>突发环境事件</w:t>
                  </w:r>
                  <w:r>
                    <w:rPr>
                      <w:bCs/>
                      <w:color w:val="auto"/>
                      <w:sz w:val="18"/>
                      <w:szCs w:val="18"/>
                    </w:rPr>
                    <w:t>预案</w:t>
                  </w:r>
                </w:p>
              </w:tc>
            </w:tr>
            <w:tr w14:paraId="62DB65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1D42A2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1</w:t>
                  </w:r>
                </w:p>
              </w:tc>
              <w:tc>
                <w:tcPr>
                  <w:tcW w:w="1288" w:type="pct"/>
                  <w:vAlign w:val="center"/>
                </w:tcPr>
                <w:p w14:paraId="42D37D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应急计划区</w:t>
                  </w:r>
                </w:p>
              </w:tc>
              <w:tc>
                <w:tcPr>
                  <w:tcW w:w="3419" w:type="pct"/>
                  <w:vAlign w:val="center"/>
                </w:tcPr>
                <w:p w14:paraId="7CA96E3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宋体"/>
                      <w:bCs/>
                      <w:color w:val="auto"/>
                      <w:sz w:val="18"/>
                      <w:szCs w:val="18"/>
                      <w:lang w:val="en-US" w:eastAsia="zh-CN"/>
                    </w:rPr>
                  </w:pPr>
                  <w:r>
                    <w:rPr>
                      <w:rFonts w:hint="eastAsia"/>
                      <w:bCs/>
                      <w:color w:val="auto"/>
                      <w:sz w:val="18"/>
                      <w:szCs w:val="18"/>
                      <w:lang w:val="en-US" w:eastAsia="zh-CN"/>
                    </w:rPr>
                    <w:t>厂区</w:t>
                  </w:r>
                </w:p>
              </w:tc>
            </w:tr>
            <w:tr w14:paraId="4DCB7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7E595C1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2</w:t>
                  </w:r>
                </w:p>
              </w:tc>
              <w:tc>
                <w:tcPr>
                  <w:tcW w:w="1288" w:type="pct"/>
                  <w:vAlign w:val="center"/>
                </w:tcPr>
                <w:p w14:paraId="630884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应急组织</w:t>
                  </w:r>
                </w:p>
              </w:tc>
              <w:tc>
                <w:tcPr>
                  <w:tcW w:w="3419" w:type="pct"/>
                  <w:vAlign w:val="center"/>
                </w:tcPr>
                <w:p w14:paraId="79B40EDC">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由</w:t>
                  </w:r>
                  <w:r>
                    <w:rPr>
                      <w:rFonts w:hint="eastAsia"/>
                      <w:bCs/>
                      <w:color w:val="auto"/>
                      <w:sz w:val="18"/>
                      <w:szCs w:val="18"/>
                    </w:rPr>
                    <w:t>厂长</w:t>
                  </w:r>
                  <w:r>
                    <w:rPr>
                      <w:bCs/>
                      <w:color w:val="auto"/>
                      <w:sz w:val="18"/>
                      <w:szCs w:val="18"/>
                    </w:rPr>
                    <w:t>负责现场全面指挥，专业救援队伍负责事故控制、救援和善后处理。</w:t>
                  </w:r>
                </w:p>
              </w:tc>
            </w:tr>
            <w:tr w14:paraId="59262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1F44E2E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3</w:t>
                  </w:r>
                </w:p>
              </w:tc>
              <w:tc>
                <w:tcPr>
                  <w:tcW w:w="1288" w:type="pct"/>
                  <w:vAlign w:val="center"/>
                </w:tcPr>
                <w:p w14:paraId="0FE7F3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应急状态分类、应急响应程序</w:t>
                  </w:r>
                </w:p>
              </w:tc>
              <w:tc>
                <w:tcPr>
                  <w:tcW w:w="3419" w:type="pct"/>
                  <w:vAlign w:val="center"/>
                </w:tcPr>
                <w:p w14:paraId="53123A9A">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规定环境风险事故的级别及相应的应急状态分类，以此制定相应的应急响应程序。</w:t>
                  </w:r>
                </w:p>
              </w:tc>
            </w:tr>
            <w:tr w14:paraId="54ACD0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319D1A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4</w:t>
                  </w:r>
                </w:p>
              </w:tc>
              <w:tc>
                <w:tcPr>
                  <w:tcW w:w="1288" w:type="pct"/>
                  <w:vAlign w:val="center"/>
                </w:tcPr>
                <w:p w14:paraId="1757DE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应急救援保障</w:t>
                  </w:r>
                </w:p>
              </w:tc>
              <w:tc>
                <w:tcPr>
                  <w:tcW w:w="3419" w:type="pct"/>
                  <w:vAlign w:val="center"/>
                </w:tcPr>
                <w:p w14:paraId="51F70F45">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rFonts w:hint="eastAsia"/>
                      <w:bCs/>
                      <w:color w:val="auto"/>
                      <w:sz w:val="18"/>
                      <w:szCs w:val="18"/>
                      <w:lang w:eastAsia="zh-CN"/>
                    </w:rPr>
                    <w:t>车间、</w:t>
                  </w:r>
                  <w:r>
                    <w:rPr>
                      <w:rFonts w:hint="eastAsia"/>
                      <w:bCs/>
                      <w:color w:val="auto"/>
                      <w:sz w:val="18"/>
                      <w:szCs w:val="18"/>
                      <w:lang w:val="en-US" w:eastAsia="zh-CN"/>
                    </w:rPr>
                    <w:t>仓库</w:t>
                  </w:r>
                  <w:r>
                    <w:rPr>
                      <w:rFonts w:hint="eastAsia"/>
                      <w:bCs/>
                      <w:color w:val="auto"/>
                      <w:sz w:val="18"/>
                      <w:szCs w:val="18"/>
                      <w:lang w:eastAsia="zh-CN"/>
                    </w:rPr>
                    <w:t>等</w:t>
                  </w:r>
                  <w:r>
                    <w:rPr>
                      <w:rFonts w:hint="eastAsia"/>
                      <w:bCs/>
                      <w:color w:val="auto"/>
                      <w:sz w:val="18"/>
                      <w:szCs w:val="18"/>
                    </w:rPr>
                    <w:t>：</w:t>
                  </w:r>
                  <w:r>
                    <w:rPr>
                      <w:bCs/>
                      <w:color w:val="auto"/>
                      <w:sz w:val="18"/>
                      <w:szCs w:val="18"/>
                    </w:rPr>
                    <w:t>防火灾事故的应急设施、设备与材料，主要为消防器材、消防服等；人员急救所用的一些药品、器材。</w:t>
                  </w:r>
                </w:p>
                <w:p w14:paraId="0FAA3002">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邻近地区：火灾应急设施与材料，烧伤、中毒人员急救所用一些药品、器材。</w:t>
                  </w:r>
                </w:p>
              </w:tc>
            </w:tr>
            <w:tr w14:paraId="498FE8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174A44D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5</w:t>
                  </w:r>
                </w:p>
              </w:tc>
              <w:tc>
                <w:tcPr>
                  <w:tcW w:w="1288" w:type="pct"/>
                  <w:vAlign w:val="center"/>
                </w:tcPr>
                <w:p w14:paraId="478A11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报警、通讯联络方式</w:t>
                  </w:r>
                </w:p>
              </w:tc>
              <w:tc>
                <w:tcPr>
                  <w:tcW w:w="3419" w:type="pct"/>
                  <w:vAlign w:val="center"/>
                </w:tcPr>
                <w:p w14:paraId="21837F95">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规定应急状态下的报警通讯方式、通知方式和交通保障管制</w:t>
                  </w:r>
                </w:p>
              </w:tc>
            </w:tr>
            <w:tr w14:paraId="1D94BC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 w:hRule="atLeast"/>
              </w:trPr>
              <w:tc>
                <w:tcPr>
                  <w:tcW w:w="291" w:type="pct"/>
                  <w:vAlign w:val="center"/>
                </w:tcPr>
                <w:p w14:paraId="5DC6AB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6</w:t>
                  </w:r>
                </w:p>
              </w:tc>
              <w:tc>
                <w:tcPr>
                  <w:tcW w:w="1288" w:type="pct"/>
                  <w:vAlign w:val="center"/>
                </w:tcPr>
                <w:p w14:paraId="68E0C8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应急环境监测、抢险、救援及控制措施</w:t>
                  </w:r>
                </w:p>
              </w:tc>
              <w:tc>
                <w:tcPr>
                  <w:tcW w:w="3419" w:type="pct"/>
                  <w:vAlign w:val="center"/>
                </w:tcPr>
                <w:p w14:paraId="69F95DB0">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由专业人员对环境风险事故现场进行应急监测，对事故性质、严重程度等所造成的环境危害后果进行评估，吸取经验教训避免再次发生事故，为指挥部门提供决策依据。</w:t>
                  </w:r>
                </w:p>
              </w:tc>
            </w:tr>
            <w:tr w14:paraId="04751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atLeast"/>
              </w:trPr>
              <w:tc>
                <w:tcPr>
                  <w:tcW w:w="291" w:type="pct"/>
                  <w:vAlign w:val="center"/>
                </w:tcPr>
                <w:p w14:paraId="3AF9D9F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7</w:t>
                  </w:r>
                </w:p>
              </w:tc>
              <w:tc>
                <w:tcPr>
                  <w:tcW w:w="1288" w:type="pct"/>
                  <w:vAlign w:val="center"/>
                </w:tcPr>
                <w:p w14:paraId="468D84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应急防护措施、消除泄漏措施及使用器材</w:t>
                  </w:r>
                </w:p>
              </w:tc>
              <w:tc>
                <w:tcPr>
                  <w:tcW w:w="3419" w:type="pct"/>
                  <w:vAlign w:val="center"/>
                </w:tcPr>
                <w:p w14:paraId="778FFF38">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事故现场：控制事故发展，防止扩大、蔓延及连锁反应；消除现场泄漏物，降低危害；相应的设施器材配备。</w:t>
                  </w:r>
                </w:p>
                <w:p w14:paraId="38ADB6A6">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邻近地区：控制防火区域，控制和消除环境污染的措施及相应的设备配备。</w:t>
                  </w:r>
                </w:p>
              </w:tc>
            </w:tr>
            <w:tr w14:paraId="735F66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trPr>
              <w:tc>
                <w:tcPr>
                  <w:tcW w:w="291" w:type="pct"/>
                  <w:vAlign w:val="center"/>
                </w:tcPr>
                <w:p w14:paraId="351664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8</w:t>
                  </w:r>
                </w:p>
              </w:tc>
              <w:tc>
                <w:tcPr>
                  <w:tcW w:w="1288" w:type="pct"/>
                  <w:vAlign w:val="center"/>
                </w:tcPr>
                <w:p w14:paraId="40722F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应急剂量控制、撤离组织计划</w:t>
                  </w:r>
                </w:p>
              </w:tc>
              <w:tc>
                <w:tcPr>
                  <w:tcW w:w="3419" w:type="pct"/>
                  <w:vAlign w:val="center"/>
                </w:tcPr>
                <w:p w14:paraId="652B80EC">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事故现场：控制事故发展，防止扩大、蔓延及连锁反应；及时抽空泄漏</w:t>
                  </w:r>
                  <w:r>
                    <w:rPr>
                      <w:rFonts w:hint="eastAsia"/>
                      <w:bCs/>
                      <w:color w:val="auto"/>
                      <w:sz w:val="18"/>
                      <w:szCs w:val="18"/>
                    </w:rPr>
                    <w:t>设施</w:t>
                  </w:r>
                  <w:r>
                    <w:rPr>
                      <w:bCs/>
                      <w:color w:val="auto"/>
                      <w:sz w:val="18"/>
                      <w:szCs w:val="18"/>
                    </w:rPr>
                    <w:t>的</w:t>
                  </w:r>
                  <w:r>
                    <w:rPr>
                      <w:rFonts w:hint="eastAsia"/>
                      <w:bCs/>
                      <w:color w:val="auto"/>
                      <w:sz w:val="18"/>
                      <w:szCs w:val="18"/>
                    </w:rPr>
                    <w:t>泄漏物质</w:t>
                  </w:r>
                  <w:r>
                    <w:rPr>
                      <w:bCs/>
                      <w:color w:val="auto"/>
                      <w:sz w:val="18"/>
                      <w:szCs w:val="18"/>
                    </w:rPr>
                    <w:t>，并清理渗漏在防渗层的油品，降低危害；相应的设施器材配备。</w:t>
                  </w:r>
                </w:p>
                <w:p w14:paraId="02099B3D">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邻近地区：控制防火区域，控制和消除环境污染的措施及相应的设备配备。</w:t>
                  </w:r>
                </w:p>
              </w:tc>
            </w:tr>
            <w:tr w14:paraId="169DF3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1" w:hRule="atLeast"/>
              </w:trPr>
              <w:tc>
                <w:tcPr>
                  <w:tcW w:w="291" w:type="pct"/>
                  <w:vAlign w:val="center"/>
                </w:tcPr>
                <w:p w14:paraId="1E3DB3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9</w:t>
                  </w:r>
                </w:p>
              </w:tc>
              <w:tc>
                <w:tcPr>
                  <w:tcW w:w="1288" w:type="pct"/>
                  <w:vAlign w:val="center"/>
                </w:tcPr>
                <w:p w14:paraId="3EEDF1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应急状态中止与恢复措施</w:t>
                  </w:r>
                </w:p>
              </w:tc>
              <w:tc>
                <w:tcPr>
                  <w:tcW w:w="3419" w:type="pct"/>
                  <w:vAlign w:val="center"/>
                </w:tcPr>
                <w:p w14:paraId="4066FB87">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事故现场：规定应急状态中止程序；事故现场善后处理，恢复正常运营措施。</w:t>
                  </w:r>
                </w:p>
                <w:p w14:paraId="23F0B44B">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邻近地区：解除事故警戒、公众返回和善后恢复措施。</w:t>
                  </w:r>
                </w:p>
              </w:tc>
            </w:tr>
            <w:tr w14:paraId="3CBFE5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9" w:hRule="atLeast"/>
              </w:trPr>
              <w:tc>
                <w:tcPr>
                  <w:tcW w:w="291" w:type="pct"/>
                  <w:vAlign w:val="center"/>
                </w:tcPr>
                <w:p w14:paraId="6289BAE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10</w:t>
                  </w:r>
                </w:p>
              </w:tc>
              <w:tc>
                <w:tcPr>
                  <w:tcW w:w="1288" w:type="pct"/>
                  <w:vAlign w:val="center"/>
                </w:tcPr>
                <w:p w14:paraId="71277D4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应急培训计划</w:t>
                  </w:r>
                </w:p>
              </w:tc>
              <w:tc>
                <w:tcPr>
                  <w:tcW w:w="3419" w:type="pct"/>
                  <w:vAlign w:val="center"/>
                </w:tcPr>
                <w:p w14:paraId="166A4452">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应急计划制定后，平时应安排事故处理人员进行相关知识培训，进行事故应急处理演练；加强员工的安全教育。</w:t>
                  </w:r>
                </w:p>
              </w:tc>
            </w:tr>
            <w:tr w14:paraId="39DD8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trPr>
              <w:tc>
                <w:tcPr>
                  <w:tcW w:w="291" w:type="pct"/>
                  <w:vAlign w:val="center"/>
                </w:tcPr>
                <w:p w14:paraId="416B8D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11</w:t>
                  </w:r>
                </w:p>
              </w:tc>
              <w:tc>
                <w:tcPr>
                  <w:tcW w:w="1288" w:type="pct"/>
                  <w:vAlign w:val="center"/>
                </w:tcPr>
                <w:p w14:paraId="4750B5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公众教育和信息</w:t>
                  </w:r>
                </w:p>
              </w:tc>
              <w:tc>
                <w:tcPr>
                  <w:tcW w:w="3419" w:type="pct"/>
                  <w:vAlign w:val="center"/>
                </w:tcPr>
                <w:p w14:paraId="2E62A241">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对</w:t>
                  </w:r>
                  <w:r>
                    <w:rPr>
                      <w:rFonts w:hint="eastAsia"/>
                      <w:bCs/>
                      <w:color w:val="auto"/>
                      <w:sz w:val="18"/>
                      <w:szCs w:val="18"/>
                    </w:rPr>
                    <w:t>车间</w:t>
                  </w:r>
                  <w:r>
                    <w:rPr>
                      <w:bCs/>
                      <w:color w:val="auto"/>
                      <w:sz w:val="18"/>
                      <w:szCs w:val="18"/>
                    </w:rPr>
                    <w:t>、邻近地区公众开展环境风险事故预防教育、应急知识培训，并定期发布相关信息。</w:t>
                  </w:r>
                </w:p>
              </w:tc>
            </w:tr>
            <w:tr w14:paraId="30E0C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trPr>
              <w:tc>
                <w:tcPr>
                  <w:tcW w:w="291" w:type="pct"/>
                  <w:vAlign w:val="center"/>
                </w:tcPr>
                <w:p w14:paraId="79A0FC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12</w:t>
                  </w:r>
                </w:p>
              </w:tc>
              <w:tc>
                <w:tcPr>
                  <w:tcW w:w="1288" w:type="pct"/>
                  <w:vAlign w:val="center"/>
                </w:tcPr>
                <w:p w14:paraId="4B6017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Cs/>
                      <w:color w:val="auto"/>
                      <w:sz w:val="18"/>
                      <w:szCs w:val="18"/>
                    </w:rPr>
                  </w:pPr>
                  <w:r>
                    <w:rPr>
                      <w:bCs/>
                      <w:color w:val="auto"/>
                      <w:sz w:val="18"/>
                      <w:szCs w:val="18"/>
                    </w:rPr>
                    <w:t>记录和报告</w:t>
                  </w:r>
                </w:p>
              </w:tc>
              <w:tc>
                <w:tcPr>
                  <w:tcW w:w="3419" w:type="pct"/>
                  <w:vAlign w:val="center"/>
                </w:tcPr>
                <w:p w14:paraId="145B15A9">
                  <w:pPr>
                    <w:keepNext w:val="0"/>
                    <w:keepLines w:val="0"/>
                    <w:pageBreakBefore w:val="0"/>
                    <w:widowControl w:val="0"/>
                    <w:kinsoku/>
                    <w:wordWrap/>
                    <w:overflowPunct/>
                    <w:topLinePunct w:val="0"/>
                    <w:autoSpaceDE/>
                    <w:autoSpaceDN/>
                    <w:bidi w:val="0"/>
                    <w:adjustRightInd/>
                    <w:snapToGrid/>
                    <w:spacing w:line="240" w:lineRule="exact"/>
                    <w:textAlignment w:val="auto"/>
                    <w:rPr>
                      <w:bCs/>
                      <w:color w:val="auto"/>
                      <w:sz w:val="18"/>
                      <w:szCs w:val="18"/>
                    </w:rPr>
                  </w:pPr>
                  <w:r>
                    <w:rPr>
                      <w:bCs/>
                      <w:color w:val="auto"/>
                      <w:sz w:val="18"/>
                      <w:szCs w:val="18"/>
                    </w:rPr>
                    <w:t>设应急事故专门记录，建立档案和报告制度，设专门部门负责管理。</w:t>
                  </w:r>
                </w:p>
              </w:tc>
            </w:tr>
          </w:tbl>
          <w:p w14:paraId="068A024D">
            <w:pPr>
              <w:spacing w:line="360" w:lineRule="auto"/>
              <w:ind w:firstLine="420" w:firstLineChars="200"/>
              <w:jc w:val="left"/>
              <w:rPr>
                <w:bCs/>
                <w:color w:val="auto"/>
                <w:szCs w:val="21"/>
              </w:rPr>
            </w:pPr>
            <w:r>
              <w:rPr>
                <w:rFonts w:hint="eastAsia"/>
                <w:bCs/>
                <w:color w:val="auto"/>
                <w:szCs w:val="21"/>
                <w:lang w:val="en-US" w:eastAsia="zh-CN"/>
              </w:rPr>
              <w:t>综上，在采取相应的风险防范措施防治后，本项目运营期的环境风险可降到最低。</w:t>
            </w:r>
          </w:p>
          <w:p w14:paraId="65C47372">
            <w:pPr>
              <w:spacing w:line="360" w:lineRule="auto"/>
              <w:ind w:firstLine="422" w:firstLineChars="200"/>
              <w:rPr>
                <w:rFonts w:hint="default"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4.</w:t>
            </w:r>
            <w:r>
              <w:rPr>
                <w:rFonts w:hint="eastAsia" w:cs="Times New Roman"/>
                <w:b/>
                <w:bCs/>
                <w:color w:val="auto"/>
                <w:szCs w:val="21"/>
                <w:lang w:val="en-US" w:eastAsia="zh-CN"/>
              </w:rPr>
              <w:t>7</w:t>
            </w:r>
            <w:r>
              <w:rPr>
                <w:rFonts w:hint="eastAsia" w:ascii="Times New Roman" w:hAnsi="Times New Roman" w:eastAsia="宋体" w:cs="Times New Roman"/>
                <w:b/>
                <w:bCs/>
                <w:color w:val="auto"/>
                <w:szCs w:val="21"/>
                <w:lang w:val="en-US" w:eastAsia="zh-CN"/>
              </w:rPr>
              <w:t>监测计划</w:t>
            </w:r>
          </w:p>
          <w:p w14:paraId="7296CD23">
            <w:pPr>
              <w:spacing w:line="360" w:lineRule="auto"/>
              <w:ind w:firstLine="420" w:firstLineChars="200"/>
              <w:jc w:val="left"/>
              <w:rPr>
                <w:rFonts w:hint="eastAsia"/>
                <w:bCs/>
                <w:color w:val="auto"/>
                <w:szCs w:val="21"/>
                <w:lang w:val="en-US" w:eastAsia="zh-CN"/>
              </w:rPr>
            </w:pPr>
            <w:r>
              <w:rPr>
                <w:rFonts w:hint="eastAsia"/>
                <w:bCs/>
                <w:color w:val="auto"/>
                <w:szCs w:val="21"/>
                <w:lang w:val="en-US" w:eastAsia="zh-CN"/>
              </w:rPr>
              <w:t>根据调查，现有工程运营期污染源监测计划如下表所示：</w:t>
            </w:r>
          </w:p>
          <w:p w14:paraId="25B0F8B0">
            <w:pPr>
              <w:pStyle w:val="155"/>
              <w:spacing w:before="0" w:after="0" w:line="240" w:lineRule="auto"/>
              <w:rPr>
                <w:color w:val="auto"/>
                <w:sz w:val="18"/>
                <w:szCs w:val="18"/>
              </w:rPr>
            </w:pPr>
            <w:r>
              <w:rPr>
                <w:color w:val="auto"/>
                <w:sz w:val="18"/>
                <w:szCs w:val="18"/>
              </w:rPr>
              <w:t>表4</w:t>
            </w:r>
            <w:r>
              <w:rPr>
                <w:rFonts w:hint="eastAsia"/>
                <w:color w:val="auto"/>
                <w:sz w:val="18"/>
                <w:szCs w:val="18"/>
                <w:lang w:val="en-US" w:eastAsia="zh-CN"/>
              </w:rPr>
              <w:t>.7</w:t>
            </w:r>
            <w:r>
              <w:rPr>
                <w:color w:val="auto"/>
                <w:sz w:val="18"/>
                <w:szCs w:val="18"/>
              </w:rPr>
              <w:t>-</w:t>
            </w:r>
            <w:r>
              <w:rPr>
                <w:rFonts w:hint="eastAsia"/>
                <w:color w:val="auto"/>
                <w:sz w:val="18"/>
                <w:szCs w:val="18"/>
                <w:lang w:val="en-US" w:eastAsia="zh-CN"/>
              </w:rPr>
              <w:t xml:space="preserve">1 </w:t>
            </w:r>
            <w:r>
              <w:rPr>
                <w:color w:val="auto"/>
                <w:sz w:val="18"/>
                <w:szCs w:val="18"/>
              </w:rPr>
              <w:t xml:space="preserve"> </w:t>
            </w:r>
            <w:r>
              <w:rPr>
                <w:rFonts w:hint="eastAsia"/>
                <w:color w:val="auto"/>
                <w:sz w:val="18"/>
                <w:szCs w:val="18"/>
              </w:rPr>
              <w:t xml:space="preserve">  </w:t>
            </w:r>
            <w:r>
              <w:rPr>
                <w:rFonts w:hint="eastAsia"/>
                <w:color w:val="auto"/>
                <w:sz w:val="18"/>
                <w:szCs w:val="18"/>
                <w:lang w:val="en-US" w:eastAsia="zh-CN"/>
              </w:rPr>
              <w:t>现有工程</w:t>
            </w:r>
            <w:r>
              <w:rPr>
                <w:color w:val="auto"/>
                <w:sz w:val="18"/>
                <w:szCs w:val="18"/>
              </w:rPr>
              <w:t>运营期</w:t>
            </w:r>
            <w:r>
              <w:rPr>
                <w:rFonts w:hint="eastAsia"/>
                <w:color w:val="auto"/>
                <w:sz w:val="18"/>
                <w:szCs w:val="18"/>
                <w:lang w:val="en-US" w:eastAsia="zh-CN"/>
              </w:rPr>
              <w:t>污染源</w:t>
            </w:r>
            <w:r>
              <w:rPr>
                <w:color w:val="auto"/>
                <w:sz w:val="18"/>
                <w:szCs w:val="18"/>
              </w:rPr>
              <w:t>监测计划</w:t>
            </w:r>
          </w:p>
          <w:tbl>
            <w:tblPr>
              <w:tblStyle w:val="379"/>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85"/>
              <w:gridCol w:w="827"/>
              <w:gridCol w:w="1530"/>
              <w:gridCol w:w="1479"/>
              <w:gridCol w:w="3073"/>
              <w:gridCol w:w="722"/>
            </w:tblGrid>
            <w:tr w14:paraId="4C7EB0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15" w:hRule="atLeast"/>
              </w:trPr>
              <w:tc>
                <w:tcPr>
                  <w:tcW w:w="180" w:type="pct"/>
                  <w:tcBorders>
                    <w:tl2br w:val="nil"/>
                    <w:tr2bl w:val="nil"/>
                  </w:tcBorders>
                  <w:vAlign w:val="center"/>
                </w:tcPr>
                <w:p w14:paraId="114AF26B">
                  <w:pPr>
                    <w:snapToGrid w:val="0"/>
                    <w:jc w:val="center"/>
                    <w:rPr>
                      <w:rFonts w:hint="eastAsia"/>
                      <w:color w:val="auto"/>
                      <w:sz w:val="18"/>
                      <w:szCs w:val="18"/>
                    </w:rPr>
                  </w:pPr>
                  <w:r>
                    <w:rPr>
                      <w:rFonts w:hint="eastAsia"/>
                      <w:color w:val="auto"/>
                      <w:sz w:val="18"/>
                      <w:szCs w:val="18"/>
                    </w:rPr>
                    <w:t>污染源</w:t>
                  </w:r>
                </w:p>
              </w:tc>
              <w:tc>
                <w:tcPr>
                  <w:tcW w:w="522" w:type="pct"/>
                  <w:tcBorders>
                    <w:tl2br w:val="nil"/>
                    <w:tr2bl w:val="nil"/>
                  </w:tcBorders>
                  <w:vAlign w:val="center"/>
                </w:tcPr>
                <w:p w14:paraId="24F68EBF">
                  <w:pPr>
                    <w:snapToGrid w:val="0"/>
                    <w:jc w:val="center"/>
                    <w:rPr>
                      <w:rFonts w:hint="eastAsia"/>
                      <w:color w:val="auto"/>
                      <w:sz w:val="18"/>
                      <w:szCs w:val="18"/>
                    </w:rPr>
                  </w:pPr>
                  <w:r>
                    <w:rPr>
                      <w:rFonts w:hint="eastAsia"/>
                      <w:color w:val="auto"/>
                      <w:sz w:val="18"/>
                      <w:szCs w:val="18"/>
                    </w:rPr>
                    <w:t>监测点位</w:t>
                  </w:r>
                </w:p>
              </w:tc>
              <w:tc>
                <w:tcPr>
                  <w:tcW w:w="966" w:type="pct"/>
                  <w:tcBorders>
                    <w:tl2br w:val="nil"/>
                    <w:tr2bl w:val="nil"/>
                  </w:tcBorders>
                  <w:vAlign w:val="center"/>
                </w:tcPr>
                <w:p w14:paraId="3E0FDDCA">
                  <w:pPr>
                    <w:snapToGrid w:val="0"/>
                    <w:jc w:val="center"/>
                    <w:rPr>
                      <w:rFonts w:hint="eastAsia"/>
                      <w:color w:val="auto"/>
                      <w:sz w:val="18"/>
                      <w:szCs w:val="18"/>
                    </w:rPr>
                  </w:pPr>
                  <w:r>
                    <w:rPr>
                      <w:rFonts w:hint="eastAsia"/>
                      <w:color w:val="auto"/>
                      <w:sz w:val="18"/>
                      <w:szCs w:val="18"/>
                    </w:rPr>
                    <w:t>监测项目</w:t>
                  </w:r>
                </w:p>
              </w:tc>
              <w:tc>
                <w:tcPr>
                  <w:tcW w:w="934" w:type="pct"/>
                  <w:tcBorders>
                    <w:right w:val="single" w:color="auto" w:sz="4" w:space="0"/>
                    <w:tl2br w:val="nil"/>
                    <w:tr2bl w:val="nil"/>
                  </w:tcBorders>
                  <w:vAlign w:val="center"/>
                </w:tcPr>
                <w:p w14:paraId="308BCDB5">
                  <w:pPr>
                    <w:snapToGrid w:val="0"/>
                    <w:jc w:val="center"/>
                    <w:rPr>
                      <w:rFonts w:hint="eastAsia"/>
                      <w:color w:val="auto"/>
                      <w:sz w:val="18"/>
                      <w:szCs w:val="18"/>
                    </w:rPr>
                  </w:pPr>
                  <w:r>
                    <w:rPr>
                      <w:rFonts w:hint="eastAsia"/>
                      <w:color w:val="auto"/>
                      <w:sz w:val="18"/>
                      <w:szCs w:val="18"/>
                    </w:rPr>
                    <w:t>监测频率</w:t>
                  </w:r>
                </w:p>
              </w:tc>
              <w:tc>
                <w:tcPr>
                  <w:tcW w:w="1940" w:type="pct"/>
                  <w:tcBorders>
                    <w:left w:val="single" w:color="auto" w:sz="4" w:space="0"/>
                    <w:tl2br w:val="nil"/>
                    <w:tr2bl w:val="nil"/>
                  </w:tcBorders>
                  <w:vAlign w:val="center"/>
                </w:tcPr>
                <w:p w14:paraId="01FC6C8A">
                  <w:pPr>
                    <w:snapToGrid w:val="0"/>
                    <w:jc w:val="center"/>
                    <w:rPr>
                      <w:rFonts w:hint="default" w:eastAsia="宋体"/>
                      <w:color w:val="auto"/>
                      <w:sz w:val="18"/>
                      <w:szCs w:val="18"/>
                      <w:lang w:val="en-US" w:eastAsia="zh-CN"/>
                    </w:rPr>
                  </w:pPr>
                  <w:r>
                    <w:rPr>
                      <w:rFonts w:hint="eastAsia"/>
                      <w:color w:val="auto"/>
                      <w:sz w:val="18"/>
                      <w:szCs w:val="18"/>
                      <w:lang w:val="en-US" w:eastAsia="zh-CN"/>
                    </w:rPr>
                    <w:t>执行标准</w:t>
                  </w:r>
                </w:p>
              </w:tc>
              <w:tc>
                <w:tcPr>
                  <w:tcW w:w="456" w:type="pct"/>
                  <w:tcBorders>
                    <w:tl2br w:val="nil"/>
                    <w:tr2bl w:val="nil"/>
                  </w:tcBorders>
                  <w:vAlign w:val="center"/>
                </w:tcPr>
                <w:p w14:paraId="67B4343E">
                  <w:pPr>
                    <w:snapToGrid w:val="0"/>
                    <w:jc w:val="center"/>
                    <w:rPr>
                      <w:rFonts w:hint="eastAsia"/>
                      <w:color w:val="auto"/>
                      <w:sz w:val="18"/>
                      <w:szCs w:val="18"/>
                    </w:rPr>
                  </w:pPr>
                  <w:r>
                    <w:rPr>
                      <w:rFonts w:hint="eastAsia"/>
                      <w:color w:val="auto"/>
                      <w:sz w:val="18"/>
                      <w:szCs w:val="18"/>
                    </w:rPr>
                    <w:t>监测</w:t>
                  </w:r>
                </w:p>
                <w:p w14:paraId="64199C1C">
                  <w:pPr>
                    <w:snapToGrid w:val="0"/>
                    <w:jc w:val="center"/>
                    <w:rPr>
                      <w:rFonts w:hint="eastAsia"/>
                      <w:color w:val="auto"/>
                      <w:sz w:val="18"/>
                      <w:szCs w:val="18"/>
                    </w:rPr>
                  </w:pPr>
                  <w:r>
                    <w:rPr>
                      <w:rFonts w:hint="eastAsia"/>
                      <w:color w:val="auto"/>
                      <w:sz w:val="18"/>
                      <w:szCs w:val="18"/>
                    </w:rPr>
                    <w:t>单位</w:t>
                  </w:r>
                </w:p>
              </w:tc>
            </w:tr>
            <w:tr w14:paraId="308464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180" w:type="pct"/>
                  <w:vMerge w:val="restart"/>
                  <w:tcBorders>
                    <w:tl2br w:val="nil"/>
                    <w:tr2bl w:val="nil"/>
                  </w:tcBorders>
                  <w:vAlign w:val="center"/>
                </w:tcPr>
                <w:p w14:paraId="36F7C625">
                  <w:pPr>
                    <w:snapToGrid w:val="0"/>
                    <w:jc w:val="center"/>
                    <w:rPr>
                      <w:rFonts w:hint="eastAsia"/>
                      <w:color w:val="auto"/>
                      <w:sz w:val="18"/>
                      <w:szCs w:val="18"/>
                    </w:rPr>
                  </w:pPr>
                </w:p>
                <w:p w14:paraId="42833B6D">
                  <w:pPr>
                    <w:snapToGrid w:val="0"/>
                    <w:jc w:val="center"/>
                    <w:rPr>
                      <w:rFonts w:hint="eastAsia"/>
                      <w:color w:val="auto"/>
                      <w:sz w:val="18"/>
                      <w:szCs w:val="18"/>
                    </w:rPr>
                  </w:pPr>
                </w:p>
                <w:p w14:paraId="490C2863">
                  <w:pPr>
                    <w:snapToGrid w:val="0"/>
                    <w:jc w:val="center"/>
                    <w:rPr>
                      <w:rFonts w:hint="eastAsia"/>
                      <w:color w:val="auto"/>
                      <w:sz w:val="18"/>
                      <w:szCs w:val="18"/>
                    </w:rPr>
                  </w:pPr>
                </w:p>
                <w:p w14:paraId="121C1EB4">
                  <w:pPr>
                    <w:snapToGrid w:val="0"/>
                    <w:jc w:val="center"/>
                    <w:rPr>
                      <w:rFonts w:hint="eastAsia"/>
                      <w:color w:val="auto"/>
                      <w:sz w:val="18"/>
                      <w:szCs w:val="18"/>
                    </w:rPr>
                  </w:pPr>
                </w:p>
                <w:p w14:paraId="425F4AF6">
                  <w:pPr>
                    <w:snapToGrid w:val="0"/>
                    <w:jc w:val="center"/>
                    <w:rPr>
                      <w:rFonts w:hint="eastAsia"/>
                      <w:color w:val="auto"/>
                      <w:sz w:val="18"/>
                      <w:szCs w:val="18"/>
                    </w:rPr>
                  </w:pPr>
                </w:p>
                <w:p w14:paraId="663A292A">
                  <w:pPr>
                    <w:snapToGrid w:val="0"/>
                    <w:jc w:val="center"/>
                    <w:rPr>
                      <w:rFonts w:hint="eastAsia"/>
                      <w:color w:val="auto"/>
                      <w:sz w:val="18"/>
                      <w:szCs w:val="18"/>
                    </w:rPr>
                  </w:pPr>
                </w:p>
                <w:p w14:paraId="70A3FCA8">
                  <w:pPr>
                    <w:snapToGrid w:val="0"/>
                    <w:jc w:val="center"/>
                    <w:rPr>
                      <w:rFonts w:hint="eastAsia"/>
                      <w:color w:val="auto"/>
                      <w:sz w:val="18"/>
                      <w:szCs w:val="18"/>
                    </w:rPr>
                  </w:pPr>
                </w:p>
                <w:p w14:paraId="23B836B2">
                  <w:pPr>
                    <w:snapToGrid w:val="0"/>
                    <w:jc w:val="center"/>
                    <w:rPr>
                      <w:rFonts w:hint="eastAsia"/>
                      <w:color w:val="auto"/>
                      <w:sz w:val="18"/>
                      <w:szCs w:val="18"/>
                    </w:rPr>
                  </w:pPr>
                </w:p>
                <w:p w14:paraId="25903CAC">
                  <w:pPr>
                    <w:snapToGrid w:val="0"/>
                    <w:jc w:val="center"/>
                    <w:rPr>
                      <w:rFonts w:hint="eastAsia"/>
                      <w:color w:val="auto"/>
                      <w:sz w:val="18"/>
                      <w:szCs w:val="18"/>
                    </w:rPr>
                  </w:pPr>
                  <w:r>
                    <w:rPr>
                      <w:rFonts w:hint="eastAsia"/>
                      <w:color w:val="auto"/>
                      <w:sz w:val="18"/>
                      <w:szCs w:val="18"/>
                    </w:rPr>
                    <w:t>废气</w:t>
                  </w:r>
                </w:p>
              </w:tc>
              <w:tc>
                <w:tcPr>
                  <w:tcW w:w="522" w:type="pct"/>
                  <w:tcBorders>
                    <w:tl2br w:val="nil"/>
                    <w:tr2bl w:val="nil"/>
                  </w:tcBorders>
                  <w:vAlign w:val="center"/>
                </w:tcPr>
                <w:p w14:paraId="7BE2C2F3">
                  <w:pPr>
                    <w:snapToGrid w:val="0"/>
                    <w:jc w:val="center"/>
                    <w:rPr>
                      <w:rFonts w:hint="default" w:eastAsia="宋体"/>
                      <w:color w:val="auto"/>
                      <w:sz w:val="18"/>
                      <w:szCs w:val="18"/>
                      <w:lang w:val="en-US" w:eastAsia="zh-CN"/>
                    </w:rPr>
                  </w:pPr>
                  <w:r>
                    <w:rPr>
                      <w:rFonts w:hint="eastAsia"/>
                      <w:color w:val="auto"/>
                      <w:sz w:val="18"/>
                      <w:szCs w:val="18"/>
                      <w:lang w:val="en-US" w:eastAsia="zh-CN"/>
                    </w:rPr>
                    <w:t>DA001</w:t>
                  </w:r>
                </w:p>
              </w:tc>
              <w:tc>
                <w:tcPr>
                  <w:tcW w:w="966" w:type="pct"/>
                  <w:tcBorders>
                    <w:tl2br w:val="nil"/>
                    <w:tr2bl w:val="nil"/>
                  </w:tcBorders>
                  <w:vAlign w:val="center"/>
                </w:tcPr>
                <w:p w14:paraId="3859359B">
                  <w:pPr>
                    <w:snapToGrid w:val="0"/>
                    <w:jc w:val="center"/>
                    <w:rPr>
                      <w:rFonts w:hint="eastAsia"/>
                      <w:color w:val="auto"/>
                      <w:sz w:val="18"/>
                      <w:szCs w:val="18"/>
                    </w:rPr>
                  </w:pPr>
                  <w:r>
                    <w:rPr>
                      <w:rFonts w:hint="eastAsia"/>
                      <w:color w:val="auto"/>
                      <w:sz w:val="18"/>
                      <w:szCs w:val="18"/>
                    </w:rPr>
                    <w:t>颗粒物</w:t>
                  </w:r>
                </w:p>
              </w:tc>
              <w:tc>
                <w:tcPr>
                  <w:tcW w:w="934" w:type="pct"/>
                  <w:tcBorders>
                    <w:right w:val="single" w:color="auto" w:sz="4" w:space="0"/>
                    <w:tl2br w:val="nil"/>
                    <w:tr2bl w:val="nil"/>
                  </w:tcBorders>
                  <w:vAlign w:val="center"/>
                </w:tcPr>
                <w:p w14:paraId="3536AE08">
                  <w:pPr>
                    <w:snapToGrid w:val="0"/>
                    <w:jc w:val="center"/>
                    <w:rPr>
                      <w:rFonts w:hint="eastAsia" w:eastAsia="宋体"/>
                      <w:color w:val="auto"/>
                      <w:sz w:val="18"/>
                      <w:szCs w:val="18"/>
                      <w:lang w:val="en-US" w:eastAsia="zh-CN"/>
                    </w:rPr>
                  </w:pPr>
                  <w:r>
                    <w:rPr>
                      <w:rFonts w:hint="eastAsia"/>
                      <w:color w:val="auto"/>
                      <w:sz w:val="18"/>
                      <w:szCs w:val="18"/>
                    </w:rPr>
                    <w:t>1次/</w:t>
                  </w:r>
                  <w:r>
                    <w:rPr>
                      <w:rFonts w:hint="eastAsia"/>
                      <w:color w:val="auto"/>
                      <w:sz w:val="18"/>
                      <w:szCs w:val="18"/>
                      <w:lang w:val="en-US" w:eastAsia="zh-CN"/>
                    </w:rPr>
                    <w:t>年</w:t>
                  </w:r>
                </w:p>
              </w:tc>
              <w:tc>
                <w:tcPr>
                  <w:tcW w:w="1940" w:type="pct"/>
                  <w:vMerge w:val="restart"/>
                  <w:tcBorders>
                    <w:left w:val="single" w:color="auto" w:sz="4" w:space="0"/>
                    <w:tl2br w:val="nil"/>
                    <w:tr2bl w:val="nil"/>
                  </w:tcBorders>
                  <w:vAlign w:val="center"/>
                </w:tcPr>
                <w:p w14:paraId="279621B6">
                  <w:pPr>
                    <w:snapToGrid w:val="0"/>
                    <w:jc w:val="center"/>
                    <w:rPr>
                      <w:rFonts w:hint="eastAsia"/>
                      <w:color w:val="auto"/>
                      <w:sz w:val="18"/>
                      <w:szCs w:val="18"/>
                    </w:rPr>
                  </w:pPr>
                  <w:r>
                    <w:rPr>
                      <w:rFonts w:hint="eastAsia"/>
                      <w:color w:val="auto"/>
                      <w:sz w:val="18"/>
                      <w:szCs w:val="18"/>
                      <w:lang w:val="en-US" w:eastAsia="zh-CN"/>
                    </w:rPr>
                    <w:t>《大气污染物综合排放标准》</w:t>
                  </w:r>
                  <w:r>
                    <w:rPr>
                      <w:rFonts w:hint="default"/>
                      <w:color w:val="auto"/>
                      <w:sz w:val="18"/>
                      <w:szCs w:val="18"/>
                      <w:lang w:val="en-US" w:eastAsia="zh-CN"/>
                    </w:rPr>
                    <w:t>(GB16297-1996)</w:t>
                  </w:r>
                  <w:r>
                    <w:rPr>
                      <w:rFonts w:hint="eastAsia"/>
                      <w:color w:val="auto"/>
                      <w:sz w:val="18"/>
                      <w:szCs w:val="18"/>
                      <w:lang w:val="en-US" w:eastAsia="zh-CN"/>
                    </w:rPr>
                    <w:t xml:space="preserve">表 </w:t>
                  </w:r>
                  <w:r>
                    <w:rPr>
                      <w:rFonts w:hint="default"/>
                      <w:color w:val="auto"/>
                      <w:sz w:val="18"/>
                      <w:szCs w:val="18"/>
                      <w:lang w:val="en-US" w:eastAsia="zh-CN"/>
                    </w:rPr>
                    <w:t xml:space="preserve">2 </w:t>
                  </w:r>
                  <w:r>
                    <w:rPr>
                      <w:rFonts w:hint="eastAsia"/>
                      <w:color w:val="auto"/>
                      <w:sz w:val="18"/>
                      <w:szCs w:val="18"/>
                      <w:lang w:val="en-US" w:eastAsia="zh-CN"/>
                    </w:rPr>
                    <w:t>中的二级标准</w:t>
                  </w:r>
                </w:p>
              </w:tc>
              <w:tc>
                <w:tcPr>
                  <w:tcW w:w="456" w:type="pct"/>
                  <w:vMerge w:val="restart"/>
                  <w:tcBorders>
                    <w:tl2br w:val="nil"/>
                    <w:tr2bl w:val="nil"/>
                  </w:tcBorders>
                  <w:vAlign w:val="center"/>
                </w:tcPr>
                <w:p w14:paraId="38ADB2DA">
                  <w:pPr>
                    <w:snapToGrid w:val="0"/>
                    <w:jc w:val="center"/>
                    <w:rPr>
                      <w:rFonts w:hint="eastAsia"/>
                      <w:color w:val="auto"/>
                      <w:sz w:val="18"/>
                      <w:szCs w:val="18"/>
                    </w:rPr>
                  </w:pPr>
                  <w:r>
                    <w:rPr>
                      <w:rFonts w:hint="eastAsia"/>
                      <w:color w:val="auto"/>
                      <w:sz w:val="18"/>
                      <w:szCs w:val="18"/>
                    </w:rPr>
                    <w:t>委托当地有资质的环境监测站</w:t>
                  </w:r>
                </w:p>
              </w:tc>
            </w:tr>
            <w:tr w14:paraId="53B022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180" w:type="pct"/>
                  <w:vMerge w:val="continue"/>
                  <w:tcBorders>
                    <w:tl2br w:val="nil"/>
                    <w:tr2bl w:val="nil"/>
                  </w:tcBorders>
                  <w:vAlign w:val="center"/>
                </w:tcPr>
                <w:p w14:paraId="75B0A9F1">
                  <w:pPr>
                    <w:snapToGrid w:val="0"/>
                    <w:jc w:val="center"/>
                    <w:rPr>
                      <w:rFonts w:hint="eastAsia"/>
                      <w:color w:val="auto"/>
                      <w:sz w:val="18"/>
                      <w:szCs w:val="18"/>
                    </w:rPr>
                  </w:pPr>
                </w:p>
              </w:tc>
              <w:tc>
                <w:tcPr>
                  <w:tcW w:w="522" w:type="pct"/>
                  <w:tcBorders>
                    <w:tl2br w:val="nil"/>
                    <w:tr2bl w:val="nil"/>
                  </w:tcBorders>
                  <w:vAlign w:val="center"/>
                </w:tcPr>
                <w:p w14:paraId="6F2986C5">
                  <w:pPr>
                    <w:snapToGrid w:val="0"/>
                    <w:jc w:val="center"/>
                    <w:rPr>
                      <w:rFonts w:hint="eastAsia"/>
                      <w:color w:val="auto"/>
                      <w:sz w:val="18"/>
                      <w:szCs w:val="18"/>
                    </w:rPr>
                  </w:pPr>
                  <w:r>
                    <w:rPr>
                      <w:rFonts w:hint="eastAsia"/>
                      <w:color w:val="auto"/>
                      <w:sz w:val="18"/>
                      <w:szCs w:val="18"/>
                      <w:lang w:val="en-US" w:eastAsia="zh-CN"/>
                    </w:rPr>
                    <w:t>DA002</w:t>
                  </w:r>
                </w:p>
              </w:tc>
              <w:tc>
                <w:tcPr>
                  <w:tcW w:w="966" w:type="pct"/>
                  <w:tcBorders>
                    <w:tl2br w:val="nil"/>
                    <w:tr2bl w:val="nil"/>
                  </w:tcBorders>
                  <w:vAlign w:val="center"/>
                </w:tcPr>
                <w:p w14:paraId="4A3DD638">
                  <w:pPr>
                    <w:snapToGrid w:val="0"/>
                    <w:jc w:val="center"/>
                    <w:rPr>
                      <w:rFonts w:hint="eastAsia"/>
                      <w:color w:val="auto"/>
                      <w:sz w:val="18"/>
                      <w:szCs w:val="18"/>
                    </w:rPr>
                  </w:pPr>
                  <w:r>
                    <w:rPr>
                      <w:rFonts w:hint="eastAsia"/>
                      <w:color w:val="auto"/>
                      <w:sz w:val="18"/>
                      <w:szCs w:val="18"/>
                    </w:rPr>
                    <w:t>颗粒物</w:t>
                  </w:r>
                </w:p>
              </w:tc>
              <w:tc>
                <w:tcPr>
                  <w:tcW w:w="934" w:type="pct"/>
                  <w:tcBorders>
                    <w:right w:val="single" w:color="auto" w:sz="4" w:space="0"/>
                    <w:tl2br w:val="nil"/>
                    <w:tr2bl w:val="nil"/>
                  </w:tcBorders>
                  <w:vAlign w:val="center"/>
                </w:tcPr>
                <w:p w14:paraId="37ABA675">
                  <w:pPr>
                    <w:snapToGrid w:val="0"/>
                    <w:jc w:val="center"/>
                    <w:rPr>
                      <w:rFonts w:hint="eastAsia"/>
                      <w:color w:val="auto"/>
                      <w:sz w:val="18"/>
                      <w:szCs w:val="18"/>
                    </w:rPr>
                  </w:pPr>
                  <w:r>
                    <w:rPr>
                      <w:rFonts w:hint="eastAsia"/>
                      <w:color w:val="auto"/>
                      <w:sz w:val="18"/>
                      <w:szCs w:val="18"/>
                    </w:rPr>
                    <w:t>1次/</w:t>
                  </w:r>
                  <w:r>
                    <w:rPr>
                      <w:rFonts w:hint="eastAsia"/>
                      <w:color w:val="auto"/>
                      <w:sz w:val="18"/>
                      <w:szCs w:val="18"/>
                      <w:lang w:val="en-US" w:eastAsia="zh-CN"/>
                    </w:rPr>
                    <w:t>年</w:t>
                  </w:r>
                </w:p>
              </w:tc>
              <w:tc>
                <w:tcPr>
                  <w:tcW w:w="1940" w:type="pct"/>
                  <w:vMerge w:val="continue"/>
                  <w:tcBorders>
                    <w:left w:val="single" w:color="auto" w:sz="4" w:space="0"/>
                    <w:tl2br w:val="nil"/>
                    <w:tr2bl w:val="nil"/>
                  </w:tcBorders>
                  <w:vAlign w:val="center"/>
                </w:tcPr>
                <w:p w14:paraId="4FED685A">
                  <w:pPr>
                    <w:snapToGrid w:val="0"/>
                    <w:jc w:val="center"/>
                    <w:rPr>
                      <w:rFonts w:hint="eastAsia"/>
                      <w:color w:val="auto"/>
                      <w:sz w:val="18"/>
                      <w:szCs w:val="18"/>
                    </w:rPr>
                  </w:pPr>
                </w:p>
              </w:tc>
              <w:tc>
                <w:tcPr>
                  <w:tcW w:w="456" w:type="pct"/>
                  <w:vMerge w:val="continue"/>
                  <w:tcBorders>
                    <w:tl2br w:val="nil"/>
                    <w:tr2bl w:val="nil"/>
                  </w:tcBorders>
                  <w:vAlign w:val="center"/>
                </w:tcPr>
                <w:p w14:paraId="27F1E019">
                  <w:pPr>
                    <w:jc w:val="center"/>
                    <w:rPr>
                      <w:rFonts w:ascii="Arial"/>
                      <w:color w:val="auto"/>
                      <w:sz w:val="18"/>
                      <w:szCs w:val="18"/>
                    </w:rPr>
                  </w:pPr>
                </w:p>
              </w:tc>
            </w:tr>
            <w:tr w14:paraId="228F9B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180" w:type="pct"/>
                  <w:vMerge w:val="continue"/>
                  <w:tcBorders>
                    <w:tl2br w:val="nil"/>
                    <w:tr2bl w:val="nil"/>
                  </w:tcBorders>
                  <w:vAlign w:val="center"/>
                </w:tcPr>
                <w:p w14:paraId="28ABA8FC">
                  <w:pPr>
                    <w:snapToGrid w:val="0"/>
                    <w:jc w:val="center"/>
                    <w:rPr>
                      <w:rFonts w:hint="eastAsia"/>
                      <w:color w:val="auto"/>
                      <w:sz w:val="18"/>
                      <w:szCs w:val="18"/>
                    </w:rPr>
                  </w:pPr>
                </w:p>
              </w:tc>
              <w:tc>
                <w:tcPr>
                  <w:tcW w:w="522" w:type="pct"/>
                  <w:tcBorders>
                    <w:tl2br w:val="nil"/>
                    <w:tr2bl w:val="nil"/>
                  </w:tcBorders>
                  <w:shd w:val="clear" w:color="auto" w:fill="auto"/>
                  <w:vAlign w:val="center"/>
                </w:tcPr>
                <w:p w14:paraId="65FF621A">
                  <w:pPr>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DA003</w:t>
                  </w:r>
                </w:p>
              </w:tc>
              <w:tc>
                <w:tcPr>
                  <w:tcW w:w="966" w:type="pct"/>
                  <w:tcBorders>
                    <w:tl2br w:val="nil"/>
                    <w:tr2bl w:val="nil"/>
                  </w:tcBorders>
                  <w:shd w:val="clear" w:color="auto" w:fill="auto"/>
                  <w:vAlign w:val="center"/>
                </w:tcPr>
                <w:p w14:paraId="7D1C0C80">
                  <w:pPr>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颗粒物</w:t>
                  </w:r>
                  <w:r>
                    <w:rPr>
                      <w:rFonts w:hint="eastAsia"/>
                      <w:color w:val="auto"/>
                      <w:sz w:val="18"/>
                      <w:szCs w:val="18"/>
                      <w:lang w:val="en-US" w:eastAsia="zh-CN"/>
                    </w:rPr>
                    <w:t>、NMHC</w:t>
                  </w:r>
                </w:p>
              </w:tc>
              <w:tc>
                <w:tcPr>
                  <w:tcW w:w="934" w:type="pct"/>
                  <w:tcBorders>
                    <w:right w:val="single" w:color="auto" w:sz="4" w:space="0"/>
                    <w:tl2br w:val="nil"/>
                    <w:tr2bl w:val="nil"/>
                  </w:tcBorders>
                  <w:shd w:val="clear" w:color="auto" w:fill="auto"/>
                  <w:vAlign w:val="center"/>
                </w:tcPr>
                <w:p w14:paraId="21448A9A">
                  <w:pPr>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1次/</w:t>
                  </w:r>
                  <w:r>
                    <w:rPr>
                      <w:rFonts w:hint="eastAsia"/>
                      <w:color w:val="auto"/>
                      <w:sz w:val="18"/>
                      <w:szCs w:val="18"/>
                      <w:lang w:val="en-US" w:eastAsia="zh-CN"/>
                    </w:rPr>
                    <w:t>年</w:t>
                  </w:r>
                </w:p>
              </w:tc>
              <w:tc>
                <w:tcPr>
                  <w:tcW w:w="1940" w:type="pct"/>
                  <w:tcBorders>
                    <w:left w:val="single" w:color="auto" w:sz="4" w:space="0"/>
                    <w:tl2br w:val="nil"/>
                    <w:tr2bl w:val="nil"/>
                  </w:tcBorders>
                  <w:shd w:val="clear" w:color="auto" w:fill="auto"/>
                  <w:vAlign w:val="center"/>
                </w:tcPr>
                <w:p w14:paraId="0D1C8F98">
                  <w:pPr>
                    <w:snapToGrid w:val="0"/>
                    <w:jc w:val="center"/>
                    <w:rPr>
                      <w:rFonts w:hint="default"/>
                      <w:color w:val="auto"/>
                      <w:sz w:val="18"/>
                      <w:szCs w:val="18"/>
                      <w:lang w:val="en-US"/>
                    </w:rPr>
                  </w:pPr>
                  <w:r>
                    <w:rPr>
                      <w:rFonts w:hint="eastAsia"/>
                      <w:color w:val="auto"/>
                      <w:sz w:val="18"/>
                      <w:szCs w:val="18"/>
                      <w:lang w:val="en-US" w:eastAsia="zh-CN"/>
                    </w:rPr>
                    <w:t>颗粒物执行《大气污染物综合排放标准》</w:t>
                  </w:r>
                  <w:r>
                    <w:rPr>
                      <w:rFonts w:hint="default"/>
                      <w:color w:val="auto"/>
                      <w:sz w:val="18"/>
                      <w:szCs w:val="18"/>
                      <w:lang w:val="en-US" w:eastAsia="zh-CN"/>
                    </w:rPr>
                    <w:t>(GB16297-1996)</w:t>
                  </w:r>
                  <w:r>
                    <w:rPr>
                      <w:rFonts w:hint="eastAsia"/>
                      <w:color w:val="auto"/>
                      <w:sz w:val="18"/>
                      <w:szCs w:val="18"/>
                      <w:lang w:val="en-US" w:eastAsia="zh-CN"/>
                    </w:rPr>
                    <w:t xml:space="preserve">表 </w:t>
                  </w:r>
                  <w:r>
                    <w:rPr>
                      <w:rFonts w:hint="default"/>
                      <w:color w:val="auto"/>
                      <w:sz w:val="18"/>
                      <w:szCs w:val="18"/>
                      <w:lang w:val="en-US" w:eastAsia="zh-CN"/>
                    </w:rPr>
                    <w:t xml:space="preserve">2 </w:t>
                  </w:r>
                  <w:r>
                    <w:rPr>
                      <w:rFonts w:hint="eastAsia"/>
                      <w:color w:val="auto"/>
                      <w:sz w:val="18"/>
                      <w:szCs w:val="18"/>
                      <w:lang w:val="en-US" w:eastAsia="zh-CN"/>
                    </w:rPr>
                    <w:t>中的二级标准、非甲烷总烃执行《山西省重点行业挥发性有机物（VOCs）2017年专项治理方案》中表1工业涂装排放限值</w:t>
                  </w:r>
                </w:p>
              </w:tc>
              <w:tc>
                <w:tcPr>
                  <w:tcW w:w="456" w:type="pct"/>
                  <w:vMerge w:val="continue"/>
                  <w:tcBorders>
                    <w:tl2br w:val="nil"/>
                    <w:tr2bl w:val="nil"/>
                  </w:tcBorders>
                  <w:vAlign w:val="center"/>
                </w:tcPr>
                <w:p w14:paraId="5263E461">
                  <w:pPr>
                    <w:jc w:val="center"/>
                    <w:rPr>
                      <w:rFonts w:ascii="Arial"/>
                      <w:color w:val="auto"/>
                      <w:sz w:val="18"/>
                      <w:szCs w:val="18"/>
                    </w:rPr>
                  </w:pPr>
                </w:p>
              </w:tc>
            </w:tr>
            <w:tr w14:paraId="429D53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180" w:type="pct"/>
                  <w:vMerge w:val="continue"/>
                  <w:tcBorders>
                    <w:tl2br w:val="nil"/>
                    <w:tr2bl w:val="nil"/>
                  </w:tcBorders>
                  <w:vAlign w:val="center"/>
                </w:tcPr>
                <w:p w14:paraId="5D5FB441">
                  <w:pPr>
                    <w:snapToGrid w:val="0"/>
                    <w:jc w:val="center"/>
                    <w:rPr>
                      <w:rFonts w:hint="eastAsia"/>
                      <w:color w:val="auto"/>
                      <w:sz w:val="18"/>
                      <w:szCs w:val="18"/>
                    </w:rPr>
                  </w:pPr>
                </w:p>
              </w:tc>
              <w:tc>
                <w:tcPr>
                  <w:tcW w:w="522" w:type="pct"/>
                  <w:tcBorders>
                    <w:tl2br w:val="nil"/>
                    <w:tr2bl w:val="nil"/>
                  </w:tcBorders>
                  <w:shd w:val="clear" w:color="auto" w:fill="auto"/>
                  <w:vAlign w:val="center"/>
                </w:tcPr>
                <w:p w14:paraId="6E4C4DF5">
                  <w:pPr>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DA004</w:t>
                  </w:r>
                </w:p>
              </w:tc>
              <w:tc>
                <w:tcPr>
                  <w:tcW w:w="966" w:type="pct"/>
                  <w:tcBorders>
                    <w:tl2br w:val="nil"/>
                    <w:tr2bl w:val="nil"/>
                  </w:tcBorders>
                  <w:shd w:val="clear" w:color="auto" w:fill="auto"/>
                  <w:vAlign w:val="center"/>
                </w:tcPr>
                <w:p w14:paraId="367E654D">
                  <w:pPr>
                    <w:snapToGrid w:val="0"/>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rPr>
                    <w:t>颗粒物</w:t>
                  </w:r>
                  <w:r>
                    <w:rPr>
                      <w:rFonts w:hint="eastAsia"/>
                      <w:color w:val="auto"/>
                      <w:sz w:val="18"/>
                      <w:szCs w:val="18"/>
                      <w:lang w:eastAsia="zh-CN"/>
                    </w:rPr>
                    <w:t>、</w:t>
                  </w:r>
                  <w:r>
                    <w:rPr>
                      <w:rFonts w:hint="eastAsia"/>
                      <w:color w:val="auto"/>
                      <w:sz w:val="18"/>
                      <w:szCs w:val="18"/>
                      <w:lang w:val="en-US" w:eastAsia="zh-CN"/>
                    </w:rPr>
                    <w:t>二氧化硫、氮氧化物</w:t>
                  </w:r>
                </w:p>
              </w:tc>
              <w:tc>
                <w:tcPr>
                  <w:tcW w:w="934" w:type="pct"/>
                  <w:tcBorders>
                    <w:right w:val="single" w:color="auto" w:sz="4" w:space="0"/>
                    <w:tl2br w:val="nil"/>
                    <w:tr2bl w:val="nil"/>
                  </w:tcBorders>
                  <w:shd w:val="clear" w:color="auto" w:fill="auto"/>
                  <w:vAlign w:val="center"/>
                </w:tcPr>
                <w:p w14:paraId="50C052F3">
                  <w:pPr>
                    <w:snapToGrid w:val="0"/>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1次/</w:t>
                  </w:r>
                  <w:r>
                    <w:rPr>
                      <w:rFonts w:hint="eastAsia"/>
                      <w:color w:val="auto"/>
                      <w:sz w:val="18"/>
                      <w:szCs w:val="18"/>
                      <w:lang w:val="en-US" w:eastAsia="zh-CN"/>
                    </w:rPr>
                    <w:t>年</w:t>
                  </w:r>
                </w:p>
              </w:tc>
              <w:tc>
                <w:tcPr>
                  <w:tcW w:w="1940" w:type="pct"/>
                  <w:tcBorders>
                    <w:left w:val="single" w:color="auto" w:sz="4" w:space="0"/>
                    <w:tl2br w:val="nil"/>
                    <w:tr2bl w:val="nil"/>
                  </w:tcBorders>
                  <w:shd w:val="clear" w:color="auto" w:fill="auto"/>
                  <w:vAlign w:val="center"/>
                </w:tcPr>
                <w:p w14:paraId="36B06745">
                  <w:pPr>
                    <w:snapToGrid w:val="0"/>
                    <w:jc w:val="center"/>
                    <w:rPr>
                      <w:rFonts w:hint="eastAsia"/>
                      <w:color w:val="auto"/>
                      <w:sz w:val="18"/>
                      <w:szCs w:val="18"/>
                    </w:rPr>
                  </w:pPr>
                  <w:r>
                    <w:rPr>
                      <w:rFonts w:hint="eastAsia"/>
                      <w:color w:val="auto"/>
                      <w:sz w:val="18"/>
                      <w:szCs w:val="18"/>
                      <w:lang w:val="en-US" w:eastAsia="zh-CN"/>
                    </w:rPr>
                    <w:t>《锅炉大气污染物排放标准》</w:t>
                  </w:r>
                </w:p>
                <w:p w14:paraId="568600FF">
                  <w:pPr>
                    <w:snapToGrid w:val="0"/>
                    <w:jc w:val="center"/>
                    <w:rPr>
                      <w:rFonts w:hint="eastAsia"/>
                      <w:color w:val="auto"/>
                      <w:sz w:val="18"/>
                      <w:szCs w:val="18"/>
                    </w:rPr>
                  </w:pPr>
                  <w:r>
                    <w:rPr>
                      <w:rFonts w:hint="eastAsia"/>
                      <w:color w:val="auto"/>
                      <w:sz w:val="18"/>
                      <w:szCs w:val="18"/>
                      <w:lang w:val="en-US" w:eastAsia="zh-CN"/>
                    </w:rPr>
                    <w:t>（</w:t>
                  </w:r>
                  <w:r>
                    <w:rPr>
                      <w:rFonts w:hint="default"/>
                      <w:color w:val="auto"/>
                      <w:sz w:val="18"/>
                      <w:szCs w:val="18"/>
                      <w:lang w:val="en-US" w:eastAsia="zh-CN"/>
                    </w:rPr>
                    <w:t>DB14/1929-2019</w:t>
                  </w:r>
                  <w:r>
                    <w:rPr>
                      <w:rFonts w:hint="eastAsia"/>
                      <w:color w:val="auto"/>
                      <w:sz w:val="18"/>
                      <w:szCs w:val="18"/>
                      <w:lang w:val="en-US" w:eastAsia="zh-CN"/>
                    </w:rPr>
                    <w:t>）表3燃气锅炉标准</w:t>
                  </w:r>
                </w:p>
              </w:tc>
              <w:tc>
                <w:tcPr>
                  <w:tcW w:w="456" w:type="pct"/>
                  <w:vMerge w:val="continue"/>
                  <w:tcBorders>
                    <w:tl2br w:val="nil"/>
                    <w:tr2bl w:val="nil"/>
                  </w:tcBorders>
                  <w:vAlign w:val="center"/>
                </w:tcPr>
                <w:p w14:paraId="2CF1A31B">
                  <w:pPr>
                    <w:jc w:val="center"/>
                    <w:rPr>
                      <w:rFonts w:ascii="Arial"/>
                      <w:color w:val="auto"/>
                      <w:sz w:val="18"/>
                      <w:szCs w:val="18"/>
                    </w:rPr>
                  </w:pPr>
                </w:p>
              </w:tc>
            </w:tr>
            <w:tr w14:paraId="09EFC7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180" w:type="pct"/>
                  <w:vMerge w:val="continue"/>
                  <w:tcBorders>
                    <w:tl2br w:val="nil"/>
                    <w:tr2bl w:val="nil"/>
                  </w:tcBorders>
                  <w:vAlign w:val="center"/>
                </w:tcPr>
                <w:p w14:paraId="1978FB24">
                  <w:pPr>
                    <w:snapToGrid w:val="0"/>
                    <w:jc w:val="center"/>
                    <w:rPr>
                      <w:rFonts w:hint="eastAsia"/>
                      <w:color w:val="auto"/>
                      <w:sz w:val="18"/>
                      <w:szCs w:val="18"/>
                    </w:rPr>
                  </w:pPr>
                </w:p>
              </w:tc>
              <w:tc>
                <w:tcPr>
                  <w:tcW w:w="522" w:type="pct"/>
                  <w:tcBorders>
                    <w:tl2br w:val="nil"/>
                    <w:tr2bl w:val="nil"/>
                  </w:tcBorders>
                  <w:shd w:val="clear" w:color="auto" w:fill="auto"/>
                  <w:vAlign w:val="center"/>
                </w:tcPr>
                <w:p w14:paraId="3ABF32B7">
                  <w:pPr>
                    <w:snapToGrid w:val="0"/>
                    <w:jc w:val="center"/>
                    <w:rPr>
                      <w:rFonts w:hint="default"/>
                      <w:color w:val="auto"/>
                      <w:sz w:val="18"/>
                      <w:szCs w:val="18"/>
                      <w:lang w:val="en-US" w:eastAsia="zh-CN"/>
                    </w:rPr>
                  </w:pPr>
                  <w:r>
                    <w:rPr>
                      <w:rFonts w:hint="eastAsia"/>
                      <w:color w:val="auto"/>
                      <w:sz w:val="18"/>
                      <w:szCs w:val="18"/>
                      <w:lang w:val="en-US" w:eastAsia="zh-CN"/>
                    </w:rPr>
                    <w:t>DA005</w:t>
                  </w:r>
                </w:p>
              </w:tc>
              <w:tc>
                <w:tcPr>
                  <w:tcW w:w="966" w:type="pct"/>
                  <w:tcBorders>
                    <w:tl2br w:val="nil"/>
                    <w:tr2bl w:val="nil"/>
                  </w:tcBorders>
                  <w:shd w:val="clear" w:color="auto" w:fill="auto"/>
                  <w:vAlign w:val="center"/>
                </w:tcPr>
                <w:p w14:paraId="0ECA5464">
                  <w:pPr>
                    <w:snapToGrid w:val="0"/>
                    <w:jc w:val="center"/>
                    <w:rPr>
                      <w:rFonts w:hint="eastAsia"/>
                      <w:color w:val="auto"/>
                      <w:sz w:val="18"/>
                      <w:szCs w:val="18"/>
                    </w:rPr>
                  </w:pPr>
                  <w:r>
                    <w:rPr>
                      <w:rFonts w:hint="eastAsia"/>
                      <w:color w:val="auto"/>
                      <w:sz w:val="18"/>
                      <w:szCs w:val="18"/>
                    </w:rPr>
                    <w:t>颗粒物</w:t>
                  </w:r>
                  <w:r>
                    <w:rPr>
                      <w:rFonts w:hint="eastAsia"/>
                      <w:color w:val="auto"/>
                      <w:sz w:val="18"/>
                      <w:szCs w:val="18"/>
                      <w:lang w:eastAsia="zh-CN"/>
                    </w:rPr>
                    <w:t>、</w:t>
                  </w:r>
                  <w:r>
                    <w:rPr>
                      <w:rFonts w:hint="eastAsia"/>
                      <w:color w:val="auto"/>
                      <w:sz w:val="18"/>
                      <w:szCs w:val="18"/>
                      <w:lang w:val="en-US" w:eastAsia="zh-CN"/>
                    </w:rPr>
                    <w:t>二氧化硫、氮氧化物</w:t>
                  </w:r>
                </w:p>
              </w:tc>
              <w:tc>
                <w:tcPr>
                  <w:tcW w:w="934" w:type="pct"/>
                  <w:tcBorders>
                    <w:right w:val="single" w:color="auto" w:sz="4" w:space="0"/>
                    <w:tl2br w:val="nil"/>
                    <w:tr2bl w:val="nil"/>
                  </w:tcBorders>
                  <w:shd w:val="clear" w:color="auto" w:fill="auto"/>
                  <w:vAlign w:val="center"/>
                </w:tcPr>
                <w:p w14:paraId="208A241A">
                  <w:pPr>
                    <w:snapToGrid w:val="0"/>
                    <w:jc w:val="center"/>
                    <w:rPr>
                      <w:rFonts w:hint="eastAsia"/>
                      <w:color w:val="auto"/>
                      <w:sz w:val="18"/>
                      <w:szCs w:val="18"/>
                    </w:rPr>
                  </w:pPr>
                  <w:r>
                    <w:rPr>
                      <w:rFonts w:hint="eastAsia"/>
                      <w:color w:val="auto"/>
                      <w:sz w:val="18"/>
                      <w:szCs w:val="18"/>
                    </w:rPr>
                    <w:t>1次/</w:t>
                  </w:r>
                  <w:r>
                    <w:rPr>
                      <w:rFonts w:hint="eastAsia"/>
                      <w:color w:val="auto"/>
                      <w:sz w:val="18"/>
                      <w:szCs w:val="18"/>
                      <w:lang w:val="en-US" w:eastAsia="zh-CN"/>
                    </w:rPr>
                    <w:t>年</w:t>
                  </w:r>
                </w:p>
              </w:tc>
              <w:tc>
                <w:tcPr>
                  <w:tcW w:w="1940" w:type="pct"/>
                  <w:tcBorders>
                    <w:left w:val="single" w:color="auto" w:sz="4" w:space="0"/>
                    <w:tl2br w:val="nil"/>
                    <w:tr2bl w:val="nil"/>
                  </w:tcBorders>
                  <w:shd w:val="clear" w:color="auto" w:fill="auto"/>
                  <w:vAlign w:val="center"/>
                </w:tcPr>
                <w:p w14:paraId="70CEF0F4">
                  <w:pPr>
                    <w:snapToGrid w:val="0"/>
                    <w:jc w:val="center"/>
                    <w:rPr>
                      <w:rFonts w:hint="eastAsia"/>
                      <w:color w:val="auto"/>
                      <w:sz w:val="18"/>
                      <w:szCs w:val="18"/>
                      <w:lang w:val="en-US" w:eastAsia="zh-CN"/>
                    </w:rPr>
                  </w:pPr>
                  <w:r>
                    <w:rPr>
                      <w:rFonts w:hint="eastAsia"/>
                      <w:color w:val="auto"/>
                      <w:sz w:val="18"/>
                      <w:szCs w:val="18"/>
                      <w:lang w:val="en-US" w:eastAsia="zh-CN"/>
                    </w:rPr>
                    <w:t>《山西省工业炉窑大气污染综合治理实施方案》（晋环大气〔</w:t>
                  </w:r>
                  <w:r>
                    <w:rPr>
                      <w:rFonts w:hint="default"/>
                      <w:color w:val="auto"/>
                      <w:sz w:val="18"/>
                      <w:szCs w:val="18"/>
                      <w:lang w:val="en-US" w:eastAsia="zh-CN"/>
                    </w:rPr>
                    <w:t>2019</w:t>
                  </w:r>
                  <w:r>
                    <w:rPr>
                      <w:rFonts w:hint="eastAsia"/>
                      <w:color w:val="auto"/>
                      <w:sz w:val="18"/>
                      <w:szCs w:val="18"/>
                      <w:lang w:val="en-US" w:eastAsia="zh-CN"/>
                    </w:rPr>
                    <w:t>〕）</w:t>
                  </w:r>
                </w:p>
                <w:p w14:paraId="4DF678EE">
                  <w:pPr>
                    <w:snapToGrid w:val="0"/>
                    <w:jc w:val="center"/>
                    <w:rPr>
                      <w:rFonts w:hint="eastAsia"/>
                      <w:color w:val="auto"/>
                      <w:sz w:val="18"/>
                      <w:szCs w:val="18"/>
                    </w:rPr>
                  </w:pPr>
                  <w:r>
                    <w:rPr>
                      <w:rFonts w:hint="eastAsia"/>
                      <w:color w:val="auto"/>
                      <w:sz w:val="18"/>
                      <w:szCs w:val="18"/>
                      <w:lang w:val="en-US" w:eastAsia="zh-CN"/>
                    </w:rPr>
                    <w:t>相关要求</w:t>
                  </w:r>
                </w:p>
              </w:tc>
              <w:tc>
                <w:tcPr>
                  <w:tcW w:w="456" w:type="pct"/>
                  <w:vMerge w:val="continue"/>
                  <w:tcBorders>
                    <w:tl2br w:val="nil"/>
                    <w:tr2bl w:val="nil"/>
                  </w:tcBorders>
                  <w:vAlign w:val="center"/>
                </w:tcPr>
                <w:p w14:paraId="05BC66FD">
                  <w:pPr>
                    <w:jc w:val="center"/>
                    <w:rPr>
                      <w:rFonts w:ascii="Arial"/>
                      <w:color w:val="auto"/>
                      <w:sz w:val="18"/>
                      <w:szCs w:val="18"/>
                    </w:rPr>
                  </w:pPr>
                </w:p>
              </w:tc>
            </w:tr>
            <w:tr w14:paraId="354C4F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180" w:type="pct"/>
                  <w:vMerge w:val="continue"/>
                  <w:tcBorders>
                    <w:tl2br w:val="nil"/>
                    <w:tr2bl w:val="nil"/>
                  </w:tcBorders>
                  <w:vAlign w:val="center"/>
                </w:tcPr>
                <w:p w14:paraId="6FC583BF">
                  <w:pPr>
                    <w:snapToGrid w:val="0"/>
                    <w:jc w:val="center"/>
                    <w:rPr>
                      <w:rFonts w:hint="eastAsia"/>
                      <w:color w:val="auto"/>
                      <w:sz w:val="18"/>
                      <w:szCs w:val="18"/>
                    </w:rPr>
                  </w:pPr>
                </w:p>
              </w:tc>
              <w:tc>
                <w:tcPr>
                  <w:tcW w:w="522" w:type="pct"/>
                  <w:tcBorders>
                    <w:tl2br w:val="nil"/>
                    <w:tr2bl w:val="nil"/>
                  </w:tcBorders>
                  <w:vAlign w:val="center"/>
                </w:tcPr>
                <w:p w14:paraId="5FA831D9">
                  <w:pPr>
                    <w:snapToGrid w:val="0"/>
                    <w:jc w:val="center"/>
                    <w:rPr>
                      <w:rFonts w:hint="eastAsia"/>
                      <w:color w:val="auto"/>
                      <w:sz w:val="18"/>
                      <w:szCs w:val="18"/>
                    </w:rPr>
                  </w:pPr>
                  <w:r>
                    <w:rPr>
                      <w:rFonts w:hint="eastAsia"/>
                      <w:color w:val="auto"/>
                      <w:sz w:val="18"/>
                      <w:szCs w:val="18"/>
                    </w:rPr>
                    <w:t>无组织</w:t>
                  </w:r>
                </w:p>
              </w:tc>
              <w:tc>
                <w:tcPr>
                  <w:tcW w:w="966" w:type="pct"/>
                  <w:tcBorders>
                    <w:tl2br w:val="nil"/>
                    <w:tr2bl w:val="nil"/>
                  </w:tcBorders>
                  <w:vAlign w:val="center"/>
                </w:tcPr>
                <w:p w14:paraId="75024B76">
                  <w:pPr>
                    <w:snapToGrid w:val="0"/>
                    <w:jc w:val="center"/>
                    <w:rPr>
                      <w:rFonts w:hint="default" w:eastAsia="宋体"/>
                      <w:color w:val="auto"/>
                      <w:sz w:val="18"/>
                      <w:szCs w:val="18"/>
                      <w:lang w:val="en-US" w:eastAsia="zh-CN"/>
                    </w:rPr>
                  </w:pPr>
                  <w:r>
                    <w:rPr>
                      <w:rFonts w:hint="eastAsia"/>
                      <w:color w:val="auto"/>
                      <w:sz w:val="18"/>
                      <w:szCs w:val="18"/>
                      <w:lang w:val="en-US" w:eastAsia="zh-CN"/>
                    </w:rPr>
                    <w:t>颗粒物、NMHC</w:t>
                  </w:r>
                </w:p>
              </w:tc>
              <w:tc>
                <w:tcPr>
                  <w:tcW w:w="934" w:type="pct"/>
                  <w:tcBorders>
                    <w:right w:val="single" w:color="auto" w:sz="4" w:space="0"/>
                    <w:tl2br w:val="nil"/>
                    <w:tr2bl w:val="nil"/>
                  </w:tcBorders>
                  <w:vAlign w:val="center"/>
                </w:tcPr>
                <w:p w14:paraId="3CAC5C14">
                  <w:pPr>
                    <w:snapToGrid w:val="0"/>
                    <w:jc w:val="center"/>
                    <w:rPr>
                      <w:rFonts w:hint="eastAsia"/>
                      <w:color w:val="auto"/>
                      <w:sz w:val="18"/>
                      <w:szCs w:val="18"/>
                    </w:rPr>
                  </w:pPr>
                </w:p>
                <w:p w14:paraId="6A46D505">
                  <w:pPr>
                    <w:snapToGrid w:val="0"/>
                    <w:jc w:val="center"/>
                    <w:rPr>
                      <w:rFonts w:hint="eastAsia"/>
                      <w:color w:val="auto"/>
                      <w:sz w:val="18"/>
                      <w:szCs w:val="18"/>
                    </w:rPr>
                  </w:pPr>
                </w:p>
                <w:p w14:paraId="0870675A">
                  <w:pPr>
                    <w:snapToGrid w:val="0"/>
                    <w:jc w:val="center"/>
                    <w:rPr>
                      <w:rFonts w:hint="eastAsia"/>
                      <w:color w:val="auto"/>
                      <w:sz w:val="18"/>
                      <w:szCs w:val="18"/>
                    </w:rPr>
                  </w:pPr>
                  <w:r>
                    <w:rPr>
                      <w:rFonts w:hint="eastAsia"/>
                      <w:color w:val="auto"/>
                      <w:sz w:val="18"/>
                      <w:szCs w:val="18"/>
                    </w:rPr>
                    <w:t>1次/季</w:t>
                  </w:r>
                </w:p>
              </w:tc>
              <w:tc>
                <w:tcPr>
                  <w:tcW w:w="1940" w:type="pct"/>
                  <w:tcBorders>
                    <w:left w:val="single" w:color="auto" w:sz="4" w:space="0"/>
                    <w:tl2br w:val="nil"/>
                    <w:tr2bl w:val="nil"/>
                  </w:tcBorders>
                  <w:vAlign w:val="center"/>
                </w:tcPr>
                <w:p w14:paraId="233FC53E">
                  <w:pPr>
                    <w:snapToGrid w:val="0"/>
                    <w:jc w:val="center"/>
                    <w:rPr>
                      <w:rFonts w:hint="eastAsia"/>
                      <w:color w:val="auto"/>
                      <w:sz w:val="18"/>
                      <w:szCs w:val="18"/>
                      <w:lang w:val="en-US" w:eastAsia="zh-CN"/>
                    </w:rPr>
                  </w:pPr>
                  <w:r>
                    <w:rPr>
                      <w:rFonts w:hint="eastAsia"/>
                      <w:color w:val="auto"/>
                      <w:sz w:val="18"/>
                      <w:szCs w:val="18"/>
                      <w:lang w:val="en-US" w:eastAsia="zh-CN"/>
                    </w:rPr>
                    <w:t>颗粒物执行《大气污染物综合排放标准》</w:t>
                  </w:r>
                  <w:r>
                    <w:rPr>
                      <w:rFonts w:hint="default"/>
                      <w:color w:val="auto"/>
                      <w:sz w:val="18"/>
                      <w:szCs w:val="18"/>
                      <w:lang w:val="en-US" w:eastAsia="zh-CN"/>
                    </w:rPr>
                    <w:t>(GB16297-1996)</w:t>
                  </w:r>
                  <w:r>
                    <w:rPr>
                      <w:rFonts w:hint="eastAsia"/>
                      <w:color w:val="auto"/>
                      <w:sz w:val="18"/>
                      <w:szCs w:val="18"/>
                      <w:lang w:val="en-US" w:eastAsia="zh-CN"/>
                    </w:rPr>
                    <w:t xml:space="preserve">表 </w:t>
                  </w:r>
                  <w:r>
                    <w:rPr>
                      <w:rFonts w:hint="default"/>
                      <w:color w:val="auto"/>
                      <w:sz w:val="18"/>
                      <w:szCs w:val="18"/>
                      <w:lang w:val="en-US" w:eastAsia="zh-CN"/>
                    </w:rPr>
                    <w:t xml:space="preserve">2 </w:t>
                  </w:r>
                  <w:r>
                    <w:rPr>
                      <w:rFonts w:hint="eastAsia"/>
                      <w:color w:val="auto"/>
                      <w:sz w:val="18"/>
                      <w:szCs w:val="18"/>
                      <w:lang w:val="en-US" w:eastAsia="zh-CN"/>
                    </w:rPr>
                    <w:t>中的二级标准、非甲烷总烃执行《挥发性有机物无组织排放控制标准》（GB 37822-2019）</w:t>
                  </w:r>
                </w:p>
                <w:p w14:paraId="2F573ACC">
                  <w:pPr>
                    <w:snapToGrid w:val="0"/>
                    <w:jc w:val="center"/>
                    <w:rPr>
                      <w:rFonts w:hint="default"/>
                      <w:color w:val="auto"/>
                      <w:sz w:val="18"/>
                      <w:szCs w:val="18"/>
                      <w:lang w:val="en-US"/>
                    </w:rPr>
                  </w:pPr>
                  <w:r>
                    <w:rPr>
                      <w:rFonts w:hint="eastAsia"/>
                      <w:color w:val="auto"/>
                      <w:sz w:val="18"/>
                      <w:szCs w:val="18"/>
                      <w:lang w:val="en-US" w:eastAsia="zh-CN"/>
                    </w:rPr>
                    <w:t>中相关要求</w:t>
                  </w:r>
                </w:p>
              </w:tc>
              <w:tc>
                <w:tcPr>
                  <w:tcW w:w="456" w:type="pct"/>
                  <w:vMerge w:val="continue"/>
                  <w:tcBorders>
                    <w:tl2br w:val="nil"/>
                    <w:tr2bl w:val="nil"/>
                  </w:tcBorders>
                  <w:vAlign w:val="center"/>
                </w:tcPr>
                <w:p w14:paraId="43609AEC">
                  <w:pPr>
                    <w:jc w:val="center"/>
                    <w:rPr>
                      <w:rFonts w:ascii="Arial"/>
                      <w:color w:val="auto"/>
                      <w:sz w:val="18"/>
                      <w:szCs w:val="18"/>
                    </w:rPr>
                  </w:pPr>
                </w:p>
              </w:tc>
            </w:tr>
            <w:tr w14:paraId="18E813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09" w:hRule="atLeast"/>
              </w:trPr>
              <w:tc>
                <w:tcPr>
                  <w:tcW w:w="180" w:type="pct"/>
                  <w:tcBorders>
                    <w:tl2br w:val="nil"/>
                    <w:tr2bl w:val="nil"/>
                  </w:tcBorders>
                  <w:vAlign w:val="center"/>
                </w:tcPr>
                <w:p w14:paraId="7435B239">
                  <w:pPr>
                    <w:snapToGrid w:val="0"/>
                    <w:jc w:val="center"/>
                    <w:rPr>
                      <w:rFonts w:hint="eastAsia"/>
                      <w:color w:val="auto"/>
                      <w:sz w:val="18"/>
                      <w:szCs w:val="18"/>
                    </w:rPr>
                  </w:pPr>
                  <w:r>
                    <w:rPr>
                      <w:rFonts w:hint="eastAsia"/>
                      <w:color w:val="auto"/>
                      <w:sz w:val="18"/>
                      <w:szCs w:val="18"/>
                    </w:rPr>
                    <w:t>噪声</w:t>
                  </w:r>
                </w:p>
              </w:tc>
              <w:tc>
                <w:tcPr>
                  <w:tcW w:w="522" w:type="pct"/>
                  <w:tcBorders>
                    <w:tl2br w:val="nil"/>
                    <w:tr2bl w:val="nil"/>
                  </w:tcBorders>
                  <w:vAlign w:val="center"/>
                </w:tcPr>
                <w:p w14:paraId="0477D0B4">
                  <w:pPr>
                    <w:snapToGrid w:val="0"/>
                    <w:jc w:val="center"/>
                    <w:rPr>
                      <w:rFonts w:hint="eastAsia"/>
                      <w:color w:val="auto"/>
                      <w:sz w:val="18"/>
                      <w:szCs w:val="18"/>
                    </w:rPr>
                  </w:pPr>
                  <w:r>
                    <w:rPr>
                      <w:rFonts w:hint="eastAsia"/>
                      <w:color w:val="auto"/>
                      <w:sz w:val="18"/>
                      <w:szCs w:val="18"/>
                    </w:rPr>
                    <w:t>厂界四周</w:t>
                  </w:r>
                </w:p>
              </w:tc>
              <w:tc>
                <w:tcPr>
                  <w:tcW w:w="966" w:type="pct"/>
                  <w:tcBorders>
                    <w:tl2br w:val="nil"/>
                    <w:tr2bl w:val="nil"/>
                  </w:tcBorders>
                  <w:vAlign w:val="center"/>
                </w:tcPr>
                <w:p w14:paraId="790B9A24">
                  <w:pPr>
                    <w:snapToGrid w:val="0"/>
                    <w:jc w:val="center"/>
                    <w:rPr>
                      <w:rFonts w:hint="eastAsia"/>
                      <w:color w:val="auto"/>
                      <w:sz w:val="18"/>
                      <w:szCs w:val="18"/>
                    </w:rPr>
                  </w:pPr>
                  <w:r>
                    <w:rPr>
                      <w:rFonts w:hint="eastAsia"/>
                      <w:color w:val="auto"/>
                      <w:sz w:val="18"/>
                      <w:szCs w:val="18"/>
                    </w:rPr>
                    <w:t>Leq(A)</w:t>
                  </w:r>
                </w:p>
              </w:tc>
              <w:tc>
                <w:tcPr>
                  <w:tcW w:w="934" w:type="pct"/>
                  <w:tcBorders>
                    <w:right w:val="single" w:color="auto" w:sz="4" w:space="0"/>
                    <w:tl2br w:val="nil"/>
                    <w:tr2bl w:val="nil"/>
                  </w:tcBorders>
                  <w:vAlign w:val="center"/>
                </w:tcPr>
                <w:p w14:paraId="1DDE69F1">
                  <w:pPr>
                    <w:snapToGrid w:val="0"/>
                    <w:jc w:val="center"/>
                    <w:rPr>
                      <w:rFonts w:hint="eastAsia"/>
                      <w:color w:val="auto"/>
                      <w:sz w:val="18"/>
                      <w:szCs w:val="18"/>
                    </w:rPr>
                  </w:pPr>
                  <w:r>
                    <w:rPr>
                      <w:rFonts w:hint="eastAsia"/>
                      <w:color w:val="auto"/>
                      <w:sz w:val="18"/>
                      <w:szCs w:val="18"/>
                    </w:rPr>
                    <w:t>每季一次  昼夜各一次</w:t>
                  </w:r>
                </w:p>
              </w:tc>
              <w:tc>
                <w:tcPr>
                  <w:tcW w:w="1940" w:type="pct"/>
                  <w:tcBorders>
                    <w:left w:val="single" w:color="auto" w:sz="4" w:space="0"/>
                    <w:tl2br w:val="nil"/>
                    <w:tr2bl w:val="nil"/>
                  </w:tcBorders>
                  <w:vAlign w:val="center"/>
                </w:tcPr>
                <w:p w14:paraId="5B87F998">
                  <w:pPr>
                    <w:snapToGrid w:val="0"/>
                    <w:jc w:val="center"/>
                    <w:rPr>
                      <w:rFonts w:hint="eastAsia"/>
                      <w:color w:val="auto"/>
                      <w:sz w:val="18"/>
                      <w:szCs w:val="18"/>
                    </w:rPr>
                  </w:pPr>
                  <w:r>
                    <w:rPr>
                      <w:rFonts w:hint="eastAsia"/>
                      <w:color w:val="auto"/>
                      <w:sz w:val="18"/>
                      <w:szCs w:val="18"/>
                    </w:rPr>
                    <w:t>《工业企业厂界环境噪声排放标准》（GB12348-2008）中2类标准要求</w:t>
                  </w:r>
                </w:p>
              </w:tc>
              <w:tc>
                <w:tcPr>
                  <w:tcW w:w="456" w:type="pct"/>
                  <w:vMerge w:val="continue"/>
                  <w:tcBorders>
                    <w:tl2br w:val="nil"/>
                    <w:tr2bl w:val="nil"/>
                  </w:tcBorders>
                  <w:vAlign w:val="center"/>
                </w:tcPr>
                <w:p w14:paraId="51E396AC">
                  <w:pPr>
                    <w:jc w:val="center"/>
                    <w:rPr>
                      <w:rFonts w:ascii="Arial"/>
                      <w:color w:val="auto"/>
                      <w:sz w:val="18"/>
                      <w:szCs w:val="18"/>
                    </w:rPr>
                  </w:pPr>
                </w:p>
              </w:tc>
            </w:tr>
          </w:tbl>
          <w:p w14:paraId="3A40D5E2">
            <w:pPr>
              <w:spacing w:line="360" w:lineRule="auto"/>
              <w:ind w:firstLine="422" w:firstLineChars="200"/>
              <w:rPr>
                <w:b/>
                <w:bCs/>
                <w:color w:val="auto"/>
                <w:szCs w:val="21"/>
              </w:rPr>
            </w:pPr>
            <w:r>
              <w:rPr>
                <w:rFonts w:hint="eastAsia"/>
                <w:b/>
                <w:bCs/>
                <w:color w:val="auto"/>
                <w:szCs w:val="21"/>
                <w:lang w:val="en-US" w:eastAsia="zh-CN"/>
              </w:rPr>
              <w:t>4.8</w:t>
            </w:r>
            <w:r>
              <w:rPr>
                <w:rFonts w:hint="eastAsia"/>
                <w:b/>
                <w:bCs/>
                <w:color w:val="auto"/>
                <w:szCs w:val="21"/>
              </w:rPr>
              <w:t>环保投资</w:t>
            </w:r>
          </w:p>
          <w:p w14:paraId="49856523">
            <w:pPr>
              <w:spacing w:line="360" w:lineRule="auto"/>
              <w:ind w:firstLine="420" w:firstLineChars="200"/>
              <w:rPr>
                <w:bCs/>
                <w:color w:val="auto"/>
                <w:szCs w:val="21"/>
              </w:rPr>
            </w:pPr>
            <w:r>
              <w:rPr>
                <w:bCs/>
                <w:color w:val="auto"/>
                <w:szCs w:val="21"/>
              </w:rPr>
              <w:t>项目环保投资</w:t>
            </w:r>
            <w:r>
              <w:rPr>
                <w:rFonts w:hint="eastAsia"/>
                <w:bCs/>
                <w:color w:val="auto"/>
                <w:szCs w:val="21"/>
                <w:lang w:val="en-US" w:eastAsia="zh-CN"/>
              </w:rPr>
              <w:t>172</w:t>
            </w:r>
            <w:r>
              <w:rPr>
                <w:bCs/>
                <w:color w:val="auto"/>
                <w:szCs w:val="21"/>
              </w:rPr>
              <w:t>万元，占总投资的</w:t>
            </w:r>
            <w:r>
              <w:rPr>
                <w:rFonts w:hint="eastAsia"/>
                <w:bCs/>
                <w:color w:val="auto"/>
                <w:szCs w:val="21"/>
                <w:lang w:val="en-US" w:eastAsia="zh-CN"/>
              </w:rPr>
              <w:t>0.69</w:t>
            </w:r>
            <w:r>
              <w:rPr>
                <w:bCs/>
                <w:color w:val="auto"/>
                <w:szCs w:val="21"/>
              </w:rPr>
              <w:t>%。环保投资见表</w:t>
            </w:r>
            <w:r>
              <w:rPr>
                <w:rFonts w:hint="eastAsia"/>
                <w:bCs/>
                <w:color w:val="auto"/>
                <w:szCs w:val="21"/>
              </w:rPr>
              <w:t>4</w:t>
            </w:r>
            <w:r>
              <w:rPr>
                <w:rFonts w:hint="eastAsia"/>
                <w:bCs/>
                <w:color w:val="auto"/>
                <w:szCs w:val="21"/>
                <w:lang w:val="en-US" w:eastAsia="zh-CN"/>
              </w:rPr>
              <w:t>.8</w:t>
            </w:r>
            <w:r>
              <w:rPr>
                <w:rFonts w:hint="eastAsia"/>
                <w:bCs/>
                <w:color w:val="auto"/>
                <w:szCs w:val="21"/>
              </w:rPr>
              <w:t>-</w:t>
            </w:r>
            <w:r>
              <w:rPr>
                <w:rFonts w:hint="eastAsia"/>
                <w:bCs/>
                <w:color w:val="auto"/>
                <w:szCs w:val="21"/>
                <w:lang w:val="en-US" w:eastAsia="zh-CN"/>
              </w:rPr>
              <w:t>1</w:t>
            </w:r>
            <w:r>
              <w:rPr>
                <w:bCs/>
                <w:color w:val="auto"/>
                <w:szCs w:val="21"/>
              </w:rPr>
              <w:t>。</w:t>
            </w:r>
          </w:p>
          <w:p w14:paraId="74FF901B">
            <w:pPr>
              <w:jc w:val="center"/>
              <w:rPr>
                <w:b/>
                <w:bCs/>
                <w:color w:val="auto"/>
                <w:sz w:val="18"/>
                <w:szCs w:val="18"/>
              </w:rPr>
            </w:pPr>
            <w:r>
              <w:rPr>
                <w:b/>
                <w:bCs/>
                <w:color w:val="auto"/>
                <w:sz w:val="18"/>
                <w:szCs w:val="18"/>
              </w:rPr>
              <w:t>表</w:t>
            </w:r>
            <w:r>
              <w:rPr>
                <w:rFonts w:hint="eastAsia"/>
                <w:b/>
                <w:bCs/>
                <w:color w:val="auto"/>
                <w:sz w:val="18"/>
                <w:szCs w:val="18"/>
              </w:rPr>
              <w:t>4</w:t>
            </w:r>
            <w:r>
              <w:rPr>
                <w:rFonts w:hint="eastAsia"/>
                <w:b/>
                <w:bCs/>
                <w:color w:val="auto"/>
                <w:sz w:val="18"/>
                <w:szCs w:val="18"/>
                <w:lang w:val="en-US" w:eastAsia="zh-CN"/>
              </w:rPr>
              <w:t>.8</w:t>
            </w:r>
            <w:r>
              <w:rPr>
                <w:rFonts w:hint="eastAsia"/>
                <w:b/>
                <w:bCs/>
                <w:color w:val="auto"/>
                <w:sz w:val="18"/>
                <w:szCs w:val="18"/>
              </w:rPr>
              <w:t>-</w:t>
            </w:r>
            <w:r>
              <w:rPr>
                <w:rFonts w:hint="eastAsia"/>
                <w:b/>
                <w:bCs/>
                <w:color w:val="auto"/>
                <w:sz w:val="18"/>
                <w:szCs w:val="18"/>
                <w:lang w:val="en-US" w:eastAsia="zh-CN"/>
              </w:rPr>
              <w:t>1</w:t>
            </w:r>
            <w:r>
              <w:rPr>
                <w:b/>
                <w:bCs/>
                <w:color w:val="auto"/>
                <w:sz w:val="18"/>
                <w:szCs w:val="18"/>
              </w:rPr>
              <w:t xml:space="preserve"> </w:t>
            </w:r>
            <w:r>
              <w:rPr>
                <w:rFonts w:hint="eastAsia"/>
                <w:b/>
                <w:bCs/>
                <w:color w:val="auto"/>
                <w:sz w:val="18"/>
                <w:szCs w:val="18"/>
              </w:rPr>
              <w:t xml:space="preserve">  </w:t>
            </w:r>
            <w:r>
              <w:rPr>
                <w:b/>
                <w:bCs/>
                <w:color w:val="auto"/>
                <w:sz w:val="18"/>
                <w:szCs w:val="18"/>
              </w:rPr>
              <w:t xml:space="preserve"> 环保投资一览表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0"/>
              <w:gridCol w:w="1620"/>
              <w:gridCol w:w="4645"/>
              <w:gridCol w:w="443"/>
              <w:gridCol w:w="768"/>
            </w:tblGrid>
            <w:tr w14:paraId="20652E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Align w:val="center"/>
                </w:tcPr>
                <w:p w14:paraId="08522607">
                  <w:pPr>
                    <w:jc w:val="center"/>
                    <w:rPr>
                      <w:bCs/>
                      <w:sz w:val="18"/>
                      <w:szCs w:val="18"/>
                    </w:rPr>
                  </w:pPr>
                  <w:r>
                    <w:rPr>
                      <w:bCs/>
                      <w:sz w:val="18"/>
                      <w:szCs w:val="18"/>
                    </w:rPr>
                    <w:t>类别</w:t>
                  </w:r>
                </w:p>
              </w:tc>
              <w:tc>
                <w:tcPr>
                  <w:tcW w:w="1023" w:type="pct"/>
                  <w:vAlign w:val="center"/>
                </w:tcPr>
                <w:p w14:paraId="2DA40DF9">
                  <w:pPr>
                    <w:jc w:val="center"/>
                    <w:rPr>
                      <w:bCs/>
                      <w:sz w:val="18"/>
                      <w:szCs w:val="18"/>
                    </w:rPr>
                  </w:pPr>
                  <w:r>
                    <w:rPr>
                      <w:bCs/>
                      <w:sz w:val="18"/>
                      <w:szCs w:val="18"/>
                    </w:rPr>
                    <w:t>污染源</w:t>
                  </w:r>
                </w:p>
              </w:tc>
              <w:tc>
                <w:tcPr>
                  <w:tcW w:w="2933" w:type="pct"/>
                  <w:vAlign w:val="center"/>
                </w:tcPr>
                <w:p w14:paraId="37FF0C2A">
                  <w:pPr>
                    <w:jc w:val="center"/>
                    <w:rPr>
                      <w:bCs/>
                      <w:sz w:val="18"/>
                      <w:szCs w:val="18"/>
                    </w:rPr>
                  </w:pPr>
                  <w:r>
                    <w:rPr>
                      <w:bCs/>
                      <w:sz w:val="18"/>
                      <w:szCs w:val="18"/>
                    </w:rPr>
                    <w:t>防治措施</w:t>
                  </w:r>
                </w:p>
              </w:tc>
              <w:tc>
                <w:tcPr>
                  <w:tcW w:w="278" w:type="pct"/>
                  <w:vAlign w:val="center"/>
                </w:tcPr>
                <w:p w14:paraId="7207C8DA">
                  <w:pPr>
                    <w:jc w:val="center"/>
                    <w:rPr>
                      <w:bCs/>
                      <w:sz w:val="18"/>
                      <w:szCs w:val="18"/>
                    </w:rPr>
                  </w:pPr>
                  <w:r>
                    <w:rPr>
                      <w:bCs/>
                      <w:sz w:val="18"/>
                      <w:szCs w:val="18"/>
                    </w:rPr>
                    <w:t>数量</w:t>
                  </w:r>
                </w:p>
              </w:tc>
              <w:tc>
                <w:tcPr>
                  <w:tcW w:w="485" w:type="pct"/>
                  <w:vAlign w:val="center"/>
                </w:tcPr>
                <w:p w14:paraId="3B32DE7F">
                  <w:pPr>
                    <w:jc w:val="center"/>
                    <w:rPr>
                      <w:bCs/>
                      <w:sz w:val="18"/>
                      <w:szCs w:val="18"/>
                    </w:rPr>
                  </w:pPr>
                  <w:r>
                    <w:rPr>
                      <w:bCs/>
                      <w:sz w:val="18"/>
                      <w:szCs w:val="18"/>
                    </w:rPr>
                    <w:t>投资（万元）</w:t>
                  </w:r>
                </w:p>
              </w:tc>
            </w:tr>
            <w:tr w14:paraId="09DF8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restart"/>
                  <w:vAlign w:val="center"/>
                </w:tcPr>
                <w:p w14:paraId="5391ECC1">
                  <w:pPr>
                    <w:jc w:val="center"/>
                    <w:rPr>
                      <w:bCs/>
                      <w:sz w:val="18"/>
                      <w:szCs w:val="18"/>
                    </w:rPr>
                  </w:pPr>
                  <w:r>
                    <w:rPr>
                      <w:bCs/>
                      <w:sz w:val="18"/>
                      <w:szCs w:val="18"/>
                    </w:rPr>
                    <w:t>废气</w:t>
                  </w:r>
                </w:p>
              </w:tc>
              <w:tc>
                <w:tcPr>
                  <w:tcW w:w="1023" w:type="pct"/>
                  <w:vAlign w:val="center"/>
                </w:tcPr>
                <w:p w14:paraId="60456A2C">
                  <w:pPr>
                    <w:pStyle w:val="19"/>
                    <w:spacing w:after="0"/>
                    <w:ind w:left="0" w:leftChars="0"/>
                    <w:jc w:val="center"/>
                    <w:rPr>
                      <w:rFonts w:hint="eastAsia" w:eastAsia="宋体"/>
                      <w:bCs/>
                      <w:kern w:val="2"/>
                      <w:sz w:val="18"/>
                      <w:szCs w:val="18"/>
                      <w:lang w:eastAsia="zh-CN"/>
                    </w:rPr>
                  </w:pPr>
                  <w:r>
                    <w:rPr>
                      <w:rFonts w:hint="eastAsia"/>
                      <w:bCs/>
                      <w:kern w:val="2"/>
                      <w:sz w:val="18"/>
                      <w:szCs w:val="18"/>
                      <w:lang w:val="en-US" w:eastAsia="zh-CN"/>
                    </w:rPr>
                    <w:t>五车间</w:t>
                  </w:r>
                </w:p>
              </w:tc>
              <w:tc>
                <w:tcPr>
                  <w:tcW w:w="2933" w:type="pct"/>
                  <w:vAlign w:val="center"/>
                </w:tcPr>
                <w:p w14:paraId="22F344C5">
                  <w:pPr>
                    <w:jc w:val="center"/>
                    <w:rPr>
                      <w:rFonts w:hint="eastAsia"/>
                      <w:bCs/>
                      <w:sz w:val="18"/>
                      <w:szCs w:val="18"/>
                    </w:rPr>
                  </w:pPr>
                  <w:r>
                    <w:rPr>
                      <w:rFonts w:hint="eastAsia"/>
                      <w:bCs/>
                      <w:sz w:val="18"/>
                      <w:szCs w:val="18"/>
                      <w:lang w:val="en-US" w:eastAsia="zh-CN"/>
                    </w:rPr>
                    <w:t>矩形</w:t>
                  </w:r>
                  <w:r>
                    <w:rPr>
                      <w:rFonts w:hint="eastAsia"/>
                      <w:bCs/>
                      <w:sz w:val="18"/>
                      <w:szCs w:val="18"/>
                    </w:rPr>
                    <w:t>集气罩（</w:t>
                  </w:r>
                  <w:r>
                    <w:rPr>
                      <w:rFonts w:hint="eastAsia"/>
                      <w:bCs/>
                      <w:sz w:val="18"/>
                      <w:szCs w:val="18"/>
                      <w:lang w:val="en-US" w:eastAsia="zh-CN"/>
                    </w:rPr>
                    <w:t>3</w:t>
                  </w:r>
                  <w:r>
                    <w:rPr>
                      <w:rFonts w:hint="eastAsia"/>
                      <w:bCs/>
                      <w:sz w:val="18"/>
                      <w:szCs w:val="18"/>
                    </w:rPr>
                    <w:t>套）+1#布袋除尘器（1套）+1根排气筒DA001（φ0.</w:t>
                  </w:r>
                  <w:r>
                    <w:rPr>
                      <w:rFonts w:hint="eastAsia"/>
                      <w:bCs/>
                      <w:sz w:val="18"/>
                      <w:szCs w:val="18"/>
                      <w:lang w:val="en-US" w:eastAsia="zh-CN"/>
                    </w:rPr>
                    <w:t>5</w:t>
                  </w:r>
                  <w:r>
                    <w:rPr>
                      <w:rFonts w:hint="eastAsia"/>
                      <w:bCs/>
                      <w:sz w:val="18"/>
                      <w:szCs w:val="18"/>
                    </w:rPr>
                    <w:t>m，H15m）；</w:t>
                  </w:r>
                </w:p>
                <w:p w14:paraId="70FD55B7">
                  <w:pPr>
                    <w:jc w:val="center"/>
                    <w:rPr>
                      <w:bCs/>
                      <w:sz w:val="18"/>
                      <w:szCs w:val="18"/>
                    </w:rPr>
                  </w:pPr>
                  <w:r>
                    <w:rPr>
                      <w:rFonts w:hint="eastAsia"/>
                      <w:bCs/>
                      <w:sz w:val="18"/>
                      <w:szCs w:val="18"/>
                    </w:rPr>
                    <w:t>通风设施，地面硬化；</w:t>
                  </w:r>
                </w:p>
              </w:tc>
              <w:tc>
                <w:tcPr>
                  <w:tcW w:w="278" w:type="pct"/>
                  <w:vAlign w:val="center"/>
                </w:tcPr>
                <w:p w14:paraId="4F05E465">
                  <w:pPr>
                    <w:jc w:val="center"/>
                    <w:rPr>
                      <w:bCs/>
                      <w:sz w:val="18"/>
                      <w:szCs w:val="18"/>
                    </w:rPr>
                  </w:pPr>
                  <w:r>
                    <w:rPr>
                      <w:rFonts w:hint="eastAsia"/>
                      <w:bCs/>
                      <w:sz w:val="18"/>
                      <w:szCs w:val="18"/>
                    </w:rPr>
                    <w:t>-</w:t>
                  </w:r>
                </w:p>
              </w:tc>
              <w:tc>
                <w:tcPr>
                  <w:tcW w:w="485" w:type="pct"/>
                  <w:vAlign w:val="center"/>
                </w:tcPr>
                <w:p w14:paraId="4ABDA1CC">
                  <w:pPr>
                    <w:jc w:val="center"/>
                    <w:rPr>
                      <w:bCs/>
                      <w:sz w:val="18"/>
                      <w:szCs w:val="18"/>
                    </w:rPr>
                  </w:pPr>
                  <w:r>
                    <w:rPr>
                      <w:rFonts w:hint="eastAsia"/>
                      <w:bCs/>
                      <w:sz w:val="18"/>
                      <w:szCs w:val="18"/>
                      <w:lang w:val="en-US" w:eastAsia="zh-CN"/>
                    </w:rPr>
                    <w:t>2</w:t>
                  </w:r>
                  <w:r>
                    <w:rPr>
                      <w:rFonts w:hint="eastAsia"/>
                      <w:bCs/>
                      <w:sz w:val="18"/>
                      <w:szCs w:val="18"/>
                    </w:rPr>
                    <w:t>0</w:t>
                  </w:r>
                </w:p>
              </w:tc>
            </w:tr>
            <w:tr w14:paraId="478ED1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0D0D5FA1">
                  <w:pPr>
                    <w:jc w:val="center"/>
                    <w:rPr>
                      <w:bCs/>
                      <w:sz w:val="18"/>
                      <w:szCs w:val="18"/>
                    </w:rPr>
                  </w:pPr>
                </w:p>
              </w:tc>
              <w:tc>
                <w:tcPr>
                  <w:tcW w:w="1023" w:type="pct"/>
                  <w:vAlign w:val="center"/>
                </w:tcPr>
                <w:p w14:paraId="34FC52D4">
                  <w:pPr>
                    <w:pStyle w:val="19"/>
                    <w:spacing w:after="0"/>
                    <w:ind w:left="0" w:leftChars="0"/>
                    <w:jc w:val="center"/>
                    <w:rPr>
                      <w:rFonts w:hint="eastAsia" w:eastAsia="宋体"/>
                      <w:bCs/>
                      <w:kern w:val="2"/>
                      <w:sz w:val="18"/>
                      <w:szCs w:val="18"/>
                      <w:lang w:eastAsia="zh-CN"/>
                    </w:rPr>
                  </w:pPr>
                  <w:r>
                    <w:rPr>
                      <w:rFonts w:hint="eastAsia"/>
                      <w:bCs/>
                      <w:kern w:val="2"/>
                      <w:sz w:val="18"/>
                      <w:szCs w:val="18"/>
                      <w:lang w:val="en-US" w:eastAsia="zh-CN"/>
                    </w:rPr>
                    <w:t>四车间</w:t>
                  </w:r>
                </w:p>
              </w:tc>
              <w:tc>
                <w:tcPr>
                  <w:tcW w:w="2933" w:type="pct"/>
                  <w:vAlign w:val="center"/>
                </w:tcPr>
                <w:p w14:paraId="2441B9ED">
                  <w:pPr>
                    <w:jc w:val="center"/>
                    <w:rPr>
                      <w:rFonts w:hint="default" w:eastAsia="宋体"/>
                      <w:bCs/>
                      <w:sz w:val="18"/>
                      <w:szCs w:val="18"/>
                      <w:lang w:val="en-US" w:eastAsia="zh-CN"/>
                    </w:rPr>
                  </w:pPr>
                  <w:r>
                    <w:rPr>
                      <w:rFonts w:hint="eastAsia"/>
                      <w:bCs/>
                      <w:sz w:val="18"/>
                      <w:szCs w:val="18"/>
                      <w:lang w:val="en-US" w:eastAsia="zh-CN"/>
                    </w:rPr>
                    <w:t>矩形</w:t>
                  </w:r>
                  <w:r>
                    <w:rPr>
                      <w:rFonts w:hint="eastAsia"/>
                      <w:bCs/>
                      <w:sz w:val="18"/>
                      <w:szCs w:val="18"/>
                    </w:rPr>
                    <w:t>集气罩（3套）</w:t>
                  </w:r>
                  <w:r>
                    <w:rPr>
                      <w:rFonts w:hint="eastAsia"/>
                      <w:bCs/>
                      <w:sz w:val="18"/>
                      <w:szCs w:val="18"/>
                      <w:lang w:eastAsia="zh-CN"/>
                    </w:rPr>
                    <w:t>，</w:t>
                  </w:r>
                  <w:r>
                    <w:rPr>
                      <w:rFonts w:hint="eastAsia"/>
                      <w:bCs/>
                      <w:sz w:val="18"/>
                      <w:szCs w:val="18"/>
                      <w:lang w:val="en-US" w:eastAsia="zh-CN"/>
                    </w:rPr>
                    <w:t>废气经风管通入1#布袋除尘器</w:t>
                  </w:r>
                </w:p>
              </w:tc>
              <w:tc>
                <w:tcPr>
                  <w:tcW w:w="278" w:type="pct"/>
                  <w:vAlign w:val="center"/>
                </w:tcPr>
                <w:p w14:paraId="397BFD4B">
                  <w:pPr>
                    <w:jc w:val="center"/>
                    <w:rPr>
                      <w:bCs/>
                      <w:sz w:val="18"/>
                      <w:szCs w:val="18"/>
                    </w:rPr>
                  </w:pPr>
                  <w:r>
                    <w:rPr>
                      <w:rFonts w:hint="eastAsia"/>
                      <w:bCs/>
                      <w:sz w:val="18"/>
                      <w:szCs w:val="18"/>
                    </w:rPr>
                    <w:t>-</w:t>
                  </w:r>
                </w:p>
              </w:tc>
              <w:tc>
                <w:tcPr>
                  <w:tcW w:w="485" w:type="pct"/>
                  <w:vAlign w:val="center"/>
                </w:tcPr>
                <w:p w14:paraId="53EF8FB0">
                  <w:pPr>
                    <w:jc w:val="center"/>
                    <w:rPr>
                      <w:bCs/>
                      <w:sz w:val="18"/>
                      <w:szCs w:val="18"/>
                    </w:rPr>
                  </w:pPr>
                  <w:r>
                    <w:rPr>
                      <w:rFonts w:hint="eastAsia"/>
                      <w:bCs/>
                      <w:sz w:val="18"/>
                      <w:szCs w:val="18"/>
                    </w:rPr>
                    <w:t>5</w:t>
                  </w:r>
                </w:p>
              </w:tc>
            </w:tr>
            <w:tr w14:paraId="4D8625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378E4D86">
                  <w:pPr>
                    <w:jc w:val="center"/>
                    <w:rPr>
                      <w:bCs/>
                      <w:sz w:val="18"/>
                      <w:szCs w:val="18"/>
                    </w:rPr>
                  </w:pPr>
                </w:p>
              </w:tc>
              <w:tc>
                <w:tcPr>
                  <w:tcW w:w="1023" w:type="pct"/>
                  <w:vAlign w:val="center"/>
                </w:tcPr>
                <w:p w14:paraId="75874D76">
                  <w:pPr>
                    <w:pStyle w:val="19"/>
                    <w:spacing w:after="0"/>
                    <w:ind w:left="0" w:leftChars="0"/>
                    <w:jc w:val="center"/>
                    <w:rPr>
                      <w:bCs/>
                      <w:kern w:val="2"/>
                      <w:sz w:val="18"/>
                      <w:szCs w:val="18"/>
                    </w:rPr>
                  </w:pPr>
                  <w:r>
                    <w:rPr>
                      <w:rFonts w:hint="eastAsia"/>
                      <w:bCs/>
                      <w:kern w:val="2"/>
                      <w:sz w:val="18"/>
                      <w:szCs w:val="18"/>
                      <w:lang w:val="en-US" w:eastAsia="zh-CN"/>
                    </w:rPr>
                    <w:t>三</w:t>
                  </w:r>
                  <w:r>
                    <w:rPr>
                      <w:rFonts w:hint="eastAsia"/>
                      <w:bCs/>
                      <w:kern w:val="2"/>
                      <w:sz w:val="18"/>
                      <w:szCs w:val="18"/>
                    </w:rPr>
                    <w:t>车间</w:t>
                  </w:r>
                </w:p>
              </w:tc>
              <w:tc>
                <w:tcPr>
                  <w:tcW w:w="2933" w:type="pct"/>
                  <w:vAlign w:val="center"/>
                </w:tcPr>
                <w:p w14:paraId="6B810033">
                  <w:pPr>
                    <w:jc w:val="center"/>
                    <w:rPr>
                      <w:rFonts w:hint="eastAsia"/>
                      <w:bCs/>
                      <w:sz w:val="18"/>
                      <w:szCs w:val="18"/>
                    </w:rPr>
                  </w:pPr>
                  <w:r>
                    <w:rPr>
                      <w:rFonts w:hint="eastAsia"/>
                      <w:bCs/>
                      <w:sz w:val="18"/>
                      <w:szCs w:val="18"/>
                      <w:lang w:val="en-US" w:eastAsia="zh-CN"/>
                    </w:rPr>
                    <w:t>矩形集气罩（3套）</w:t>
                  </w:r>
                  <w:r>
                    <w:rPr>
                      <w:rFonts w:hint="eastAsia"/>
                      <w:bCs/>
                      <w:sz w:val="18"/>
                      <w:szCs w:val="18"/>
                    </w:rPr>
                    <w:t>+2#布袋除尘器（1套）+1根排气筒DA002（φ0.</w:t>
                  </w:r>
                  <w:r>
                    <w:rPr>
                      <w:rFonts w:hint="eastAsia"/>
                      <w:bCs/>
                      <w:sz w:val="18"/>
                      <w:szCs w:val="18"/>
                      <w:lang w:val="en-US" w:eastAsia="zh-CN"/>
                    </w:rPr>
                    <w:t>8</w:t>
                  </w:r>
                  <w:r>
                    <w:rPr>
                      <w:rFonts w:hint="eastAsia"/>
                      <w:bCs/>
                      <w:sz w:val="18"/>
                      <w:szCs w:val="18"/>
                    </w:rPr>
                    <w:t>m，H15m）；</w:t>
                  </w:r>
                </w:p>
                <w:p w14:paraId="1D841CF0">
                  <w:pPr>
                    <w:jc w:val="center"/>
                    <w:rPr>
                      <w:bCs/>
                      <w:sz w:val="18"/>
                      <w:szCs w:val="18"/>
                    </w:rPr>
                  </w:pPr>
                  <w:r>
                    <w:rPr>
                      <w:rFonts w:hint="eastAsia"/>
                      <w:bCs/>
                      <w:sz w:val="18"/>
                      <w:szCs w:val="18"/>
                    </w:rPr>
                    <w:t>通风设施，地面硬化；</w:t>
                  </w:r>
                </w:p>
              </w:tc>
              <w:tc>
                <w:tcPr>
                  <w:tcW w:w="278" w:type="pct"/>
                  <w:vAlign w:val="center"/>
                </w:tcPr>
                <w:p w14:paraId="6F0A360E">
                  <w:pPr>
                    <w:jc w:val="center"/>
                    <w:rPr>
                      <w:bCs/>
                      <w:sz w:val="18"/>
                      <w:szCs w:val="18"/>
                    </w:rPr>
                  </w:pPr>
                  <w:r>
                    <w:rPr>
                      <w:rFonts w:hint="eastAsia"/>
                      <w:bCs/>
                      <w:sz w:val="18"/>
                      <w:szCs w:val="18"/>
                    </w:rPr>
                    <w:t>-</w:t>
                  </w:r>
                </w:p>
              </w:tc>
              <w:tc>
                <w:tcPr>
                  <w:tcW w:w="485" w:type="pct"/>
                  <w:vAlign w:val="center"/>
                </w:tcPr>
                <w:p w14:paraId="2735F0B9">
                  <w:pPr>
                    <w:jc w:val="center"/>
                    <w:rPr>
                      <w:rFonts w:hint="default" w:eastAsia="宋体"/>
                      <w:bCs/>
                      <w:sz w:val="18"/>
                      <w:szCs w:val="18"/>
                      <w:lang w:val="en-US" w:eastAsia="zh-CN"/>
                    </w:rPr>
                  </w:pPr>
                  <w:r>
                    <w:rPr>
                      <w:rFonts w:hint="eastAsia"/>
                      <w:bCs/>
                      <w:sz w:val="18"/>
                      <w:szCs w:val="18"/>
                      <w:lang w:val="en-US" w:eastAsia="zh-CN"/>
                    </w:rPr>
                    <w:t>20</w:t>
                  </w:r>
                </w:p>
              </w:tc>
            </w:tr>
            <w:tr w14:paraId="3CDC1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146A9008">
                  <w:pPr>
                    <w:jc w:val="center"/>
                    <w:rPr>
                      <w:bCs/>
                      <w:sz w:val="18"/>
                      <w:szCs w:val="18"/>
                    </w:rPr>
                  </w:pPr>
                </w:p>
              </w:tc>
              <w:tc>
                <w:tcPr>
                  <w:tcW w:w="1023" w:type="pct"/>
                  <w:vAlign w:val="center"/>
                </w:tcPr>
                <w:p w14:paraId="76C46C4A">
                  <w:pPr>
                    <w:pStyle w:val="19"/>
                    <w:spacing w:after="0"/>
                    <w:ind w:left="0" w:leftChars="0"/>
                    <w:jc w:val="center"/>
                    <w:rPr>
                      <w:rFonts w:hint="default"/>
                      <w:bCs/>
                      <w:kern w:val="2"/>
                      <w:sz w:val="18"/>
                      <w:szCs w:val="18"/>
                      <w:lang w:val="en-US" w:eastAsia="zh-CN"/>
                    </w:rPr>
                  </w:pPr>
                  <w:r>
                    <w:rPr>
                      <w:rFonts w:hint="eastAsia"/>
                      <w:bCs/>
                      <w:kern w:val="2"/>
                      <w:sz w:val="18"/>
                      <w:szCs w:val="18"/>
                      <w:lang w:val="en-US" w:eastAsia="zh-CN"/>
                    </w:rPr>
                    <w:t>三四五车间</w:t>
                  </w:r>
                </w:p>
              </w:tc>
              <w:tc>
                <w:tcPr>
                  <w:tcW w:w="2933" w:type="pct"/>
                  <w:vAlign w:val="center"/>
                </w:tcPr>
                <w:p w14:paraId="15682003">
                  <w:pPr>
                    <w:jc w:val="center"/>
                    <w:rPr>
                      <w:rFonts w:hint="default" w:eastAsia="宋体"/>
                      <w:bCs/>
                      <w:sz w:val="18"/>
                      <w:szCs w:val="18"/>
                      <w:lang w:val="en-US" w:eastAsia="zh-CN"/>
                    </w:rPr>
                  </w:pPr>
                  <w:r>
                    <w:rPr>
                      <w:rFonts w:hint="eastAsia"/>
                      <w:bCs/>
                      <w:sz w:val="18"/>
                      <w:szCs w:val="18"/>
                      <w:lang w:val="en-US" w:eastAsia="zh-CN"/>
                    </w:rPr>
                    <w:t>五车间干燥废气、四车间拼接胶粘废气+三车间喷漆废气由风管连接通入一套“干式纸盒漆雾过滤器+活性炭吸附/脱附+催化燃烧装”装置+</w:t>
                  </w:r>
                  <w:r>
                    <w:rPr>
                      <w:rFonts w:hint="eastAsia"/>
                      <w:bCs/>
                      <w:sz w:val="18"/>
                      <w:szCs w:val="18"/>
                    </w:rPr>
                    <w:t>DA00</w:t>
                  </w:r>
                  <w:r>
                    <w:rPr>
                      <w:rFonts w:hint="eastAsia"/>
                      <w:bCs/>
                      <w:sz w:val="18"/>
                      <w:szCs w:val="18"/>
                      <w:lang w:val="en-US" w:eastAsia="zh-CN"/>
                    </w:rPr>
                    <w:t>3</w:t>
                  </w:r>
                  <w:r>
                    <w:rPr>
                      <w:rFonts w:hint="eastAsia"/>
                      <w:bCs/>
                      <w:sz w:val="18"/>
                      <w:szCs w:val="18"/>
                    </w:rPr>
                    <w:t>（φ0.</w:t>
                  </w:r>
                  <w:r>
                    <w:rPr>
                      <w:rFonts w:hint="eastAsia"/>
                      <w:bCs/>
                      <w:sz w:val="18"/>
                      <w:szCs w:val="18"/>
                      <w:lang w:val="en-US" w:eastAsia="zh-CN"/>
                    </w:rPr>
                    <w:t>6</w:t>
                  </w:r>
                  <w:r>
                    <w:rPr>
                      <w:rFonts w:hint="eastAsia"/>
                      <w:bCs/>
                      <w:sz w:val="18"/>
                      <w:szCs w:val="18"/>
                    </w:rPr>
                    <w:t>m，H15m）</w:t>
                  </w:r>
                </w:p>
              </w:tc>
              <w:tc>
                <w:tcPr>
                  <w:tcW w:w="278" w:type="pct"/>
                  <w:vAlign w:val="center"/>
                </w:tcPr>
                <w:p w14:paraId="1A432978">
                  <w:pPr>
                    <w:jc w:val="center"/>
                    <w:rPr>
                      <w:rFonts w:hint="eastAsia" w:eastAsia="宋体"/>
                      <w:bCs/>
                      <w:sz w:val="18"/>
                      <w:szCs w:val="18"/>
                      <w:lang w:val="en-US" w:eastAsia="zh-CN"/>
                    </w:rPr>
                  </w:pPr>
                  <w:r>
                    <w:rPr>
                      <w:rFonts w:hint="eastAsia"/>
                      <w:bCs/>
                      <w:sz w:val="18"/>
                      <w:szCs w:val="18"/>
                      <w:lang w:val="en-US" w:eastAsia="zh-CN"/>
                    </w:rPr>
                    <w:t>-</w:t>
                  </w:r>
                </w:p>
              </w:tc>
              <w:tc>
                <w:tcPr>
                  <w:tcW w:w="485" w:type="pct"/>
                  <w:vAlign w:val="center"/>
                </w:tcPr>
                <w:p w14:paraId="1251CEB7">
                  <w:pPr>
                    <w:jc w:val="center"/>
                    <w:rPr>
                      <w:rFonts w:hint="default" w:eastAsia="宋体"/>
                      <w:bCs/>
                      <w:sz w:val="18"/>
                      <w:szCs w:val="18"/>
                      <w:lang w:val="en-US" w:eastAsia="zh-CN"/>
                    </w:rPr>
                  </w:pPr>
                  <w:r>
                    <w:rPr>
                      <w:rFonts w:hint="eastAsia"/>
                      <w:bCs/>
                      <w:sz w:val="18"/>
                      <w:szCs w:val="18"/>
                      <w:lang w:val="en-US" w:eastAsia="zh-CN"/>
                    </w:rPr>
                    <w:t>20</w:t>
                  </w:r>
                </w:p>
              </w:tc>
            </w:tr>
            <w:tr w14:paraId="5CD9D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0C70CA1F">
                  <w:pPr>
                    <w:jc w:val="center"/>
                    <w:rPr>
                      <w:bCs/>
                      <w:sz w:val="18"/>
                      <w:szCs w:val="18"/>
                    </w:rPr>
                  </w:pPr>
                </w:p>
              </w:tc>
              <w:tc>
                <w:tcPr>
                  <w:tcW w:w="1023" w:type="pct"/>
                  <w:shd w:val="clear" w:color="auto" w:fill="auto"/>
                  <w:vAlign w:val="center"/>
                </w:tcPr>
                <w:p w14:paraId="32A78420">
                  <w:pPr>
                    <w:pStyle w:val="19"/>
                    <w:spacing w:after="0"/>
                    <w:ind w:left="0" w:leftChars="0"/>
                    <w:jc w:val="center"/>
                    <w:rPr>
                      <w:rFonts w:hint="eastAsia" w:ascii="Times New Roman" w:hAnsi="Times New Roman" w:eastAsia="宋体" w:cs="Times New Roman"/>
                      <w:bCs/>
                      <w:kern w:val="2"/>
                      <w:sz w:val="18"/>
                      <w:szCs w:val="18"/>
                      <w:lang w:val="en-US" w:eastAsia="zh-CN" w:bidi="ar-SA"/>
                    </w:rPr>
                  </w:pPr>
                  <w:r>
                    <w:rPr>
                      <w:rFonts w:hint="eastAsia"/>
                      <w:bCs/>
                      <w:kern w:val="2"/>
                      <w:sz w:val="18"/>
                      <w:szCs w:val="18"/>
                      <w:lang w:val="en-US" w:eastAsia="zh-CN"/>
                    </w:rPr>
                    <w:t>二</w:t>
                  </w:r>
                  <w:r>
                    <w:rPr>
                      <w:rFonts w:hint="eastAsia"/>
                      <w:bCs/>
                      <w:kern w:val="2"/>
                      <w:sz w:val="18"/>
                      <w:szCs w:val="18"/>
                    </w:rPr>
                    <w:t>车间</w:t>
                  </w:r>
                </w:p>
              </w:tc>
              <w:tc>
                <w:tcPr>
                  <w:tcW w:w="2933" w:type="pct"/>
                  <w:vMerge w:val="restart"/>
                  <w:shd w:val="clear" w:color="auto" w:fill="auto"/>
                  <w:vAlign w:val="center"/>
                </w:tcPr>
                <w:p w14:paraId="3E7AD9A1">
                  <w:pPr>
                    <w:jc w:val="center"/>
                    <w:rPr>
                      <w:rFonts w:hint="eastAsia"/>
                      <w:bCs/>
                      <w:sz w:val="18"/>
                      <w:szCs w:val="18"/>
                    </w:rPr>
                  </w:pPr>
                  <w:r>
                    <w:rPr>
                      <w:rFonts w:hint="eastAsia"/>
                      <w:bCs/>
                      <w:sz w:val="18"/>
                      <w:szCs w:val="18"/>
                      <w:lang w:val="en-US" w:eastAsia="zh-CN"/>
                    </w:rPr>
                    <w:t>采用湿式加工作业，设置沉淀池</w:t>
                  </w:r>
                  <w:r>
                    <w:rPr>
                      <w:rFonts w:hint="eastAsia"/>
                      <w:bCs/>
                      <w:sz w:val="18"/>
                      <w:szCs w:val="18"/>
                    </w:rPr>
                    <w:t>；</w:t>
                  </w:r>
                </w:p>
                <w:p w14:paraId="73584979">
                  <w:pPr>
                    <w:jc w:val="center"/>
                    <w:rPr>
                      <w:bCs/>
                      <w:sz w:val="18"/>
                      <w:szCs w:val="18"/>
                    </w:rPr>
                  </w:pPr>
                  <w:r>
                    <w:rPr>
                      <w:rFonts w:hint="eastAsia"/>
                      <w:bCs/>
                      <w:sz w:val="18"/>
                      <w:szCs w:val="18"/>
                    </w:rPr>
                    <w:t>通风设施，地面硬化；</w:t>
                  </w:r>
                </w:p>
              </w:tc>
              <w:tc>
                <w:tcPr>
                  <w:tcW w:w="278" w:type="pct"/>
                  <w:shd w:val="clear" w:color="auto" w:fill="auto"/>
                  <w:vAlign w:val="center"/>
                </w:tcPr>
                <w:p w14:paraId="198BE467">
                  <w:pPr>
                    <w:jc w:val="center"/>
                    <w:rPr>
                      <w:rFonts w:hint="eastAsia" w:ascii="Times New Roman" w:hAnsi="Times New Roman" w:eastAsia="宋体" w:cs="Times New Roman"/>
                      <w:bCs/>
                      <w:kern w:val="2"/>
                      <w:sz w:val="18"/>
                      <w:szCs w:val="18"/>
                      <w:lang w:val="en-US" w:eastAsia="zh-CN" w:bidi="ar-SA"/>
                    </w:rPr>
                  </w:pPr>
                  <w:r>
                    <w:rPr>
                      <w:rFonts w:hint="eastAsia"/>
                      <w:bCs/>
                      <w:sz w:val="18"/>
                      <w:szCs w:val="18"/>
                    </w:rPr>
                    <w:t>-</w:t>
                  </w:r>
                </w:p>
              </w:tc>
              <w:tc>
                <w:tcPr>
                  <w:tcW w:w="485" w:type="pct"/>
                  <w:shd w:val="clear" w:color="auto" w:fill="auto"/>
                  <w:vAlign w:val="center"/>
                </w:tcPr>
                <w:p w14:paraId="4366CA75">
                  <w:pPr>
                    <w:jc w:val="center"/>
                    <w:rPr>
                      <w:rFonts w:hint="eastAsia" w:ascii="Times New Roman" w:hAnsi="Times New Roman" w:eastAsia="宋体" w:cs="Times New Roman"/>
                      <w:bCs/>
                      <w:kern w:val="2"/>
                      <w:sz w:val="18"/>
                      <w:szCs w:val="18"/>
                      <w:lang w:val="en-US" w:eastAsia="zh-CN" w:bidi="ar-SA"/>
                    </w:rPr>
                  </w:pPr>
                  <w:r>
                    <w:rPr>
                      <w:rFonts w:hint="eastAsia"/>
                      <w:bCs/>
                      <w:sz w:val="18"/>
                      <w:szCs w:val="18"/>
                    </w:rPr>
                    <w:t>5</w:t>
                  </w:r>
                </w:p>
              </w:tc>
            </w:tr>
            <w:tr w14:paraId="4DC4F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4A782DFE">
                  <w:pPr>
                    <w:jc w:val="center"/>
                    <w:rPr>
                      <w:bCs/>
                      <w:sz w:val="18"/>
                      <w:szCs w:val="18"/>
                    </w:rPr>
                  </w:pPr>
                </w:p>
              </w:tc>
              <w:tc>
                <w:tcPr>
                  <w:tcW w:w="1023" w:type="pct"/>
                  <w:vMerge w:val="restart"/>
                  <w:vAlign w:val="center"/>
                </w:tcPr>
                <w:p w14:paraId="0CFC61AB">
                  <w:pPr>
                    <w:pStyle w:val="19"/>
                    <w:spacing w:after="0"/>
                    <w:ind w:left="0" w:leftChars="0"/>
                    <w:jc w:val="center"/>
                    <w:rPr>
                      <w:bCs/>
                      <w:kern w:val="2"/>
                      <w:sz w:val="18"/>
                      <w:szCs w:val="18"/>
                    </w:rPr>
                  </w:pPr>
                  <w:r>
                    <w:rPr>
                      <w:rFonts w:hint="eastAsia"/>
                      <w:bCs/>
                      <w:kern w:val="2"/>
                      <w:sz w:val="18"/>
                      <w:szCs w:val="18"/>
                      <w:lang w:val="en-US" w:eastAsia="zh-CN"/>
                    </w:rPr>
                    <w:t>一</w:t>
                  </w:r>
                  <w:r>
                    <w:rPr>
                      <w:rFonts w:hint="eastAsia"/>
                      <w:bCs/>
                      <w:kern w:val="2"/>
                      <w:sz w:val="18"/>
                      <w:szCs w:val="18"/>
                    </w:rPr>
                    <w:t>车间</w:t>
                  </w:r>
                </w:p>
              </w:tc>
              <w:tc>
                <w:tcPr>
                  <w:tcW w:w="2933" w:type="pct"/>
                  <w:vMerge w:val="continue"/>
                  <w:vAlign w:val="center"/>
                </w:tcPr>
                <w:p w14:paraId="26F6885B">
                  <w:pPr>
                    <w:jc w:val="center"/>
                    <w:rPr>
                      <w:bCs/>
                      <w:sz w:val="18"/>
                      <w:szCs w:val="18"/>
                    </w:rPr>
                  </w:pPr>
                </w:p>
              </w:tc>
              <w:tc>
                <w:tcPr>
                  <w:tcW w:w="278" w:type="pct"/>
                  <w:vAlign w:val="center"/>
                </w:tcPr>
                <w:p w14:paraId="27F5CA49">
                  <w:pPr>
                    <w:jc w:val="center"/>
                    <w:rPr>
                      <w:bCs/>
                      <w:sz w:val="18"/>
                      <w:szCs w:val="18"/>
                    </w:rPr>
                  </w:pPr>
                  <w:r>
                    <w:rPr>
                      <w:rFonts w:hint="eastAsia"/>
                      <w:bCs/>
                      <w:sz w:val="18"/>
                      <w:szCs w:val="18"/>
                    </w:rPr>
                    <w:t>-</w:t>
                  </w:r>
                </w:p>
              </w:tc>
              <w:tc>
                <w:tcPr>
                  <w:tcW w:w="485" w:type="pct"/>
                  <w:vAlign w:val="center"/>
                </w:tcPr>
                <w:p w14:paraId="3D365DE6">
                  <w:pPr>
                    <w:jc w:val="center"/>
                    <w:rPr>
                      <w:bCs/>
                      <w:sz w:val="18"/>
                      <w:szCs w:val="18"/>
                    </w:rPr>
                  </w:pPr>
                  <w:r>
                    <w:rPr>
                      <w:rFonts w:hint="eastAsia"/>
                      <w:bCs/>
                      <w:sz w:val="18"/>
                      <w:szCs w:val="18"/>
                    </w:rPr>
                    <w:t>5</w:t>
                  </w:r>
                </w:p>
              </w:tc>
            </w:tr>
            <w:tr w14:paraId="079016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29B19B58">
                  <w:pPr>
                    <w:jc w:val="center"/>
                    <w:rPr>
                      <w:bCs/>
                      <w:sz w:val="18"/>
                      <w:szCs w:val="18"/>
                    </w:rPr>
                  </w:pPr>
                </w:p>
              </w:tc>
              <w:tc>
                <w:tcPr>
                  <w:tcW w:w="1023" w:type="pct"/>
                  <w:vMerge w:val="continue"/>
                  <w:vAlign w:val="center"/>
                </w:tcPr>
                <w:p w14:paraId="27F8BD1B">
                  <w:pPr>
                    <w:pStyle w:val="19"/>
                    <w:spacing w:after="0"/>
                    <w:ind w:left="0" w:leftChars="0"/>
                    <w:jc w:val="center"/>
                    <w:rPr>
                      <w:rFonts w:hint="eastAsia"/>
                      <w:bCs/>
                      <w:kern w:val="2"/>
                      <w:sz w:val="18"/>
                      <w:szCs w:val="18"/>
                      <w:lang w:val="en-US" w:eastAsia="zh-CN"/>
                    </w:rPr>
                  </w:pPr>
                </w:p>
              </w:tc>
              <w:tc>
                <w:tcPr>
                  <w:tcW w:w="2933" w:type="pct"/>
                  <w:vAlign w:val="center"/>
                </w:tcPr>
                <w:p w14:paraId="02DCC398">
                  <w:pPr>
                    <w:jc w:val="center"/>
                    <w:rPr>
                      <w:rFonts w:hint="default" w:eastAsia="宋体"/>
                      <w:bCs/>
                      <w:sz w:val="18"/>
                      <w:szCs w:val="18"/>
                      <w:lang w:val="en-US" w:eastAsia="zh-CN"/>
                    </w:rPr>
                  </w:pPr>
                  <w:r>
                    <w:rPr>
                      <w:rFonts w:hint="eastAsia"/>
                      <w:bCs/>
                      <w:sz w:val="18"/>
                      <w:szCs w:val="18"/>
                      <w:lang w:val="en-US" w:eastAsia="zh-CN"/>
                    </w:rPr>
                    <w:t>隧道窑采用低氮燃烧器+</w:t>
                  </w:r>
                  <w:r>
                    <w:rPr>
                      <w:rFonts w:hint="eastAsia"/>
                      <w:bCs/>
                      <w:sz w:val="18"/>
                      <w:szCs w:val="18"/>
                    </w:rPr>
                    <w:t>DA00</w:t>
                  </w:r>
                  <w:r>
                    <w:rPr>
                      <w:rFonts w:hint="eastAsia"/>
                      <w:bCs/>
                      <w:sz w:val="18"/>
                      <w:szCs w:val="18"/>
                      <w:lang w:val="en-US" w:eastAsia="zh-CN"/>
                    </w:rPr>
                    <w:t>5</w:t>
                  </w:r>
                  <w:r>
                    <w:rPr>
                      <w:rFonts w:hint="eastAsia"/>
                      <w:bCs/>
                      <w:sz w:val="18"/>
                      <w:szCs w:val="18"/>
                    </w:rPr>
                    <w:t>（φ0.</w:t>
                  </w:r>
                  <w:r>
                    <w:rPr>
                      <w:rFonts w:hint="eastAsia"/>
                      <w:bCs/>
                      <w:sz w:val="18"/>
                      <w:szCs w:val="18"/>
                      <w:lang w:val="en-US" w:eastAsia="zh-CN"/>
                    </w:rPr>
                    <w:t>5</w:t>
                  </w:r>
                  <w:r>
                    <w:rPr>
                      <w:rFonts w:hint="eastAsia"/>
                      <w:bCs/>
                      <w:sz w:val="18"/>
                      <w:szCs w:val="18"/>
                    </w:rPr>
                    <w:t>m，H15m）</w:t>
                  </w:r>
                </w:p>
              </w:tc>
              <w:tc>
                <w:tcPr>
                  <w:tcW w:w="278" w:type="pct"/>
                  <w:vAlign w:val="center"/>
                </w:tcPr>
                <w:p w14:paraId="1526B1A2">
                  <w:pPr>
                    <w:jc w:val="center"/>
                    <w:rPr>
                      <w:rFonts w:hint="eastAsia" w:eastAsia="宋体"/>
                      <w:bCs/>
                      <w:sz w:val="18"/>
                      <w:szCs w:val="18"/>
                      <w:lang w:val="en-US" w:eastAsia="zh-CN"/>
                    </w:rPr>
                  </w:pPr>
                  <w:r>
                    <w:rPr>
                      <w:rFonts w:hint="eastAsia"/>
                      <w:bCs/>
                      <w:sz w:val="18"/>
                      <w:szCs w:val="18"/>
                      <w:lang w:val="en-US" w:eastAsia="zh-CN"/>
                    </w:rPr>
                    <w:t>-</w:t>
                  </w:r>
                </w:p>
              </w:tc>
              <w:tc>
                <w:tcPr>
                  <w:tcW w:w="485" w:type="pct"/>
                  <w:vAlign w:val="center"/>
                </w:tcPr>
                <w:p w14:paraId="79FF5F9F">
                  <w:pPr>
                    <w:jc w:val="center"/>
                    <w:rPr>
                      <w:rFonts w:hint="default" w:eastAsia="宋体"/>
                      <w:bCs/>
                      <w:sz w:val="18"/>
                      <w:szCs w:val="18"/>
                      <w:lang w:val="en-US" w:eastAsia="zh-CN"/>
                    </w:rPr>
                  </w:pPr>
                  <w:r>
                    <w:rPr>
                      <w:rFonts w:hint="eastAsia"/>
                      <w:bCs/>
                      <w:sz w:val="18"/>
                      <w:szCs w:val="18"/>
                      <w:lang w:val="en-US" w:eastAsia="zh-CN"/>
                    </w:rPr>
                    <w:t>10</w:t>
                  </w:r>
                </w:p>
              </w:tc>
            </w:tr>
            <w:tr w14:paraId="4EFC53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2268C414">
                  <w:pPr>
                    <w:jc w:val="center"/>
                    <w:rPr>
                      <w:bCs/>
                      <w:sz w:val="18"/>
                      <w:szCs w:val="18"/>
                    </w:rPr>
                  </w:pPr>
                </w:p>
              </w:tc>
              <w:tc>
                <w:tcPr>
                  <w:tcW w:w="1023" w:type="pct"/>
                  <w:vAlign w:val="center"/>
                </w:tcPr>
                <w:p w14:paraId="10177019">
                  <w:pPr>
                    <w:pStyle w:val="19"/>
                    <w:spacing w:after="0"/>
                    <w:ind w:left="0" w:leftChars="0"/>
                    <w:jc w:val="center"/>
                    <w:rPr>
                      <w:rFonts w:hint="default"/>
                      <w:bCs/>
                      <w:kern w:val="2"/>
                      <w:sz w:val="18"/>
                      <w:szCs w:val="18"/>
                      <w:lang w:val="en-US" w:eastAsia="zh-CN"/>
                    </w:rPr>
                  </w:pPr>
                  <w:r>
                    <w:rPr>
                      <w:rFonts w:hint="eastAsia"/>
                      <w:bCs/>
                      <w:kern w:val="2"/>
                      <w:sz w:val="18"/>
                      <w:szCs w:val="18"/>
                      <w:lang w:val="en-US" w:eastAsia="zh-CN"/>
                    </w:rPr>
                    <w:t>锅炉房</w:t>
                  </w:r>
                </w:p>
              </w:tc>
              <w:tc>
                <w:tcPr>
                  <w:tcW w:w="2933" w:type="pct"/>
                  <w:vAlign w:val="center"/>
                </w:tcPr>
                <w:p w14:paraId="1D39BE43">
                  <w:pPr>
                    <w:jc w:val="center"/>
                    <w:rPr>
                      <w:bCs/>
                      <w:sz w:val="18"/>
                      <w:szCs w:val="18"/>
                    </w:rPr>
                  </w:pPr>
                  <w:r>
                    <w:rPr>
                      <w:rFonts w:hint="eastAsia"/>
                      <w:bCs/>
                      <w:sz w:val="18"/>
                      <w:szCs w:val="18"/>
                      <w:lang w:val="en-US" w:eastAsia="zh-CN"/>
                    </w:rPr>
                    <w:t>采用低氮燃烧器+烟气循环技术+</w:t>
                  </w:r>
                  <w:r>
                    <w:rPr>
                      <w:rFonts w:hint="eastAsia"/>
                      <w:bCs/>
                      <w:sz w:val="18"/>
                      <w:szCs w:val="18"/>
                    </w:rPr>
                    <w:t>DA00</w:t>
                  </w:r>
                  <w:r>
                    <w:rPr>
                      <w:rFonts w:hint="eastAsia"/>
                      <w:bCs/>
                      <w:sz w:val="18"/>
                      <w:szCs w:val="18"/>
                      <w:lang w:val="en-US" w:eastAsia="zh-CN"/>
                    </w:rPr>
                    <w:t>4</w:t>
                  </w:r>
                  <w:r>
                    <w:rPr>
                      <w:rFonts w:hint="eastAsia"/>
                      <w:bCs/>
                      <w:sz w:val="18"/>
                      <w:szCs w:val="18"/>
                    </w:rPr>
                    <w:t>（φ0.</w:t>
                  </w:r>
                  <w:r>
                    <w:rPr>
                      <w:rFonts w:hint="eastAsia"/>
                      <w:bCs/>
                      <w:sz w:val="18"/>
                      <w:szCs w:val="18"/>
                      <w:lang w:val="en-US" w:eastAsia="zh-CN"/>
                    </w:rPr>
                    <w:t>3</w:t>
                  </w:r>
                  <w:r>
                    <w:rPr>
                      <w:rFonts w:hint="eastAsia"/>
                      <w:bCs/>
                      <w:sz w:val="18"/>
                      <w:szCs w:val="18"/>
                    </w:rPr>
                    <w:t>m，H</w:t>
                  </w:r>
                  <w:r>
                    <w:rPr>
                      <w:rFonts w:hint="eastAsia"/>
                      <w:bCs/>
                      <w:sz w:val="18"/>
                      <w:szCs w:val="18"/>
                      <w:lang w:val="en-US" w:eastAsia="zh-CN"/>
                    </w:rPr>
                    <w:t>8</w:t>
                  </w:r>
                  <w:r>
                    <w:rPr>
                      <w:rFonts w:hint="eastAsia"/>
                      <w:bCs/>
                      <w:sz w:val="18"/>
                      <w:szCs w:val="18"/>
                    </w:rPr>
                    <w:t>m）</w:t>
                  </w:r>
                </w:p>
              </w:tc>
              <w:tc>
                <w:tcPr>
                  <w:tcW w:w="278" w:type="pct"/>
                  <w:vAlign w:val="center"/>
                </w:tcPr>
                <w:p w14:paraId="33992E7C">
                  <w:pPr>
                    <w:jc w:val="center"/>
                    <w:rPr>
                      <w:rFonts w:hint="eastAsia" w:eastAsia="宋体"/>
                      <w:bCs/>
                      <w:sz w:val="18"/>
                      <w:szCs w:val="18"/>
                      <w:lang w:val="en-US" w:eastAsia="zh-CN"/>
                    </w:rPr>
                  </w:pPr>
                  <w:r>
                    <w:rPr>
                      <w:rFonts w:hint="eastAsia"/>
                      <w:bCs/>
                      <w:sz w:val="18"/>
                      <w:szCs w:val="18"/>
                      <w:lang w:val="en-US" w:eastAsia="zh-CN"/>
                    </w:rPr>
                    <w:t>-</w:t>
                  </w:r>
                </w:p>
              </w:tc>
              <w:tc>
                <w:tcPr>
                  <w:tcW w:w="485" w:type="pct"/>
                  <w:vAlign w:val="center"/>
                </w:tcPr>
                <w:p w14:paraId="2C20A62A">
                  <w:pPr>
                    <w:jc w:val="center"/>
                    <w:rPr>
                      <w:rFonts w:hint="default" w:eastAsia="宋体"/>
                      <w:bCs/>
                      <w:sz w:val="18"/>
                      <w:szCs w:val="18"/>
                      <w:lang w:val="en-US" w:eastAsia="zh-CN"/>
                    </w:rPr>
                  </w:pPr>
                  <w:r>
                    <w:rPr>
                      <w:rFonts w:hint="eastAsia"/>
                      <w:bCs/>
                      <w:sz w:val="18"/>
                      <w:szCs w:val="18"/>
                      <w:lang w:val="en-US" w:eastAsia="zh-CN"/>
                    </w:rPr>
                    <w:t>15</w:t>
                  </w:r>
                </w:p>
              </w:tc>
            </w:tr>
            <w:tr w14:paraId="19B5C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restart"/>
                  <w:vAlign w:val="center"/>
                </w:tcPr>
                <w:p w14:paraId="77757C30">
                  <w:pPr>
                    <w:jc w:val="center"/>
                    <w:rPr>
                      <w:bCs/>
                      <w:sz w:val="18"/>
                      <w:szCs w:val="18"/>
                    </w:rPr>
                  </w:pPr>
                  <w:r>
                    <w:rPr>
                      <w:bCs/>
                      <w:sz w:val="18"/>
                      <w:szCs w:val="18"/>
                    </w:rPr>
                    <w:t>废水</w:t>
                  </w:r>
                </w:p>
              </w:tc>
              <w:tc>
                <w:tcPr>
                  <w:tcW w:w="1023" w:type="pct"/>
                  <w:vAlign w:val="center"/>
                </w:tcPr>
                <w:p w14:paraId="3E81C4F6">
                  <w:pPr>
                    <w:pStyle w:val="19"/>
                    <w:spacing w:after="0"/>
                    <w:ind w:left="0" w:leftChars="0"/>
                    <w:jc w:val="center"/>
                    <w:rPr>
                      <w:bCs/>
                      <w:kern w:val="2"/>
                      <w:sz w:val="18"/>
                      <w:szCs w:val="18"/>
                    </w:rPr>
                  </w:pPr>
                  <w:r>
                    <w:rPr>
                      <w:rFonts w:hint="eastAsia"/>
                      <w:bCs/>
                      <w:kern w:val="2"/>
                      <w:sz w:val="18"/>
                      <w:szCs w:val="18"/>
                    </w:rPr>
                    <w:t>生活污水</w:t>
                  </w:r>
                </w:p>
              </w:tc>
              <w:tc>
                <w:tcPr>
                  <w:tcW w:w="2933" w:type="pct"/>
                  <w:vMerge w:val="restart"/>
                  <w:vAlign w:val="center"/>
                </w:tcPr>
                <w:p w14:paraId="5D50C2DC">
                  <w:pPr>
                    <w:pStyle w:val="19"/>
                    <w:jc w:val="center"/>
                    <w:rPr>
                      <w:rFonts w:hint="default" w:eastAsia="宋体"/>
                      <w:bCs/>
                      <w:kern w:val="2"/>
                      <w:sz w:val="18"/>
                      <w:szCs w:val="18"/>
                      <w:lang w:val="en-US" w:eastAsia="zh-CN"/>
                    </w:rPr>
                  </w:pPr>
                  <w:r>
                    <w:rPr>
                      <w:rFonts w:hint="eastAsia"/>
                      <w:bCs/>
                      <w:kern w:val="2"/>
                      <w:sz w:val="18"/>
                      <w:szCs w:val="18"/>
                    </w:rPr>
                    <w:t>进入厂区化粪池（</w:t>
                  </w:r>
                  <w:r>
                    <w:rPr>
                      <w:rFonts w:hint="eastAsia"/>
                      <w:bCs/>
                      <w:kern w:val="2"/>
                      <w:sz w:val="18"/>
                      <w:szCs w:val="18"/>
                      <w:lang w:val="en-US" w:eastAsia="zh-CN"/>
                    </w:rPr>
                    <w:t>1</w:t>
                  </w:r>
                  <w:r>
                    <w:rPr>
                      <w:rFonts w:hint="eastAsia"/>
                      <w:bCs/>
                      <w:kern w:val="2"/>
                      <w:sz w:val="18"/>
                      <w:szCs w:val="18"/>
                    </w:rPr>
                    <w:t>座50m</w:t>
                  </w:r>
                  <w:r>
                    <w:rPr>
                      <w:rFonts w:hint="eastAsia"/>
                      <w:bCs/>
                      <w:kern w:val="2"/>
                      <w:sz w:val="18"/>
                      <w:szCs w:val="18"/>
                      <w:vertAlign w:val="superscript"/>
                    </w:rPr>
                    <w:t>3</w:t>
                  </w:r>
                  <w:r>
                    <w:rPr>
                      <w:rFonts w:hint="eastAsia"/>
                      <w:bCs/>
                      <w:kern w:val="2"/>
                      <w:sz w:val="18"/>
                      <w:szCs w:val="18"/>
                    </w:rPr>
                    <w:t>），汇入园区污水管网系统；</w:t>
                  </w:r>
                  <w:r>
                    <w:rPr>
                      <w:rFonts w:hint="eastAsia"/>
                      <w:bCs/>
                      <w:kern w:val="2"/>
                      <w:sz w:val="18"/>
                      <w:szCs w:val="18"/>
                      <w:lang w:val="en-US" w:eastAsia="zh-CN"/>
                    </w:rPr>
                    <w:t>1座沉淀池（3</w:t>
                  </w:r>
                  <w:r>
                    <w:rPr>
                      <w:rFonts w:hint="eastAsia"/>
                      <w:bCs/>
                      <w:kern w:val="2"/>
                      <w:sz w:val="18"/>
                      <w:szCs w:val="18"/>
                    </w:rPr>
                    <w:t>0m</w:t>
                  </w:r>
                  <w:r>
                    <w:rPr>
                      <w:rFonts w:hint="eastAsia"/>
                      <w:bCs/>
                      <w:kern w:val="2"/>
                      <w:sz w:val="18"/>
                      <w:szCs w:val="18"/>
                      <w:vertAlign w:val="superscript"/>
                    </w:rPr>
                    <w:t>3</w:t>
                  </w:r>
                  <w:r>
                    <w:rPr>
                      <w:rFonts w:hint="eastAsia"/>
                      <w:bCs/>
                      <w:kern w:val="2"/>
                      <w:sz w:val="18"/>
                      <w:szCs w:val="18"/>
                    </w:rPr>
                    <w:t>）</w:t>
                  </w:r>
                </w:p>
              </w:tc>
              <w:tc>
                <w:tcPr>
                  <w:tcW w:w="278" w:type="pct"/>
                  <w:vMerge w:val="restart"/>
                  <w:vAlign w:val="center"/>
                </w:tcPr>
                <w:p w14:paraId="14AED8F1">
                  <w:pPr>
                    <w:jc w:val="center"/>
                    <w:rPr>
                      <w:bCs/>
                      <w:sz w:val="18"/>
                      <w:szCs w:val="18"/>
                    </w:rPr>
                  </w:pPr>
                  <w:r>
                    <w:rPr>
                      <w:rFonts w:hint="eastAsia"/>
                      <w:bCs/>
                      <w:sz w:val="18"/>
                      <w:szCs w:val="18"/>
                    </w:rPr>
                    <w:t>-</w:t>
                  </w:r>
                </w:p>
              </w:tc>
              <w:tc>
                <w:tcPr>
                  <w:tcW w:w="485" w:type="pct"/>
                  <w:vMerge w:val="restart"/>
                  <w:vAlign w:val="center"/>
                </w:tcPr>
                <w:p w14:paraId="4D17695E">
                  <w:pPr>
                    <w:jc w:val="center"/>
                    <w:rPr>
                      <w:bCs/>
                      <w:sz w:val="18"/>
                      <w:szCs w:val="18"/>
                    </w:rPr>
                  </w:pPr>
                  <w:r>
                    <w:rPr>
                      <w:rFonts w:hint="eastAsia"/>
                      <w:bCs/>
                      <w:sz w:val="18"/>
                      <w:szCs w:val="18"/>
                    </w:rPr>
                    <w:t>12</w:t>
                  </w:r>
                </w:p>
              </w:tc>
            </w:tr>
            <w:tr w14:paraId="4071D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278" w:type="pct"/>
                  <w:vMerge w:val="continue"/>
                  <w:vAlign w:val="center"/>
                </w:tcPr>
                <w:p w14:paraId="78124DB1">
                  <w:pPr>
                    <w:jc w:val="center"/>
                    <w:rPr>
                      <w:bCs/>
                      <w:sz w:val="18"/>
                      <w:szCs w:val="18"/>
                    </w:rPr>
                  </w:pPr>
                </w:p>
              </w:tc>
              <w:tc>
                <w:tcPr>
                  <w:tcW w:w="1023" w:type="pct"/>
                  <w:vAlign w:val="center"/>
                </w:tcPr>
                <w:p w14:paraId="317DD1E3">
                  <w:pPr>
                    <w:pStyle w:val="19"/>
                    <w:spacing w:after="0"/>
                    <w:ind w:left="0" w:leftChars="0"/>
                    <w:jc w:val="center"/>
                    <w:rPr>
                      <w:bCs/>
                      <w:kern w:val="2"/>
                      <w:sz w:val="18"/>
                      <w:szCs w:val="18"/>
                    </w:rPr>
                  </w:pPr>
                  <w:r>
                    <w:rPr>
                      <w:rFonts w:hint="eastAsia"/>
                      <w:bCs/>
                      <w:kern w:val="2"/>
                      <w:sz w:val="18"/>
                      <w:szCs w:val="18"/>
                    </w:rPr>
                    <w:t>车间</w:t>
                  </w:r>
                  <w:r>
                    <w:rPr>
                      <w:bCs/>
                      <w:kern w:val="2"/>
                      <w:sz w:val="18"/>
                      <w:szCs w:val="18"/>
                    </w:rPr>
                    <w:t>地面冲洗废水</w:t>
                  </w:r>
                </w:p>
              </w:tc>
              <w:tc>
                <w:tcPr>
                  <w:tcW w:w="2933" w:type="pct"/>
                  <w:vMerge w:val="continue"/>
                  <w:vAlign w:val="center"/>
                </w:tcPr>
                <w:p w14:paraId="46388B3F">
                  <w:pPr>
                    <w:pStyle w:val="19"/>
                    <w:jc w:val="center"/>
                    <w:rPr>
                      <w:bCs/>
                      <w:kern w:val="2"/>
                      <w:sz w:val="18"/>
                      <w:szCs w:val="18"/>
                    </w:rPr>
                  </w:pPr>
                </w:p>
              </w:tc>
              <w:tc>
                <w:tcPr>
                  <w:tcW w:w="278" w:type="pct"/>
                  <w:vMerge w:val="continue"/>
                  <w:vAlign w:val="center"/>
                </w:tcPr>
                <w:p w14:paraId="74BF4B52">
                  <w:pPr>
                    <w:jc w:val="center"/>
                    <w:rPr>
                      <w:bCs/>
                      <w:sz w:val="18"/>
                      <w:szCs w:val="18"/>
                    </w:rPr>
                  </w:pPr>
                </w:p>
              </w:tc>
              <w:tc>
                <w:tcPr>
                  <w:tcW w:w="485" w:type="pct"/>
                  <w:vMerge w:val="continue"/>
                  <w:vAlign w:val="center"/>
                </w:tcPr>
                <w:p w14:paraId="3CE8C53B">
                  <w:pPr>
                    <w:jc w:val="center"/>
                    <w:rPr>
                      <w:bCs/>
                      <w:sz w:val="18"/>
                      <w:szCs w:val="18"/>
                    </w:rPr>
                  </w:pPr>
                </w:p>
              </w:tc>
            </w:tr>
            <w:tr w14:paraId="1EF90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278" w:type="pct"/>
                  <w:vMerge w:val="continue"/>
                  <w:vAlign w:val="center"/>
                </w:tcPr>
                <w:p w14:paraId="09E07CA8">
                  <w:pPr>
                    <w:jc w:val="center"/>
                    <w:rPr>
                      <w:bCs/>
                      <w:sz w:val="18"/>
                      <w:szCs w:val="18"/>
                    </w:rPr>
                  </w:pPr>
                </w:p>
              </w:tc>
              <w:tc>
                <w:tcPr>
                  <w:tcW w:w="1023" w:type="pct"/>
                  <w:vAlign w:val="center"/>
                </w:tcPr>
                <w:p w14:paraId="07D2F110">
                  <w:pPr>
                    <w:pStyle w:val="19"/>
                    <w:spacing w:after="0"/>
                    <w:ind w:left="0" w:leftChars="0"/>
                    <w:jc w:val="center"/>
                    <w:rPr>
                      <w:rFonts w:hint="default" w:eastAsia="宋体"/>
                      <w:bCs/>
                      <w:kern w:val="2"/>
                      <w:sz w:val="18"/>
                      <w:szCs w:val="18"/>
                      <w:lang w:val="en-US" w:eastAsia="zh-CN"/>
                    </w:rPr>
                  </w:pPr>
                  <w:r>
                    <w:rPr>
                      <w:rFonts w:hint="eastAsia"/>
                      <w:bCs/>
                      <w:kern w:val="2"/>
                      <w:sz w:val="18"/>
                      <w:szCs w:val="18"/>
                      <w:lang w:val="en-US" w:eastAsia="zh-CN"/>
                    </w:rPr>
                    <w:t>初期雨水收集池</w:t>
                  </w:r>
                </w:p>
              </w:tc>
              <w:tc>
                <w:tcPr>
                  <w:tcW w:w="2933" w:type="pct"/>
                  <w:vAlign w:val="center"/>
                </w:tcPr>
                <w:p w14:paraId="51FF3250">
                  <w:pPr>
                    <w:pStyle w:val="19"/>
                    <w:jc w:val="center"/>
                    <w:rPr>
                      <w:rFonts w:hint="eastAsia" w:eastAsia="宋体"/>
                      <w:bCs/>
                      <w:kern w:val="2"/>
                      <w:sz w:val="18"/>
                      <w:szCs w:val="18"/>
                      <w:lang w:val="en-US" w:eastAsia="zh-CN"/>
                    </w:rPr>
                  </w:pPr>
                  <w:r>
                    <w:rPr>
                      <w:rFonts w:hint="eastAsia"/>
                      <w:bCs/>
                      <w:kern w:val="2"/>
                      <w:sz w:val="18"/>
                      <w:szCs w:val="18"/>
                      <w:lang w:val="en-US" w:eastAsia="zh-CN"/>
                    </w:rPr>
                    <w:t>厂区设置雨水暗渠，通入1座10</w:t>
                  </w:r>
                  <w:r>
                    <w:rPr>
                      <w:rFonts w:hint="eastAsia"/>
                      <w:bCs/>
                      <w:kern w:val="2"/>
                      <w:sz w:val="18"/>
                      <w:szCs w:val="18"/>
                    </w:rPr>
                    <w:t>0m</w:t>
                  </w:r>
                  <w:r>
                    <w:rPr>
                      <w:rFonts w:hint="eastAsia"/>
                      <w:bCs/>
                      <w:kern w:val="2"/>
                      <w:sz w:val="18"/>
                      <w:szCs w:val="18"/>
                      <w:vertAlign w:val="superscript"/>
                    </w:rPr>
                    <w:t>3</w:t>
                  </w:r>
                  <w:r>
                    <w:rPr>
                      <w:rFonts w:hint="eastAsia"/>
                      <w:bCs/>
                      <w:kern w:val="2"/>
                      <w:sz w:val="18"/>
                      <w:szCs w:val="18"/>
                      <w:lang w:val="en-US" w:eastAsia="zh-CN"/>
                    </w:rPr>
                    <w:t>初期雨水收集池</w:t>
                  </w:r>
                </w:p>
              </w:tc>
              <w:tc>
                <w:tcPr>
                  <w:tcW w:w="278" w:type="pct"/>
                  <w:vAlign w:val="center"/>
                </w:tcPr>
                <w:p w14:paraId="4D81FE95">
                  <w:pPr>
                    <w:jc w:val="center"/>
                    <w:rPr>
                      <w:rFonts w:hint="eastAsia" w:eastAsia="宋体"/>
                      <w:bCs/>
                      <w:sz w:val="18"/>
                      <w:szCs w:val="18"/>
                      <w:lang w:val="en-US" w:eastAsia="zh-CN"/>
                    </w:rPr>
                  </w:pPr>
                  <w:r>
                    <w:rPr>
                      <w:rFonts w:hint="eastAsia"/>
                      <w:bCs/>
                      <w:sz w:val="18"/>
                      <w:szCs w:val="18"/>
                      <w:lang w:val="en-US" w:eastAsia="zh-CN"/>
                    </w:rPr>
                    <w:t>1</w:t>
                  </w:r>
                  <w:r>
                    <w:rPr>
                      <w:rFonts w:hint="eastAsia"/>
                      <w:bCs/>
                      <w:sz w:val="18"/>
                      <w:szCs w:val="18"/>
                    </w:rPr>
                    <w:t>座</w:t>
                  </w:r>
                </w:p>
              </w:tc>
              <w:tc>
                <w:tcPr>
                  <w:tcW w:w="485" w:type="pct"/>
                  <w:vAlign w:val="center"/>
                </w:tcPr>
                <w:p w14:paraId="2CF76D39">
                  <w:pPr>
                    <w:jc w:val="center"/>
                    <w:rPr>
                      <w:rFonts w:hint="default" w:eastAsia="宋体"/>
                      <w:bCs/>
                      <w:sz w:val="18"/>
                      <w:szCs w:val="18"/>
                      <w:lang w:val="en-US" w:eastAsia="zh-CN"/>
                    </w:rPr>
                  </w:pPr>
                  <w:r>
                    <w:rPr>
                      <w:rFonts w:hint="eastAsia"/>
                      <w:bCs/>
                      <w:sz w:val="18"/>
                      <w:szCs w:val="18"/>
                      <w:lang w:val="en-US" w:eastAsia="zh-CN"/>
                    </w:rPr>
                    <w:t>10</w:t>
                  </w:r>
                </w:p>
              </w:tc>
            </w:tr>
            <w:tr w14:paraId="213D27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278" w:type="pct"/>
                  <w:vMerge w:val="restart"/>
                  <w:vAlign w:val="center"/>
                </w:tcPr>
                <w:p w14:paraId="6DE08E17">
                  <w:pPr>
                    <w:jc w:val="center"/>
                    <w:rPr>
                      <w:bCs/>
                      <w:sz w:val="18"/>
                      <w:szCs w:val="18"/>
                    </w:rPr>
                  </w:pPr>
                  <w:r>
                    <w:rPr>
                      <w:bCs/>
                      <w:sz w:val="18"/>
                      <w:szCs w:val="18"/>
                    </w:rPr>
                    <w:t>固废</w:t>
                  </w:r>
                </w:p>
              </w:tc>
              <w:tc>
                <w:tcPr>
                  <w:tcW w:w="1023" w:type="pct"/>
                  <w:vAlign w:val="center"/>
                </w:tcPr>
                <w:p w14:paraId="2B41EAA3">
                  <w:pPr>
                    <w:pStyle w:val="19"/>
                    <w:spacing w:after="0"/>
                    <w:ind w:left="0" w:leftChars="0"/>
                    <w:jc w:val="center"/>
                    <w:rPr>
                      <w:bCs/>
                      <w:kern w:val="2"/>
                      <w:sz w:val="18"/>
                      <w:szCs w:val="18"/>
                    </w:rPr>
                  </w:pPr>
                  <w:r>
                    <w:rPr>
                      <w:rFonts w:hint="eastAsia"/>
                      <w:bCs/>
                      <w:kern w:val="2"/>
                      <w:sz w:val="18"/>
                      <w:szCs w:val="18"/>
                    </w:rPr>
                    <w:t>边角料、废渣废屑、除尘灰、沉渣</w:t>
                  </w:r>
                </w:p>
              </w:tc>
              <w:tc>
                <w:tcPr>
                  <w:tcW w:w="2933" w:type="pct"/>
                  <w:vAlign w:val="center"/>
                </w:tcPr>
                <w:p w14:paraId="593E7418">
                  <w:pPr>
                    <w:pStyle w:val="19"/>
                    <w:spacing w:after="0"/>
                    <w:ind w:left="0" w:leftChars="0"/>
                    <w:jc w:val="center"/>
                    <w:rPr>
                      <w:bCs/>
                      <w:kern w:val="2"/>
                      <w:sz w:val="18"/>
                      <w:szCs w:val="18"/>
                    </w:rPr>
                  </w:pPr>
                  <w:r>
                    <w:rPr>
                      <w:rFonts w:hint="eastAsia"/>
                      <w:bCs/>
                      <w:kern w:val="2"/>
                      <w:sz w:val="18"/>
                      <w:szCs w:val="18"/>
                    </w:rPr>
                    <w:t>统一收集后可外售综合利用；</w:t>
                  </w:r>
                </w:p>
              </w:tc>
              <w:tc>
                <w:tcPr>
                  <w:tcW w:w="278" w:type="pct"/>
                  <w:vAlign w:val="center"/>
                </w:tcPr>
                <w:p w14:paraId="673F8166">
                  <w:pPr>
                    <w:jc w:val="center"/>
                    <w:rPr>
                      <w:bCs/>
                      <w:sz w:val="18"/>
                      <w:szCs w:val="18"/>
                    </w:rPr>
                  </w:pPr>
                  <w:r>
                    <w:rPr>
                      <w:rFonts w:hint="eastAsia"/>
                      <w:bCs/>
                      <w:sz w:val="18"/>
                      <w:szCs w:val="18"/>
                    </w:rPr>
                    <w:t>/</w:t>
                  </w:r>
                </w:p>
              </w:tc>
              <w:tc>
                <w:tcPr>
                  <w:tcW w:w="485" w:type="pct"/>
                  <w:vAlign w:val="center"/>
                </w:tcPr>
                <w:p w14:paraId="4EA38BE5">
                  <w:pPr>
                    <w:jc w:val="center"/>
                    <w:rPr>
                      <w:bCs/>
                      <w:sz w:val="18"/>
                      <w:szCs w:val="18"/>
                    </w:rPr>
                  </w:pPr>
                  <w:r>
                    <w:rPr>
                      <w:rFonts w:hint="eastAsia"/>
                      <w:bCs/>
                      <w:sz w:val="18"/>
                      <w:szCs w:val="18"/>
                    </w:rPr>
                    <w:t>-</w:t>
                  </w:r>
                </w:p>
              </w:tc>
            </w:tr>
            <w:tr w14:paraId="36CFA7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Merge w:val="continue"/>
                  <w:vAlign w:val="center"/>
                </w:tcPr>
                <w:p w14:paraId="0D8986AD">
                  <w:pPr>
                    <w:jc w:val="center"/>
                    <w:rPr>
                      <w:bCs/>
                      <w:sz w:val="18"/>
                      <w:szCs w:val="18"/>
                    </w:rPr>
                  </w:pPr>
                </w:p>
              </w:tc>
              <w:tc>
                <w:tcPr>
                  <w:tcW w:w="1023" w:type="pct"/>
                  <w:vAlign w:val="center"/>
                </w:tcPr>
                <w:p w14:paraId="1DCADAA7">
                  <w:pPr>
                    <w:pStyle w:val="19"/>
                    <w:spacing w:after="0"/>
                    <w:ind w:left="0" w:leftChars="0"/>
                    <w:jc w:val="center"/>
                    <w:rPr>
                      <w:bCs/>
                      <w:kern w:val="2"/>
                      <w:sz w:val="18"/>
                      <w:szCs w:val="18"/>
                    </w:rPr>
                  </w:pPr>
                  <w:r>
                    <w:rPr>
                      <w:rFonts w:hint="eastAsia"/>
                      <w:bCs/>
                      <w:kern w:val="2"/>
                      <w:sz w:val="18"/>
                      <w:szCs w:val="18"/>
                    </w:rPr>
                    <w:t>废活性炭、废</w:t>
                  </w:r>
                  <w:r>
                    <w:rPr>
                      <w:rFonts w:hint="eastAsia"/>
                      <w:bCs/>
                      <w:kern w:val="2"/>
                      <w:sz w:val="18"/>
                      <w:szCs w:val="18"/>
                      <w:lang w:val="en-US" w:eastAsia="zh-CN"/>
                    </w:rPr>
                    <w:t>矿物油、废</w:t>
                  </w:r>
                  <w:r>
                    <w:rPr>
                      <w:rFonts w:hint="eastAsia"/>
                      <w:bCs/>
                      <w:kern w:val="2"/>
                      <w:sz w:val="18"/>
                      <w:szCs w:val="18"/>
                    </w:rPr>
                    <w:t>油</w:t>
                  </w:r>
                  <w:r>
                    <w:rPr>
                      <w:rFonts w:hint="eastAsia"/>
                      <w:bCs/>
                      <w:kern w:val="2"/>
                      <w:sz w:val="18"/>
                      <w:szCs w:val="18"/>
                      <w:lang w:val="en-US" w:eastAsia="zh-CN"/>
                    </w:rPr>
                    <w:t>桶</w:t>
                  </w:r>
                  <w:r>
                    <w:rPr>
                      <w:rFonts w:hint="eastAsia"/>
                      <w:bCs/>
                      <w:kern w:val="2"/>
                      <w:sz w:val="18"/>
                      <w:szCs w:val="18"/>
                    </w:rPr>
                    <w:t>、废催化剂、废过滤棉</w:t>
                  </w:r>
                </w:p>
              </w:tc>
              <w:tc>
                <w:tcPr>
                  <w:tcW w:w="2933" w:type="pct"/>
                  <w:vAlign w:val="center"/>
                </w:tcPr>
                <w:p w14:paraId="451D1B3F">
                  <w:pPr>
                    <w:pStyle w:val="19"/>
                    <w:spacing w:after="0"/>
                    <w:ind w:left="0" w:leftChars="0"/>
                    <w:jc w:val="center"/>
                    <w:rPr>
                      <w:bCs/>
                      <w:kern w:val="2"/>
                      <w:sz w:val="18"/>
                      <w:szCs w:val="18"/>
                    </w:rPr>
                  </w:pPr>
                  <w:r>
                    <w:rPr>
                      <w:rFonts w:hint="eastAsia"/>
                      <w:bCs/>
                      <w:kern w:val="2"/>
                      <w:sz w:val="18"/>
                      <w:szCs w:val="18"/>
                    </w:rPr>
                    <w:t>暂存于新建危废</w:t>
                  </w:r>
                  <w:r>
                    <w:rPr>
                      <w:rFonts w:hint="eastAsia"/>
                      <w:bCs/>
                      <w:kern w:val="2"/>
                      <w:sz w:val="18"/>
                      <w:szCs w:val="18"/>
                      <w:lang w:val="en-US" w:eastAsia="zh-CN"/>
                    </w:rPr>
                    <w:t>贮存</w:t>
                  </w:r>
                  <w:r>
                    <w:rPr>
                      <w:rFonts w:hint="eastAsia"/>
                      <w:bCs/>
                      <w:kern w:val="2"/>
                      <w:sz w:val="18"/>
                      <w:szCs w:val="18"/>
                    </w:rPr>
                    <w:t>库（</w:t>
                  </w:r>
                  <w:r>
                    <w:rPr>
                      <w:rFonts w:hint="eastAsia"/>
                      <w:bCs/>
                      <w:kern w:val="2"/>
                      <w:sz w:val="18"/>
                      <w:szCs w:val="18"/>
                      <w:lang w:val="en-US" w:eastAsia="zh-CN"/>
                    </w:rPr>
                    <w:t>2</w:t>
                  </w:r>
                  <w:r>
                    <w:rPr>
                      <w:rFonts w:hint="eastAsia"/>
                      <w:bCs/>
                      <w:kern w:val="2"/>
                      <w:sz w:val="18"/>
                      <w:szCs w:val="18"/>
                    </w:rPr>
                    <w:t>0m</w:t>
                  </w:r>
                  <w:r>
                    <w:rPr>
                      <w:rFonts w:hint="eastAsia"/>
                      <w:bCs/>
                      <w:kern w:val="2"/>
                      <w:sz w:val="18"/>
                      <w:szCs w:val="18"/>
                      <w:vertAlign w:val="superscript"/>
                    </w:rPr>
                    <w:t>2</w:t>
                  </w:r>
                  <w:r>
                    <w:rPr>
                      <w:rFonts w:hint="eastAsia"/>
                      <w:bCs/>
                      <w:kern w:val="2"/>
                      <w:sz w:val="18"/>
                      <w:szCs w:val="18"/>
                    </w:rPr>
                    <w:t>），危废库加设防渗、防淋、防腐等措施，定期委托有资质单位清运处置；</w:t>
                  </w:r>
                </w:p>
              </w:tc>
              <w:tc>
                <w:tcPr>
                  <w:tcW w:w="278" w:type="pct"/>
                  <w:vAlign w:val="center"/>
                </w:tcPr>
                <w:p w14:paraId="43AECA73">
                  <w:pPr>
                    <w:jc w:val="center"/>
                    <w:rPr>
                      <w:bCs/>
                      <w:sz w:val="18"/>
                      <w:szCs w:val="18"/>
                    </w:rPr>
                  </w:pPr>
                  <w:r>
                    <w:rPr>
                      <w:rFonts w:hint="eastAsia"/>
                      <w:bCs/>
                      <w:sz w:val="18"/>
                      <w:szCs w:val="18"/>
                    </w:rPr>
                    <w:t>1座</w:t>
                  </w:r>
                </w:p>
              </w:tc>
              <w:tc>
                <w:tcPr>
                  <w:tcW w:w="485" w:type="pct"/>
                  <w:vAlign w:val="center"/>
                </w:tcPr>
                <w:p w14:paraId="697E65C6">
                  <w:pPr>
                    <w:jc w:val="center"/>
                    <w:rPr>
                      <w:bCs/>
                      <w:sz w:val="18"/>
                      <w:szCs w:val="18"/>
                    </w:rPr>
                  </w:pPr>
                  <w:r>
                    <w:rPr>
                      <w:rFonts w:hint="eastAsia"/>
                      <w:bCs/>
                      <w:sz w:val="18"/>
                      <w:szCs w:val="18"/>
                    </w:rPr>
                    <w:t>15</w:t>
                  </w:r>
                </w:p>
              </w:tc>
            </w:tr>
            <w:tr w14:paraId="04CEC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Align w:val="center"/>
                </w:tcPr>
                <w:p w14:paraId="441DA822">
                  <w:pPr>
                    <w:jc w:val="center"/>
                    <w:rPr>
                      <w:bCs/>
                      <w:sz w:val="18"/>
                      <w:szCs w:val="18"/>
                    </w:rPr>
                  </w:pPr>
                  <w:r>
                    <w:rPr>
                      <w:bCs/>
                      <w:sz w:val="18"/>
                      <w:szCs w:val="18"/>
                    </w:rPr>
                    <w:t>噪声</w:t>
                  </w:r>
                </w:p>
              </w:tc>
              <w:tc>
                <w:tcPr>
                  <w:tcW w:w="1023" w:type="pct"/>
                  <w:vAlign w:val="center"/>
                </w:tcPr>
                <w:p w14:paraId="25BDBBB3">
                  <w:pPr>
                    <w:pStyle w:val="19"/>
                    <w:spacing w:after="0"/>
                    <w:ind w:left="0" w:leftChars="0"/>
                    <w:jc w:val="center"/>
                    <w:rPr>
                      <w:bCs/>
                      <w:kern w:val="2"/>
                      <w:sz w:val="18"/>
                      <w:szCs w:val="18"/>
                    </w:rPr>
                  </w:pPr>
                  <w:r>
                    <w:rPr>
                      <w:bCs/>
                      <w:kern w:val="2"/>
                      <w:sz w:val="18"/>
                      <w:szCs w:val="18"/>
                    </w:rPr>
                    <w:t>生产设备</w:t>
                  </w:r>
                </w:p>
              </w:tc>
              <w:tc>
                <w:tcPr>
                  <w:tcW w:w="2933" w:type="pct"/>
                  <w:vAlign w:val="center"/>
                </w:tcPr>
                <w:p w14:paraId="6F80D10A">
                  <w:pPr>
                    <w:pStyle w:val="19"/>
                    <w:spacing w:after="0"/>
                    <w:ind w:left="0" w:leftChars="0"/>
                    <w:jc w:val="center"/>
                    <w:rPr>
                      <w:bCs/>
                      <w:kern w:val="2"/>
                      <w:sz w:val="18"/>
                      <w:szCs w:val="18"/>
                    </w:rPr>
                  </w:pPr>
                  <w:r>
                    <w:rPr>
                      <w:bCs/>
                      <w:kern w:val="2"/>
                      <w:sz w:val="18"/>
                      <w:szCs w:val="18"/>
                    </w:rPr>
                    <w:t>选用低噪设备，室内布置</w:t>
                  </w:r>
                  <w:r>
                    <w:rPr>
                      <w:rFonts w:hint="eastAsia"/>
                      <w:bCs/>
                      <w:kern w:val="2"/>
                      <w:sz w:val="18"/>
                      <w:szCs w:val="18"/>
                    </w:rPr>
                    <w:t>，</w:t>
                  </w:r>
                  <w:r>
                    <w:rPr>
                      <w:bCs/>
                      <w:kern w:val="2"/>
                      <w:sz w:val="18"/>
                      <w:szCs w:val="18"/>
                    </w:rPr>
                    <w:t>基础减振，风机消声，隔声等措施</w:t>
                  </w:r>
                  <w:r>
                    <w:rPr>
                      <w:rFonts w:hint="eastAsia"/>
                      <w:bCs/>
                      <w:kern w:val="2"/>
                      <w:sz w:val="18"/>
                      <w:szCs w:val="18"/>
                    </w:rPr>
                    <w:t>；</w:t>
                  </w:r>
                </w:p>
              </w:tc>
              <w:tc>
                <w:tcPr>
                  <w:tcW w:w="278" w:type="pct"/>
                  <w:vAlign w:val="center"/>
                </w:tcPr>
                <w:p w14:paraId="0EFDE6B1">
                  <w:pPr>
                    <w:jc w:val="center"/>
                    <w:rPr>
                      <w:bCs/>
                      <w:sz w:val="18"/>
                      <w:szCs w:val="18"/>
                    </w:rPr>
                  </w:pPr>
                  <w:r>
                    <w:rPr>
                      <w:bCs/>
                      <w:sz w:val="18"/>
                      <w:szCs w:val="18"/>
                    </w:rPr>
                    <w:t>/</w:t>
                  </w:r>
                </w:p>
              </w:tc>
              <w:tc>
                <w:tcPr>
                  <w:tcW w:w="485" w:type="pct"/>
                  <w:vAlign w:val="center"/>
                </w:tcPr>
                <w:p w14:paraId="0E750523">
                  <w:pPr>
                    <w:jc w:val="center"/>
                    <w:rPr>
                      <w:bCs/>
                      <w:sz w:val="18"/>
                      <w:szCs w:val="18"/>
                    </w:rPr>
                  </w:pPr>
                  <w:r>
                    <w:rPr>
                      <w:rFonts w:hint="eastAsia"/>
                      <w:bCs/>
                      <w:sz w:val="18"/>
                      <w:szCs w:val="18"/>
                      <w:lang w:val="en-US" w:eastAsia="zh-CN"/>
                    </w:rPr>
                    <w:t>3</w:t>
                  </w:r>
                  <w:r>
                    <w:rPr>
                      <w:rFonts w:hint="eastAsia"/>
                      <w:bCs/>
                      <w:sz w:val="18"/>
                      <w:szCs w:val="18"/>
                    </w:rPr>
                    <w:t>0</w:t>
                  </w:r>
                </w:p>
              </w:tc>
            </w:tr>
            <w:tr w14:paraId="1292E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278" w:type="pct"/>
                  <w:vAlign w:val="center"/>
                </w:tcPr>
                <w:p w14:paraId="4ED03AF3">
                  <w:pPr>
                    <w:jc w:val="center"/>
                    <w:rPr>
                      <w:bCs/>
                      <w:sz w:val="18"/>
                      <w:szCs w:val="18"/>
                    </w:rPr>
                  </w:pPr>
                  <w:r>
                    <w:rPr>
                      <w:bCs/>
                      <w:sz w:val="18"/>
                      <w:szCs w:val="18"/>
                    </w:rPr>
                    <w:t>其他</w:t>
                  </w:r>
                </w:p>
              </w:tc>
              <w:tc>
                <w:tcPr>
                  <w:tcW w:w="1023" w:type="pct"/>
                  <w:vAlign w:val="center"/>
                </w:tcPr>
                <w:p w14:paraId="655EB508">
                  <w:pPr>
                    <w:pStyle w:val="19"/>
                    <w:spacing w:after="0"/>
                    <w:ind w:left="0" w:leftChars="0"/>
                    <w:jc w:val="center"/>
                    <w:rPr>
                      <w:bCs/>
                      <w:kern w:val="2"/>
                      <w:sz w:val="18"/>
                      <w:szCs w:val="18"/>
                    </w:rPr>
                  </w:pPr>
                  <w:r>
                    <w:rPr>
                      <w:rFonts w:hint="eastAsia"/>
                      <w:bCs/>
                      <w:kern w:val="2"/>
                      <w:sz w:val="18"/>
                      <w:szCs w:val="18"/>
                    </w:rPr>
                    <w:t>-</w:t>
                  </w:r>
                </w:p>
              </w:tc>
              <w:tc>
                <w:tcPr>
                  <w:tcW w:w="2933" w:type="pct"/>
                  <w:vAlign w:val="center"/>
                </w:tcPr>
                <w:p w14:paraId="7D12163C">
                  <w:pPr>
                    <w:pStyle w:val="19"/>
                    <w:spacing w:after="0"/>
                    <w:ind w:left="0" w:leftChars="0"/>
                    <w:jc w:val="center"/>
                    <w:rPr>
                      <w:bCs/>
                      <w:kern w:val="2"/>
                      <w:sz w:val="18"/>
                      <w:szCs w:val="18"/>
                    </w:rPr>
                  </w:pPr>
                  <w:r>
                    <w:rPr>
                      <w:rFonts w:hint="eastAsia"/>
                      <w:bCs/>
                      <w:kern w:val="2"/>
                      <w:sz w:val="18"/>
                      <w:szCs w:val="18"/>
                    </w:rPr>
                    <w:t>加强</w:t>
                  </w:r>
                  <w:r>
                    <w:rPr>
                      <w:bCs/>
                      <w:kern w:val="2"/>
                      <w:sz w:val="18"/>
                      <w:szCs w:val="18"/>
                    </w:rPr>
                    <w:t>厂区绿化及员工环保培训等</w:t>
                  </w:r>
                  <w:r>
                    <w:rPr>
                      <w:rFonts w:hint="eastAsia"/>
                      <w:bCs/>
                      <w:kern w:val="2"/>
                      <w:sz w:val="18"/>
                      <w:szCs w:val="18"/>
                    </w:rPr>
                    <w:t>。</w:t>
                  </w:r>
                </w:p>
              </w:tc>
              <w:tc>
                <w:tcPr>
                  <w:tcW w:w="278" w:type="pct"/>
                  <w:vAlign w:val="center"/>
                </w:tcPr>
                <w:p w14:paraId="63491597">
                  <w:pPr>
                    <w:jc w:val="center"/>
                    <w:rPr>
                      <w:bCs/>
                      <w:sz w:val="18"/>
                      <w:szCs w:val="18"/>
                    </w:rPr>
                  </w:pPr>
                </w:p>
              </w:tc>
              <w:tc>
                <w:tcPr>
                  <w:tcW w:w="485" w:type="pct"/>
                  <w:vAlign w:val="center"/>
                </w:tcPr>
                <w:p w14:paraId="5C6D2488">
                  <w:pPr>
                    <w:jc w:val="center"/>
                    <w:rPr>
                      <w:bCs/>
                      <w:sz w:val="18"/>
                      <w:szCs w:val="18"/>
                    </w:rPr>
                  </w:pPr>
                  <w:r>
                    <w:rPr>
                      <w:rFonts w:hint="eastAsia"/>
                      <w:bCs/>
                      <w:sz w:val="18"/>
                      <w:szCs w:val="18"/>
                    </w:rPr>
                    <w:t>5</w:t>
                  </w:r>
                </w:p>
              </w:tc>
            </w:tr>
            <w:tr w14:paraId="37FB6A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4514" w:type="pct"/>
                  <w:gridSpan w:val="4"/>
                  <w:vAlign w:val="center"/>
                </w:tcPr>
                <w:p w14:paraId="44679BBF">
                  <w:pPr>
                    <w:jc w:val="center"/>
                    <w:rPr>
                      <w:bCs/>
                      <w:sz w:val="18"/>
                      <w:szCs w:val="18"/>
                    </w:rPr>
                  </w:pPr>
                  <w:r>
                    <w:rPr>
                      <w:bCs/>
                      <w:sz w:val="18"/>
                      <w:szCs w:val="18"/>
                    </w:rPr>
                    <w:t>合计</w:t>
                  </w:r>
                </w:p>
              </w:tc>
              <w:tc>
                <w:tcPr>
                  <w:tcW w:w="485" w:type="pct"/>
                  <w:vAlign w:val="center"/>
                </w:tcPr>
                <w:p w14:paraId="068B8D30">
                  <w:pPr>
                    <w:jc w:val="center"/>
                    <w:rPr>
                      <w:bCs/>
                      <w:sz w:val="18"/>
                      <w:szCs w:val="18"/>
                    </w:rPr>
                  </w:pPr>
                  <w:r>
                    <w:rPr>
                      <w:rFonts w:hint="eastAsia"/>
                      <w:bCs/>
                      <w:sz w:val="18"/>
                      <w:szCs w:val="18"/>
                    </w:rPr>
                    <w:t>172</w:t>
                  </w:r>
                </w:p>
              </w:tc>
            </w:tr>
          </w:tbl>
          <w:p w14:paraId="673C90AA">
            <w:pPr>
              <w:spacing w:line="360" w:lineRule="auto"/>
              <w:ind w:firstLine="480" w:firstLineChars="200"/>
              <w:rPr>
                <w:color w:val="auto"/>
                <w:sz w:val="24"/>
              </w:rPr>
            </w:pPr>
          </w:p>
          <w:p w14:paraId="203BE6D3">
            <w:pPr>
              <w:spacing w:line="360" w:lineRule="auto"/>
              <w:ind w:firstLine="480" w:firstLineChars="200"/>
              <w:rPr>
                <w:color w:val="auto"/>
                <w:sz w:val="24"/>
              </w:rPr>
            </w:pPr>
          </w:p>
          <w:p w14:paraId="00BCE8FC">
            <w:pPr>
              <w:spacing w:line="360" w:lineRule="auto"/>
              <w:ind w:firstLine="480" w:firstLineChars="200"/>
              <w:rPr>
                <w:color w:val="auto"/>
                <w:sz w:val="24"/>
              </w:rPr>
            </w:pPr>
          </w:p>
        </w:tc>
      </w:tr>
    </w:tbl>
    <w:p w14:paraId="0EF4A544">
      <w:pPr>
        <w:adjustRightInd w:val="0"/>
        <w:snapToGrid w:val="0"/>
        <w:spacing w:line="360" w:lineRule="auto"/>
        <w:rPr>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556CA122">
      <w:pPr>
        <w:pStyle w:val="40"/>
        <w:jc w:val="center"/>
        <w:outlineLvl w:val="0"/>
        <w:rPr>
          <w:rFonts w:ascii="Times New Roman" w:hAnsi="Times New Roman" w:eastAsia="黑体"/>
          <w:snapToGrid w:val="0"/>
          <w:color w:val="auto"/>
          <w:sz w:val="30"/>
          <w:szCs w:val="30"/>
        </w:rPr>
      </w:pPr>
      <w:r>
        <w:rPr>
          <w:rFonts w:ascii="Times New Roman" w:hAnsi="黑体" w:eastAsia="黑体"/>
          <w:snapToGrid w:val="0"/>
          <w:color w:val="auto"/>
          <w:sz w:val="30"/>
          <w:szCs w:val="30"/>
        </w:rPr>
        <w:t>五、</w:t>
      </w:r>
      <w:bookmarkStart w:id="9" w:name="_Hlk54167917"/>
      <w:r>
        <w:rPr>
          <w:rFonts w:ascii="Times New Roman" w:hAnsi="黑体" w:eastAsia="黑体"/>
          <w:snapToGrid w:val="0"/>
          <w:color w:val="auto"/>
          <w:sz w:val="30"/>
          <w:szCs w:val="30"/>
        </w:rPr>
        <w:t>环境保护措施监督检查清单</w:t>
      </w:r>
      <w:bookmarkEnd w:id="9"/>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1678"/>
        <w:gridCol w:w="1314"/>
        <w:gridCol w:w="1963"/>
        <w:gridCol w:w="2400"/>
      </w:tblGrid>
      <w:tr w14:paraId="405EF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25" w:hRule="atLeast"/>
          <w:jc w:val="center"/>
        </w:trPr>
        <w:tc>
          <w:tcPr>
            <w:tcW w:w="1705" w:type="dxa"/>
            <w:tcBorders>
              <w:tl2br w:val="single" w:color="auto" w:sz="4" w:space="0"/>
            </w:tcBorders>
          </w:tcPr>
          <w:p w14:paraId="0362DB93">
            <w:pPr>
              <w:adjustRightInd w:val="0"/>
              <w:snapToGrid w:val="0"/>
              <w:ind w:firstLine="840"/>
              <w:rPr>
                <w:color w:val="auto"/>
                <w:szCs w:val="21"/>
              </w:rPr>
            </w:pPr>
            <w:r>
              <w:rPr>
                <w:color w:val="auto"/>
                <w:szCs w:val="21"/>
              </w:rPr>
              <w:t>内容</w:t>
            </w:r>
          </w:p>
          <w:p w14:paraId="2C774736">
            <w:pPr>
              <w:adjustRightInd w:val="0"/>
              <w:snapToGrid w:val="0"/>
              <w:rPr>
                <w:color w:val="auto"/>
                <w:szCs w:val="21"/>
              </w:rPr>
            </w:pPr>
            <w:r>
              <w:rPr>
                <w:color w:val="auto"/>
                <w:szCs w:val="21"/>
              </w:rPr>
              <w:t>要素</w:t>
            </w:r>
          </w:p>
        </w:tc>
        <w:tc>
          <w:tcPr>
            <w:tcW w:w="1678" w:type="dxa"/>
            <w:vAlign w:val="center"/>
          </w:tcPr>
          <w:p w14:paraId="5FBCE108">
            <w:pPr>
              <w:adjustRightInd w:val="0"/>
              <w:snapToGrid w:val="0"/>
              <w:jc w:val="center"/>
              <w:rPr>
                <w:color w:val="auto"/>
                <w:szCs w:val="21"/>
              </w:rPr>
            </w:pPr>
            <w:r>
              <w:rPr>
                <w:color w:val="auto"/>
                <w:szCs w:val="21"/>
              </w:rPr>
              <w:t>排放口(编号、</w:t>
            </w:r>
          </w:p>
          <w:p w14:paraId="61CA2578">
            <w:pPr>
              <w:adjustRightInd w:val="0"/>
              <w:snapToGrid w:val="0"/>
              <w:jc w:val="center"/>
              <w:rPr>
                <w:color w:val="auto"/>
                <w:szCs w:val="21"/>
              </w:rPr>
            </w:pPr>
            <w:r>
              <w:rPr>
                <w:color w:val="auto"/>
                <w:szCs w:val="21"/>
              </w:rPr>
              <w:t>名称)/污染源</w:t>
            </w:r>
          </w:p>
        </w:tc>
        <w:tc>
          <w:tcPr>
            <w:tcW w:w="1314" w:type="dxa"/>
            <w:vAlign w:val="center"/>
          </w:tcPr>
          <w:p w14:paraId="7BA177AC">
            <w:pPr>
              <w:adjustRightInd w:val="0"/>
              <w:snapToGrid w:val="0"/>
              <w:jc w:val="center"/>
              <w:rPr>
                <w:color w:val="auto"/>
                <w:szCs w:val="21"/>
              </w:rPr>
            </w:pPr>
            <w:r>
              <w:rPr>
                <w:color w:val="auto"/>
                <w:szCs w:val="21"/>
              </w:rPr>
              <w:t>污染物项目</w:t>
            </w:r>
          </w:p>
        </w:tc>
        <w:tc>
          <w:tcPr>
            <w:tcW w:w="1963" w:type="dxa"/>
            <w:vAlign w:val="center"/>
          </w:tcPr>
          <w:p w14:paraId="1B0C73DC">
            <w:pPr>
              <w:adjustRightInd w:val="0"/>
              <w:snapToGrid w:val="0"/>
              <w:jc w:val="center"/>
              <w:rPr>
                <w:color w:val="auto"/>
                <w:szCs w:val="21"/>
              </w:rPr>
            </w:pPr>
            <w:r>
              <w:rPr>
                <w:color w:val="auto"/>
                <w:szCs w:val="21"/>
              </w:rPr>
              <w:t>环境保护措施</w:t>
            </w:r>
          </w:p>
        </w:tc>
        <w:tc>
          <w:tcPr>
            <w:tcW w:w="2400" w:type="dxa"/>
            <w:vAlign w:val="center"/>
          </w:tcPr>
          <w:p w14:paraId="3C7D222E">
            <w:pPr>
              <w:adjustRightInd w:val="0"/>
              <w:snapToGrid w:val="0"/>
              <w:jc w:val="center"/>
              <w:rPr>
                <w:color w:val="auto"/>
                <w:szCs w:val="21"/>
              </w:rPr>
            </w:pPr>
            <w:r>
              <w:rPr>
                <w:color w:val="auto"/>
                <w:szCs w:val="21"/>
              </w:rPr>
              <w:t>执行标准</w:t>
            </w:r>
          </w:p>
        </w:tc>
      </w:tr>
      <w:tr w14:paraId="68DC69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restart"/>
            <w:vAlign w:val="center"/>
          </w:tcPr>
          <w:p w14:paraId="329813F3">
            <w:pPr>
              <w:adjustRightInd w:val="0"/>
              <w:snapToGrid w:val="0"/>
              <w:jc w:val="center"/>
              <w:rPr>
                <w:color w:val="auto"/>
                <w:szCs w:val="21"/>
              </w:rPr>
            </w:pPr>
            <w:r>
              <w:rPr>
                <w:color w:val="auto"/>
                <w:szCs w:val="21"/>
              </w:rPr>
              <w:t>大气环境</w:t>
            </w:r>
          </w:p>
        </w:tc>
        <w:tc>
          <w:tcPr>
            <w:tcW w:w="1678" w:type="dxa"/>
            <w:vAlign w:val="center"/>
          </w:tcPr>
          <w:p w14:paraId="5CDBA7A1">
            <w:pPr>
              <w:snapToGrid w:val="0"/>
              <w:jc w:val="center"/>
              <w:rPr>
                <w:rFonts w:hint="default" w:ascii="Times New Roman" w:hAnsi="Times New Roman" w:eastAsia="宋体" w:cs="Times New Roman"/>
                <w:color w:val="auto"/>
                <w:szCs w:val="21"/>
                <w:lang w:val="en-US" w:eastAsia="zh-CN"/>
              </w:rPr>
            </w:pPr>
            <w:r>
              <w:rPr>
                <w:rFonts w:hint="eastAsia"/>
                <w:color w:val="auto"/>
                <w:szCs w:val="21"/>
                <w:lang w:val="en-US" w:eastAsia="zh-CN"/>
              </w:rPr>
              <w:t>DA001/四五车间</w:t>
            </w:r>
          </w:p>
        </w:tc>
        <w:tc>
          <w:tcPr>
            <w:tcW w:w="1314" w:type="dxa"/>
            <w:vAlign w:val="center"/>
          </w:tcPr>
          <w:p w14:paraId="1AFD466C">
            <w:pPr>
              <w:snapToGrid w:val="0"/>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颗粒物</w:t>
            </w:r>
          </w:p>
        </w:tc>
        <w:tc>
          <w:tcPr>
            <w:tcW w:w="1963" w:type="dxa"/>
            <w:vAlign w:val="center"/>
          </w:tcPr>
          <w:p w14:paraId="1698E8F1">
            <w:pPr>
              <w:snapToGrid w:val="0"/>
              <w:jc w:val="center"/>
              <w:rPr>
                <w:rFonts w:hint="default" w:ascii="Times New Roman" w:hAnsi="Times New Roman" w:eastAsia="宋体" w:cs="Times New Roman"/>
                <w:color w:val="auto"/>
                <w:szCs w:val="21"/>
                <w:lang w:val="en-US" w:eastAsia="zh-CN"/>
              </w:rPr>
            </w:pPr>
            <w:r>
              <w:rPr>
                <w:rFonts w:hint="eastAsia"/>
                <w:color w:val="auto"/>
                <w:sz w:val="21"/>
                <w:szCs w:val="21"/>
                <w:lang w:val="en-US" w:eastAsia="zh-CN"/>
              </w:rPr>
              <w:t>设备上方设置矩形集气罩，废气经风管通入1#布袋除尘器净化处理达标后，由DA001（H15m，φ0.5m）排放</w:t>
            </w:r>
          </w:p>
        </w:tc>
        <w:tc>
          <w:tcPr>
            <w:tcW w:w="2400" w:type="dxa"/>
            <w:vMerge w:val="restart"/>
            <w:vAlign w:val="center"/>
          </w:tcPr>
          <w:p w14:paraId="07BAFAB4">
            <w:pPr>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kern w:val="0"/>
                <w:sz w:val="21"/>
                <w:szCs w:val="21"/>
                <w:lang w:val="en-US" w:eastAsia="zh-CN" w:bidi="ar"/>
              </w:rPr>
              <w:t>《大气污染物综合排放标准》</w:t>
            </w:r>
            <w:r>
              <w:rPr>
                <w:rFonts w:hint="default" w:ascii="Times New Roman" w:hAnsi="Times New Roman" w:eastAsia="宋体" w:cs="Times New Roman"/>
                <w:color w:val="auto"/>
                <w:kern w:val="0"/>
                <w:sz w:val="21"/>
                <w:szCs w:val="21"/>
                <w:lang w:val="en-US" w:eastAsia="zh-CN" w:bidi="ar"/>
              </w:rPr>
              <w:t>(GB16297-1996)</w:t>
            </w:r>
            <w:r>
              <w:rPr>
                <w:rFonts w:hint="eastAsia" w:ascii="Times New Roman" w:hAnsi="Times New Roman" w:eastAsia="宋体" w:cs="Times New Roman"/>
                <w:color w:val="auto"/>
                <w:kern w:val="0"/>
                <w:sz w:val="21"/>
                <w:szCs w:val="21"/>
                <w:lang w:val="en-US" w:eastAsia="zh-CN" w:bidi="ar"/>
              </w:rPr>
              <w:t xml:space="preserve">表 </w:t>
            </w:r>
            <w:r>
              <w:rPr>
                <w:rFonts w:hint="default" w:ascii="Times New Roman" w:hAnsi="Times New Roman" w:eastAsia="宋体" w:cs="Times New Roman"/>
                <w:color w:val="auto"/>
                <w:kern w:val="0"/>
                <w:sz w:val="21"/>
                <w:szCs w:val="21"/>
                <w:lang w:val="en-US" w:eastAsia="zh-CN" w:bidi="ar"/>
              </w:rPr>
              <w:t xml:space="preserve">2 </w:t>
            </w:r>
            <w:r>
              <w:rPr>
                <w:rFonts w:hint="eastAsia" w:ascii="Times New Roman" w:hAnsi="Times New Roman" w:eastAsia="宋体" w:cs="Times New Roman"/>
                <w:color w:val="auto"/>
                <w:kern w:val="0"/>
                <w:sz w:val="21"/>
                <w:szCs w:val="21"/>
                <w:lang w:val="en-US" w:eastAsia="zh-CN" w:bidi="ar"/>
              </w:rPr>
              <w:t>中的二级标准</w:t>
            </w:r>
            <w:r>
              <w:rPr>
                <w:rFonts w:hint="eastAsia" w:cs="Times New Roman"/>
                <w:color w:val="auto"/>
                <w:kern w:val="0"/>
                <w:sz w:val="21"/>
                <w:szCs w:val="21"/>
                <w:lang w:val="en-US" w:eastAsia="zh-CN" w:bidi="ar"/>
              </w:rPr>
              <w:t>要求</w:t>
            </w:r>
          </w:p>
        </w:tc>
      </w:tr>
      <w:tr w14:paraId="03E8FC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continue"/>
            <w:vAlign w:val="center"/>
          </w:tcPr>
          <w:p w14:paraId="01AF1482">
            <w:pPr>
              <w:adjustRightInd w:val="0"/>
              <w:snapToGrid w:val="0"/>
              <w:jc w:val="center"/>
              <w:rPr>
                <w:color w:val="auto"/>
                <w:szCs w:val="21"/>
              </w:rPr>
            </w:pPr>
          </w:p>
        </w:tc>
        <w:tc>
          <w:tcPr>
            <w:tcW w:w="1678" w:type="dxa"/>
            <w:vAlign w:val="center"/>
          </w:tcPr>
          <w:p w14:paraId="6DBA8096">
            <w:pPr>
              <w:snapToGrid w:val="0"/>
              <w:jc w:val="center"/>
              <w:rPr>
                <w:rFonts w:hint="default" w:ascii="Times New Roman" w:hAnsi="Times New Roman" w:eastAsia="宋体" w:cs="Times New Roman"/>
                <w:color w:val="auto"/>
                <w:szCs w:val="21"/>
                <w:lang w:val="en-US" w:eastAsia="zh-CN"/>
              </w:rPr>
            </w:pPr>
            <w:r>
              <w:rPr>
                <w:rFonts w:hint="eastAsia"/>
                <w:color w:val="auto"/>
                <w:szCs w:val="21"/>
                <w:lang w:val="en-US" w:eastAsia="zh-CN"/>
              </w:rPr>
              <w:t>DA002/三车间</w:t>
            </w:r>
          </w:p>
        </w:tc>
        <w:tc>
          <w:tcPr>
            <w:tcW w:w="1314" w:type="dxa"/>
            <w:vAlign w:val="center"/>
          </w:tcPr>
          <w:p w14:paraId="456F83EE">
            <w:pPr>
              <w:snapToGrid w:val="0"/>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颗粒物</w:t>
            </w:r>
          </w:p>
        </w:tc>
        <w:tc>
          <w:tcPr>
            <w:tcW w:w="1963" w:type="dxa"/>
            <w:vAlign w:val="center"/>
          </w:tcPr>
          <w:p w14:paraId="612E98BD">
            <w:pPr>
              <w:snapToGrid w:val="0"/>
              <w:jc w:val="center"/>
              <w:rPr>
                <w:rFonts w:hint="eastAsia" w:ascii="Times New Roman" w:hAnsi="Times New Roman" w:eastAsia="宋体" w:cs="Times New Roman"/>
                <w:color w:val="auto"/>
                <w:szCs w:val="21"/>
                <w:lang w:val="en-US" w:eastAsia="zh-CN"/>
              </w:rPr>
            </w:pPr>
            <w:r>
              <w:rPr>
                <w:rFonts w:hint="eastAsia"/>
                <w:color w:val="auto"/>
                <w:sz w:val="21"/>
                <w:szCs w:val="21"/>
                <w:lang w:val="en-US" w:eastAsia="zh-CN"/>
              </w:rPr>
              <w:t>设备上方设置矩形集气罩，废气经风管通入2#布袋除尘器净化处理达标后，由DA002（H15m，φ0.8m）排放</w:t>
            </w:r>
          </w:p>
        </w:tc>
        <w:tc>
          <w:tcPr>
            <w:tcW w:w="2400" w:type="dxa"/>
            <w:vMerge w:val="continue"/>
            <w:vAlign w:val="center"/>
          </w:tcPr>
          <w:p w14:paraId="36C83245">
            <w:pPr>
              <w:snapToGrid w:val="0"/>
              <w:jc w:val="center"/>
              <w:rPr>
                <w:rFonts w:hint="eastAsia" w:ascii="Times New Roman" w:hAnsi="Times New Roman" w:eastAsia="宋体" w:cs="Times New Roman"/>
                <w:color w:val="auto"/>
                <w:szCs w:val="21"/>
                <w:lang w:val="en-US" w:eastAsia="zh-CN"/>
              </w:rPr>
            </w:pPr>
          </w:p>
        </w:tc>
      </w:tr>
      <w:tr w14:paraId="320A14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continue"/>
            <w:vAlign w:val="center"/>
          </w:tcPr>
          <w:p w14:paraId="1C3B6EC5">
            <w:pPr>
              <w:adjustRightInd w:val="0"/>
              <w:snapToGrid w:val="0"/>
              <w:jc w:val="center"/>
              <w:rPr>
                <w:color w:val="auto"/>
                <w:szCs w:val="21"/>
              </w:rPr>
            </w:pPr>
          </w:p>
        </w:tc>
        <w:tc>
          <w:tcPr>
            <w:tcW w:w="1678" w:type="dxa"/>
            <w:vAlign w:val="center"/>
          </w:tcPr>
          <w:p w14:paraId="355E37D1">
            <w:pPr>
              <w:snapToGrid w:val="0"/>
              <w:jc w:val="center"/>
              <w:rPr>
                <w:rFonts w:hint="default" w:ascii="Times New Roman" w:hAnsi="Times New Roman" w:eastAsia="宋体" w:cs="Times New Roman"/>
                <w:color w:val="auto"/>
                <w:szCs w:val="21"/>
                <w:lang w:val="en-US" w:eastAsia="zh-CN"/>
              </w:rPr>
            </w:pPr>
            <w:r>
              <w:rPr>
                <w:rFonts w:hint="eastAsia"/>
                <w:color w:val="auto"/>
                <w:szCs w:val="21"/>
                <w:lang w:val="en-US" w:eastAsia="zh-CN"/>
              </w:rPr>
              <w:t>DA003/三四五车间</w:t>
            </w:r>
          </w:p>
        </w:tc>
        <w:tc>
          <w:tcPr>
            <w:tcW w:w="1314" w:type="dxa"/>
            <w:vAlign w:val="center"/>
          </w:tcPr>
          <w:p w14:paraId="10626FC0">
            <w:pPr>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非甲烷总烃</w:t>
            </w:r>
            <w:r>
              <w:rPr>
                <w:rFonts w:hint="eastAsia" w:cs="Times New Roman"/>
                <w:color w:val="auto"/>
                <w:szCs w:val="21"/>
                <w:lang w:val="en-US" w:eastAsia="zh-CN"/>
              </w:rPr>
              <w:t>、颗粒物</w:t>
            </w:r>
          </w:p>
        </w:tc>
        <w:tc>
          <w:tcPr>
            <w:tcW w:w="1963" w:type="dxa"/>
            <w:vAlign w:val="center"/>
          </w:tcPr>
          <w:p w14:paraId="42505528">
            <w:pPr>
              <w:snapToGrid w:val="0"/>
              <w:jc w:val="center"/>
              <w:rPr>
                <w:rFonts w:hint="eastAsia" w:ascii="Times New Roman" w:hAnsi="Times New Roman" w:eastAsia="宋体" w:cs="Times New Roman"/>
                <w:color w:val="auto"/>
                <w:szCs w:val="21"/>
                <w:lang w:val="en-US" w:eastAsia="zh-CN"/>
              </w:rPr>
            </w:pPr>
            <w:r>
              <w:rPr>
                <w:rFonts w:hint="eastAsia"/>
                <w:color w:val="auto"/>
                <w:sz w:val="21"/>
                <w:szCs w:val="21"/>
                <w:lang w:val="en-US" w:eastAsia="zh-CN"/>
              </w:rPr>
              <w:t>干燥、胶粘、喷漆废气经1套有机废气处理装置处理达标后，由DA003（H15m，φ0.6m）排放</w:t>
            </w:r>
          </w:p>
        </w:tc>
        <w:tc>
          <w:tcPr>
            <w:tcW w:w="2400" w:type="dxa"/>
            <w:vAlign w:val="center"/>
          </w:tcPr>
          <w:p w14:paraId="7FB7287C">
            <w:pPr>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《挥发性有机物无组织排放控制标准》GB 37822-2019中规定的排放限值</w:t>
            </w:r>
            <w:r>
              <w:rPr>
                <w:rFonts w:hint="eastAsia" w:cs="Times New Roman"/>
                <w:color w:val="auto"/>
                <w:szCs w:val="21"/>
                <w:lang w:val="en-US" w:eastAsia="zh-CN"/>
              </w:rPr>
              <w:t>、</w:t>
            </w:r>
            <w:r>
              <w:rPr>
                <w:rFonts w:hint="eastAsia" w:ascii="Times New Roman" w:hAnsi="Times New Roman" w:eastAsia="宋体" w:cs="Times New Roman"/>
                <w:color w:val="auto"/>
                <w:kern w:val="0"/>
                <w:sz w:val="21"/>
                <w:szCs w:val="21"/>
                <w:lang w:val="en-US" w:eastAsia="zh-CN" w:bidi="ar"/>
              </w:rPr>
              <w:t>《大气污染物综合排放标准》</w:t>
            </w:r>
            <w:r>
              <w:rPr>
                <w:rFonts w:hint="default" w:ascii="Times New Roman" w:hAnsi="Times New Roman" w:eastAsia="宋体" w:cs="Times New Roman"/>
                <w:color w:val="auto"/>
                <w:kern w:val="0"/>
                <w:sz w:val="21"/>
                <w:szCs w:val="21"/>
                <w:lang w:val="en-US" w:eastAsia="zh-CN" w:bidi="ar"/>
              </w:rPr>
              <w:t>(GB16297-1996)</w:t>
            </w:r>
            <w:r>
              <w:rPr>
                <w:rFonts w:hint="eastAsia" w:ascii="Times New Roman" w:hAnsi="Times New Roman" w:eastAsia="宋体" w:cs="Times New Roman"/>
                <w:color w:val="auto"/>
                <w:kern w:val="0"/>
                <w:sz w:val="21"/>
                <w:szCs w:val="21"/>
                <w:lang w:val="en-US" w:eastAsia="zh-CN" w:bidi="ar"/>
              </w:rPr>
              <w:t xml:space="preserve">表 </w:t>
            </w:r>
            <w:r>
              <w:rPr>
                <w:rFonts w:hint="default" w:ascii="Times New Roman" w:hAnsi="Times New Roman" w:eastAsia="宋体" w:cs="Times New Roman"/>
                <w:color w:val="auto"/>
                <w:kern w:val="0"/>
                <w:sz w:val="21"/>
                <w:szCs w:val="21"/>
                <w:lang w:val="en-US" w:eastAsia="zh-CN" w:bidi="ar"/>
              </w:rPr>
              <w:t xml:space="preserve">2 </w:t>
            </w:r>
            <w:r>
              <w:rPr>
                <w:rFonts w:hint="eastAsia" w:ascii="Times New Roman" w:hAnsi="Times New Roman" w:eastAsia="宋体" w:cs="Times New Roman"/>
                <w:color w:val="auto"/>
                <w:kern w:val="0"/>
                <w:sz w:val="21"/>
                <w:szCs w:val="21"/>
                <w:lang w:val="en-US" w:eastAsia="zh-CN" w:bidi="ar"/>
              </w:rPr>
              <w:t>中的二级标准</w:t>
            </w:r>
            <w:r>
              <w:rPr>
                <w:rFonts w:hint="eastAsia" w:cs="Times New Roman"/>
                <w:color w:val="auto"/>
                <w:kern w:val="0"/>
                <w:sz w:val="21"/>
                <w:szCs w:val="21"/>
                <w:lang w:val="en-US" w:eastAsia="zh-CN" w:bidi="ar"/>
              </w:rPr>
              <w:t>要求</w:t>
            </w:r>
          </w:p>
        </w:tc>
      </w:tr>
      <w:tr w14:paraId="4F3C7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continue"/>
            <w:vAlign w:val="center"/>
          </w:tcPr>
          <w:p w14:paraId="5956DBC5">
            <w:pPr>
              <w:adjustRightInd w:val="0"/>
              <w:snapToGrid w:val="0"/>
              <w:jc w:val="center"/>
              <w:rPr>
                <w:color w:val="auto"/>
                <w:szCs w:val="21"/>
              </w:rPr>
            </w:pPr>
          </w:p>
        </w:tc>
        <w:tc>
          <w:tcPr>
            <w:tcW w:w="1678" w:type="dxa"/>
            <w:vAlign w:val="center"/>
          </w:tcPr>
          <w:p w14:paraId="09FE9D5D">
            <w:pPr>
              <w:snapToGrid w:val="0"/>
              <w:jc w:val="center"/>
              <w:rPr>
                <w:rFonts w:hint="eastAsia" w:ascii="Times New Roman" w:hAnsi="Times New Roman" w:eastAsia="宋体" w:cs="Times New Roman"/>
                <w:color w:val="auto"/>
                <w:szCs w:val="21"/>
                <w:lang w:val="en-US" w:eastAsia="zh-CN"/>
              </w:rPr>
            </w:pPr>
            <w:r>
              <w:rPr>
                <w:rFonts w:hint="eastAsia"/>
                <w:color w:val="auto"/>
                <w:szCs w:val="21"/>
                <w:lang w:val="en-US" w:eastAsia="zh-CN"/>
              </w:rPr>
              <w:t>DA004/锅炉</w:t>
            </w:r>
          </w:p>
        </w:tc>
        <w:tc>
          <w:tcPr>
            <w:tcW w:w="1314" w:type="dxa"/>
            <w:vAlign w:val="center"/>
          </w:tcPr>
          <w:p w14:paraId="58DB3766">
            <w:pPr>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颗粒物、二氧化硫、氮氧化物</w:t>
            </w:r>
          </w:p>
        </w:tc>
        <w:tc>
          <w:tcPr>
            <w:tcW w:w="1963" w:type="dxa"/>
            <w:vAlign w:val="center"/>
          </w:tcPr>
          <w:p w14:paraId="7769C3A3">
            <w:pPr>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采用低氮燃烧器+烟气循环技术，废气由</w:t>
            </w:r>
            <w:r>
              <w:rPr>
                <w:rFonts w:hint="eastAsia"/>
                <w:color w:val="auto"/>
                <w:sz w:val="21"/>
                <w:szCs w:val="21"/>
                <w:lang w:val="en-US" w:eastAsia="zh-CN"/>
              </w:rPr>
              <w:t>DA004（H8m，φ0.3m）排放</w:t>
            </w:r>
          </w:p>
        </w:tc>
        <w:tc>
          <w:tcPr>
            <w:tcW w:w="2400" w:type="dxa"/>
            <w:vAlign w:val="center"/>
          </w:tcPr>
          <w:p w14:paraId="25AD66CA">
            <w:pPr>
              <w:snapToGrid w:val="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《锅炉大气污染物排放标准》</w:t>
            </w:r>
          </w:p>
          <w:p w14:paraId="4B589885">
            <w:pPr>
              <w:snapToGrid w:val="0"/>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kern w:val="0"/>
                <w:sz w:val="21"/>
                <w:szCs w:val="21"/>
                <w:lang w:val="en-US" w:eastAsia="zh-CN" w:bidi="ar"/>
              </w:rPr>
              <w:t>（DB14/1929-2019）表</w:t>
            </w:r>
            <w:r>
              <w:rPr>
                <w:rFonts w:hint="eastAsia" w:cs="Times New Roman"/>
                <w:color w:val="auto"/>
                <w:kern w:val="0"/>
                <w:sz w:val="21"/>
                <w:szCs w:val="21"/>
                <w:lang w:val="en-US" w:eastAsia="zh-CN" w:bidi="ar"/>
              </w:rPr>
              <w:t>3</w:t>
            </w:r>
            <w:r>
              <w:rPr>
                <w:rFonts w:hint="default" w:ascii="Times New Roman" w:hAnsi="Times New Roman" w:eastAsia="宋体" w:cs="Times New Roman"/>
                <w:color w:val="auto"/>
                <w:kern w:val="0"/>
                <w:sz w:val="21"/>
                <w:szCs w:val="21"/>
                <w:lang w:val="en-US" w:eastAsia="zh-CN" w:bidi="ar"/>
              </w:rPr>
              <w:t>燃</w:t>
            </w:r>
            <w:r>
              <w:rPr>
                <w:rFonts w:hint="eastAsia" w:cs="Times New Roman"/>
                <w:color w:val="auto"/>
                <w:kern w:val="0"/>
                <w:sz w:val="21"/>
                <w:szCs w:val="21"/>
                <w:lang w:val="en-US" w:eastAsia="zh-CN" w:bidi="ar"/>
              </w:rPr>
              <w:t>气</w:t>
            </w:r>
            <w:r>
              <w:rPr>
                <w:rFonts w:hint="default" w:ascii="Times New Roman" w:hAnsi="Times New Roman" w:eastAsia="宋体" w:cs="Times New Roman"/>
                <w:color w:val="auto"/>
                <w:kern w:val="0"/>
                <w:sz w:val="21"/>
                <w:szCs w:val="21"/>
                <w:lang w:val="en-US" w:eastAsia="zh-CN" w:bidi="ar"/>
              </w:rPr>
              <w:t>锅炉标准</w:t>
            </w:r>
          </w:p>
        </w:tc>
      </w:tr>
      <w:tr w14:paraId="3696B9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continue"/>
            <w:vAlign w:val="center"/>
          </w:tcPr>
          <w:p w14:paraId="1EE973E5">
            <w:pPr>
              <w:adjustRightInd w:val="0"/>
              <w:snapToGrid w:val="0"/>
              <w:jc w:val="center"/>
              <w:rPr>
                <w:color w:val="auto"/>
                <w:szCs w:val="21"/>
              </w:rPr>
            </w:pPr>
          </w:p>
        </w:tc>
        <w:tc>
          <w:tcPr>
            <w:tcW w:w="1678" w:type="dxa"/>
            <w:shd w:val="clear" w:color="auto" w:fill="auto"/>
            <w:vAlign w:val="center"/>
          </w:tcPr>
          <w:p w14:paraId="52D0D1BC">
            <w:pPr>
              <w:snapToGrid w:val="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DA005/一车间隧道窑</w:t>
            </w:r>
          </w:p>
        </w:tc>
        <w:tc>
          <w:tcPr>
            <w:tcW w:w="1314" w:type="dxa"/>
            <w:shd w:val="clear" w:color="auto" w:fill="auto"/>
            <w:vAlign w:val="center"/>
          </w:tcPr>
          <w:p w14:paraId="7255988B">
            <w:pPr>
              <w:snapToGrid w:val="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颗粒物、二氧化硫、氮氧化物</w:t>
            </w:r>
          </w:p>
        </w:tc>
        <w:tc>
          <w:tcPr>
            <w:tcW w:w="1963" w:type="dxa"/>
            <w:shd w:val="clear" w:color="auto" w:fill="auto"/>
            <w:vAlign w:val="center"/>
          </w:tcPr>
          <w:p w14:paraId="2FF94CDF">
            <w:pPr>
              <w:snapToGrid w:val="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采用低氮燃烧，废气由</w:t>
            </w:r>
            <w:r>
              <w:rPr>
                <w:rFonts w:hint="eastAsia"/>
                <w:color w:val="auto"/>
                <w:sz w:val="21"/>
                <w:szCs w:val="21"/>
                <w:lang w:val="en-US" w:eastAsia="zh-CN"/>
              </w:rPr>
              <w:t>DA005（H15m，φ0.5m）排放</w:t>
            </w:r>
          </w:p>
        </w:tc>
        <w:tc>
          <w:tcPr>
            <w:tcW w:w="2400" w:type="dxa"/>
            <w:shd w:val="clear" w:color="auto" w:fill="auto"/>
            <w:vAlign w:val="center"/>
          </w:tcPr>
          <w:p w14:paraId="7D67D591">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《山西省工业炉窑大气污染综合治理实施方案》（晋环</w:t>
            </w:r>
          </w:p>
          <w:p w14:paraId="2C03F4F2">
            <w:pPr>
              <w:snapToGrid w:val="0"/>
              <w:jc w:val="center"/>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宋体"/>
                <w:color w:val="auto"/>
                <w:kern w:val="0"/>
                <w:sz w:val="21"/>
                <w:szCs w:val="21"/>
                <w:lang w:val="en-US" w:eastAsia="zh-CN" w:bidi="ar"/>
              </w:rPr>
              <w:t>大气〔</w:t>
            </w:r>
            <w:r>
              <w:rPr>
                <w:rFonts w:hint="default" w:ascii="Times New Roman" w:hAnsi="Times New Roman" w:eastAsia="宋体" w:cs="Times New Roman"/>
                <w:color w:val="auto"/>
                <w:kern w:val="0"/>
                <w:sz w:val="21"/>
                <w:szCs w:val="21"/>
                <w:lang w:val="en-US" w:eastAsia="zh-CN" w:bidi="ar"/>
              </w:rPr>
              <w:t>2019</w:t>
            </w:r>
            <w:r>
              <w:rPr>
                <w:rFonts w:hint="eastAsia" w:ascii="宋体" w:hAnsi="宋体" w:eastAsia="宋体" w:cs="宋体"/>
                <w:color w:val="auto"/>
                <w:kern w:val="0"/>
                <w:sz w:val="21"/>
                <w:szCs w:val="21"/>
                <w:lang w:val="en-US" w:eastAsia="zh-CN" w:bidi="ar"/>
              </w:rPr>
              <w:t>〕）相关要求</w:t>
            </w:r>
          </w:p>
        </w:tc>
      </w:tr>
      <w:tr w14:paraId="470AEA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705" w:type="dxa"/>
            <w:vMerge w:val="continue"/>
            <w:vAlign w:val="center"/>
          </w:tcPr>
          <w:p w14:paraId="051B897F">
            <w:pPr>
              <w:adjustRightInd w:val="0"/>
              <w:snapToGrid w:val="0"/>
              <w:jc w:val="center"/>
              <w:rPr>
                <w:color w:val="auto"/>
                <w:szCs w:val="21"/>
              </w:rPr>
            </w:pPr>
          </w:p>
        </w:tc>
        <w:tc>
          <w:tcPr>
            <w:tcW w:w="1678" w:type="dxa"/>
            <w:vAlign w:val="center"/>
          </w:tcPr>
          <w:p w14:paraId="1D749BC6">
            <w:pPr>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食堂油烟</w:t>
            </w:r>
          </w:p>
        </w:tc>
        <w:tc>
          <w:tcPr>
            <w:tcW w:w="1314" w:type="dxa"/>
            <w:vAlign w:val="center"/>
          </w:tcPr>
          <w:p w14:paraId="3D130365">
            <w:pPr>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油烟</w:t>
            </w:r>
          </w:p>
        </w:tc>
        <w:tc>
          <w:tcPr>
            <w:tcW w:w="1963" w:type="dxa"/>
            <w:vAlign w:val="center"/>
          </w:tcPr>
          <w:p w14:paraId="619A3145">
            <w:pPr>
              <w:pStyle w:val="23"/>
              <w:ind w:left="-105" w:leftChars="-50" w:right="-105" w:rightChars="-50"/>
              <w:jc w:val="center"/>
              <w:rPr>
                <w:rFonts w:hint="eastAsia" w:ascii="Times New Roman" w:hAnsi="Times New Roman" w:eastAsia="宋体" w:cs="Times New Roman"/>
                <w:color w:val="auto"/>
                <w:szCs w:val="21"/>
                <w:lang w:val="en-US" w:eastAsia="zh-CN"/>
              </w:rPr>
            </w:pPr>
            <w:r>
              <w:rPr>
                <w:rFonts w:ascii="Times New Roman" w:hAnsi="Times New Roman" w:eastAsiaTheme="minorEastAsia"/>
                <w:szCs w:val="21"/>
              </w:rPr>
              <w:t>设置油烟净化设施，净化效率85%</w:t>
            </w:r>
          </w:p>
        </w:tc>
        <w:tc>
          <w:tcPr>
            <w:tcW w:w="2400" w:type="dxa"/>
            <w:vAlign w:val="center"/>
          </w:tcPr>
          <w:p w14:paraId="13C47DB8">
            <w:pPr>
              <w:adjustRightInd w:val="0"/>
              <w:snapToGrid w:val="0"/>
              <w:jc w:val="center"/>
              <w:rPr>
                <w:rFonts w:hint="eastAsia" w:ascii="Times New Roman" w:hAnsi="Times New Roman" w:eastAsia="宋体" w:cs="Times New Roman"/>
                <w:color w:val="auto"/>
                <w:szCs w:val="21"/>
                <w:lang w:val="en-US" w:eastAsia="zh-CN"/>
              </w:rPr>
            </w:pPr>
            <w:r>
              <w:rPr>
                <w:rFonts w:hint="eastAsia"/>
                <w:szCs w:val="21"/>
              </w:rPr>
              <w:t>食堂油烟排放执行《饮食业油烟排放标准（试行）》（GB18483-2001）中“小型”标准要求。</w:t>
            </w:r>
          </w:p>
        </w:tc>
      </w:tr>
      <w:tr w14:paraId="314FC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705" w:type="dxa"/>
            <w:vMerge w:val="restart"/>
            <w:vAlign w:val="center"/>
          </w:tcPr>
          <w:p w14:paraId="5D47C07E">
            <w:pPr>
              <w:adjustRightInd w:val="0"/>
              <w:snapToGrid w:val="0"/>
              <w:jc w:val="center"/>
              <w:rPr>
                <w:color w:val="auto"/>
                <w:szCs w:val="21"/>
              </w:rPr>
            </w:pPr>
            <w:r>
              <w:rPr>
                <w:color w:val="auto"/>
                <w:szCs w:val="21"/>
              </w:rPr>
              <w:t>地表水环境</w:t>
            </w:r>
          </w:p>
        </w:tc>
        <w:tc>
          <w:tcPr>
            <w:tcW w:w="1678" w:type="dxa"/>
            <w:shd w:val="clear" w:color="auto" w:fill="auto"/>
            <w:vAlign w:val="center"/>
          </w:tcPr>
          <w:p w14:paraId="27ACCCD0">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生活办公</w:t>
            </w:r>
          </w:p>
        </w:tc>
        <w:tc>
          <w:tcPr>
            <w:tcW w:w="1314" w:type="dxa"/>
            <w:shd w:val="clear" w:color="auto" w:fill="auto"/>
            <w:vAlign w:val="center"/>
          </w:tcPr>
          <w:p w14:paraId="30F2246D">
            <w:pPr>
              <w:snapToGrid w:val="0"/>
              <w:jc w:val="center"/>
              <w:rPr>
                <w:rFonts w:hint="default" w:ascii="Times New Roman" w:hAnsi="Times New Roman" w:eastAsia="宋体" w:cs="Times New Roman"/>
                <w:color w:val="auto"/>
                <w:kern w:val="2"/>
                <w:sz w:val="21"/>
                <w:szCs w:val="21"/>
                <w:lang w:val="en-US" w:eastAsia="zh-CN" w:bidi="ar-SA"/>
              </w:rPr>
            </w:pPr>
            <w:r>
              <w:rPr>
                <w:rFonts w:hint="eastAsia"/>
                <w:bCs/>
                <w:szCs w:val="21"/>
              </w:rPr>
              <w:t>SS、氨氮、</w:t>
            </w:r>
            <w:r>
              <w:rPr>
                <w:bCs/>
                <w:szCs w:val="21"/>
              </w:rPr>
              <w:t>COD</w:t>
            </w:r>
            <w:r>
              <w:rPr>
                <w:rFonts w:hint="eastAsia"/>
                <w:bCs/>
                <w:szCs w:val="21"/>
              </w:rPr>
              <w:t>、BOD</w:t>
            </w:r>
            <w:r>
              <w:rPr>
                <w:rFonts w:hint="eastAsia"/>
                <w:bCs/>
                <w:szCs w:val="21"/>
                <w:vertAlign w:val="subscript"/>
              </w:rPr>
              <w:t>5</w:t>
            </w:r>
            <w:r>
              <w:rPr>
                <w:bCs/>
                <w:szCs w:val="21"/>
              </w:rPr>
              <w:t>等</w:t>
            </w:r>
          </w:p>
        </w:tc>
        <w:tc>
          <w:tcPr>
            <w:tcW w:w="1963" w:type="dxa"/>
            <w:shd w:val="clear" w:color="auto" w:fill="auto"/>
            <w:vAlign w:val="center"/>
          </w:tcPr>
          <w:p w14:paraId="7BD95575">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经化粪池沉淀后，进入市政污水管网，最终进入大同市御东污水处理厂</w:t>
            </w:r>
          </w:p>
        </w:tc>
        <w:tc>
          <w:tcPr>
            <w:tcW w:w="2400" w:type="dxa"/>
            <w:vMerge w:val="restart"/>
            <w:shd w:val="clear" w:color="auto" w:fill="auto"/>
            <w:vAlign w:val="center"/>
          </w:tcPr>
          <w:p w14:paraId="20F6CC86">
            <w:pPr>
              <w:snapToGrid w:val="0"/>
              <w:jc w:val="center"/>
              <w:rPr>
                <w:rFonts w:hint="default" w:ascii="Times New Roman" w:hAnsi="Times New Roman" w:eastAsia="宋体" w:cs="Times New Roman"/>
                <w:color w:val="auto"/>
                <w:kern w:val="2"/>
                <w:sz w:val="21"/>
                <w:szCs w:val="21"/>
                <w:lang w:val="en-US" w:eastAsia="zh-CN" w:bidi="ar-SA"/>
              </w:rPr>
            </w:pPr>
            <w:r>
              <w:rPr>
                <w:szCs w:val="21"/>
              </w:rPr>
              <w:t>《</w:t>
            </w:r>
            <w:r>
              <w:rPr>
                <w:rFonts w:hint="eastAsia"/>
                <w:szCs w:val="21"/>
              </w:rPr>
              <w:t>污水</w:t>
            </w:r>
            <w:r>
              <w:rPr>
                <w:szCs w:val="21"/>
              </w:rPr>
              <w:t>排入城镇下水道水质标准》（GB/T</w:t>
            </w:r>
            <w:r>
              <w:rPr>
                <w:rFonts w:hint="eastAsia"/>
                <w:szCs w:val="21"/>
              </w:rPr>
              <w:t xml:space="preserve"> 31962-2015</w:t>
            </w:r>
            <w:r>
              <w:rPr>
                <w:szCs w:val="21"/>
              </w:rPr>
              <w:t>）中</w:t>
            </w:r>
            <w:r>
              <w:rPr>
                <w:rFonts w:hint="eastAsia"/>
                <w:szCs w:val="21"/>
              </w:rPr>
              <w:t>A级</w:t>
            </w:r>
            <w:r>
              <w:rPr>
                <w:szCs w:val="21"/>
              </w:rPr>
              <w:t>标准要求</w:t>
            </w:r>
          </w:p>
        </w:tc>
      </w:tr>
      <w:tr w14:paraId="2ABA0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05" w:type="dxa"/>
            <w:vMerge w:val="continue"/>
            <w:vAlign w:val="center"/>
          </w:tcPr>
          <w:p w14:paraId="1F23180C">
            <w:pPr>
              <w:adjustRightInd w:val="0"/>
              <w:snapToGrid w:val="0"/>
              <w:jc w:val="center"/>
              <w:rPr>
                <w:color w:val="auto"/>
                <w:szCs w:val="21"/>
              </w:rPr>
            </w:pPr>
          </w:p>
        </w:tc>
        <w:tc>
          <w:tcPr>
            <w:tcW w:w="1678" w:type="dxa"/>
            <w:shd w:val="clear" w:color="auto" w:fill="auto"/>
            <w:vAlign w:val="center"/>
          </w:tcPr>
          <w:p w14:paraId="1482C3EF">
            <w:pPr>
              <w:jc w:val="center"/>
              <w:rPr>
                <w:rFonts w:hint="default"/>
                <w:color w:val="auto"/>
                <w:szCs w:val="21"/>
                <w:lang w:val="en-US" w:eastAsia="zh-CN"/>
              </w:rPr>
            </w:pPr>
            <w:r>
              <w:rPr>
                <w:rFonts w:hint="eastAsia"/>
                <w:color w:val="auto"/>
                <w:szCs w:val="21"/>
                <w:lang w:val="en-US" w:eastAsia="zh-CN"/>
              </w:rPr>
              <w:t>车间冲洗废水</w:t>
            </w:r>
          </w:p>
        </w:tc>
        <w:tc>
          <w:tcPr>
            <w:tcW w:w="1314" w:type="dxa"/>
            <w:shd w:val="clear" w:color="auto" w:fill="auto"/>
            <w:vAlign w:val="center"/>
          </w:tcPr>
          <w:p w14:paraId="2EA9852B">
            <w:pPr>
              <w:snapToGrid w:val="0"/>
              <w:jc w:val="center"/>
              <w:rPr>
                <w:rFonts w:hint="default"/>
                <w:color w:val="auto"/>
                <w:szCs w:val="21"/>
                <w:lang w:val="en-US" w:eastAsia="zh-CN"/>
              </w:rPr>
            </w:pPr>
            <w:r>
              <w:rPr>
                <w:rFonts w:hint="eastAsia"/>
                <w:color w:val="auto"/>
                <w:szCs w:val="21"/>
                <w:lang w:val="en-US" w:eastAsia="zh-CN"/>
              </w:rPr>
              <w:t>SS等</w:t>
            </w:r>
          </w:p>
        </w:tc>
        <w:tc>
          <w:tcPr>
            <w:tcW w:w="1963" w:type="dxa"/>
            <w:shd w:val="clear" w:color="auto" w:fill="auto"/>
            <w:vAlign w:val="center"/>
          </w:tcPr>
          <w:p w14:paraId="4FD6EEB6">
            <w:pPr>
              <w:snapToGrid w:val="0"/>
              <w:jc w:val="center"/>
              <w:rPr>
                <w:rFonts w:hint="default"/>
                <w:color w:val="auto"/>
                <w:szCs w:val="21"/>
                <w:lang w:val="en-US" w:eastAsia="zh-CN"/>
              </w:rPr>
            </w:pPr>
            <w:r>
              <w:rPr>
                <w:rFonts w:hint="eastAsia"/>
                <w:color w:val="auto"/>
                <w:szCs w:val="21"/>
                <w:lang w:val="en-US" w:eastAsia="zh-CN"/>
              </w:rPr>
              <w:t>经管道进入市政污水管网系统</w:t>
            </w:r>
          </w:p>
        </w:tc>
        <w:tc>
          <w:tcPr>
            <w:tcW w:w="2400" w:type="dxa"/>
            <w:vMerge w:val="continue"/>
            <w:shd w:val="clear" w:color="auto" w:fill="auto"/>
            <w:vAlign w:val="center"/>
          </w:tcPr>
          <w:p w14:paraId="1C39C17C">
            <w:pPr>
              <w:snapToGrid w:val="0"/>
              <w:jc w:val="center"/>
              <w:rPr>
                <w:rFonts w:hint="eastAsia"/>
                <w:color w:val="auto"/>
                <w:szCs w:val="21"/>
                <w:lang w:val="en-US" w:eastAsia="zh-CN"/>
              </w:rPr>
            </w:pPr>
          </w:p>
        </w:tc>
      </w:tr>
      <w:tr w14:paraId="740DD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705" w:type="dxa"/>
            <w:vMerge w:val="continue"/>
            <w:vAlign w:val="center"/>
          </w:tcPr>
          <w:p w14:paraId="2CAFB9A1">
            <w:pPr>
              <w:adjustRightInd w:val="0"/>
              <w:snapToGrid w:val="0"/>
              <w:jc w:val="center"/>
              <w:rPr>
                <w:color w:val="auto"/>
                <w:szCs w:val="21"/>
              </w:rPr>
            </w:pPr>
          </w:p>
        </w:tc>
        <w:tc>
          <w:tcPr>
            <w:tcW w:w="1678" w:type="dxa"/>
            <w:shd w:val="clear" w:color="auto" w:fill="auto"/>
            <w:vAlign w:val="center"/>
          </w:tcPr>
          <w:p w14:paraId="5AD20095">
            <w:pPr>
              <w:jc w:val="center"/>
              <w:rPr>
                <w:rFonts w:hint="default"/>
                <w:color w:val="auto"/>
                <w:szCs w:val="21"/>
                <w:lang w:val="en-US" w:eastAsia="zh-CN"/>
              </w:rPr>
            </w:pPr>
            <w:r>
              <w:rPr>
                <w:rFonts w:hint="eastAsia"/>
                <w:color w:val="auto"/>
                <w:szCs w:val="21"/>
                <w:lang w:val="en-US" w:eastAsia="zh-CN"/>
              </w:rPr>
              <w:t>一二车间除尘</w:t>
            </w:r>
          </w:p>
        </w:tc>
        <w:tc>
          <w:tcPr>
            <w:tcW w:w="1314" w:type="dxa"/>
            <w:shd w:val="clear" w:color="auto" w:fill="auto"/>
            <w:vAlign w:val="center"/>
          </w:tcPr>
          <w:p w14:paraId="79F58A13">
            <w:pPr>
              <w:snapToGrid w:val="0"/>
              <w:jc w:val="center"/>
              <w:rPr>
                <w:rFonts w:hint="eastAsia"/>
                <w:color w:val="auto"/>
                <w:szCs w:val="21"/>
                <w:lang w:val="en-US" w:eastAsia="zh-CN"/>
              </w:rPr>
            </w:pPr>
            <w:r>
              <w:rPr>
                <w:rFonts w:hint="eastAsia"/>
                <w:color w:val="auto"/>
                <w:szCs w:val="21"/>
                <w:lang w:val="en-US" w:eastAsia="zh-CN"/>
              </w:rPr>
              <w:t>SS等</w:t>
            </w:r>
          </w:p>
        </w:tc>
        <w:tc>
          <w:tcPr>
            <w:tcW w:w="1963" w:type="dxa"/>
            <w:shd w:val="clear" w:color="auto" w:fill="auto"/>
            <w:vAlign w:val="center"/>
          </w:tcPr>
          <w:p w14:paraId="614EBD0E">
            <w:pPr>
              <w:snapToGrid w:val="0"/>
              <w:jc w:val="center"/>
              <w:rPr>
                <w:rFonts w:hint="default"/>
                <w:color w:val="auto"/>
                <w:szCs w:val="21"/>
                <w:lang w:val="en-US" w:eastAsia="zh-CN"/>
              </w:rPr>
            </w:pPr>
            <w:r>
              <w:rPr>
                <w:rFonts w:hint="eastAsia"/>
                <w:color w:val="auto"/>
                <w:szCs w:val="21"/>
                <w:lang w:val="en-US" w:eastAsia="zh-CN"/>
              </w:rPr>
              <w:t>车间设置收集管渠，泥浆经管道通入沉淀池，循环使用</w:t>
            </w:r>
          </w:p>
        </w:tc>
        <w:tc>
          <w:tcPr>
            <w:tcW w:w="2400" w:type="dxa"/>
            <w:shd w:val="clear" w:color="auto" w:fill="auto"/>
            <w:vAlign w:val="center"/>
          </w:tcPr>
          <w:p w14:paraId="17371528">
            <w:pPr>
              <w:snapToGrid w:val="0"/>
              <w:jc w:val="center"/>
              <w:rPr>
                <w:rFonts w:hint="default"/>
                <w:color w:val="auto"/>
                <w:szCs w:val="21"/>
                <w:lang w:val="en-US" w:eastAsia="zh-CN"/>
              </w:rPr>
            </w:pPr>
            <w:r>
              <w:rPr>
                <w:rFonts w:hint="eastAsia"/>
                <w:color w:val="auto"/>
                <w:szCs w:val="21"/>
                <w:lang w:val="en-US" w:eastAsia="zh-CN"/>
              </w:rPr>
              <w:t>不外排</w:t>
            </w:r>
          </w:p>
        </w:tc>
      </w:tr>
      <w:tr w14:paraId="473C30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705" w:type="dxa"/>
            <w:vMerge w:val="continue"/>
            <w:vAlign w:val="center"/>
          </w:tcPr>
          <w:p w14:paraId="002BD694">
            <w:pPr>
              <w:adjustRightInd w:val="0"/>
              <w:snapToGrid w:val="0"/>
              <w:jc w:val="center"/>
              <w:rPr>
                <w:color w:val="auto"/>
                <w:szCs w:val="21"/>
              </w:rPr>
            </w:pPr>
          </w:p>
        </w:tc>
        <w:tc>
          <w:tcPr>
            <w:tcW w:w="1678" w:type="dxa"/>
            <w:shd w:val="clear" w:color="auto" w:fill="auto"/>
            <w:vAlign w:val="center"/>
          </w:tcPr>
          <w:p w14:paraId="2B7E7D16">
            <w:pPr>
              <w:jc w:val="center"/>
              <w:rPr>
                <w:rFonts w:hint="default"/>
                <w:color w:val="auto"/>
                <w:szCs w:val="21"/>
                <w:lang w:val="en-US" w:eastAsia="zh-CN"/>
              </w:rPr>
            </w:pPr>
            <w:r>
              <w:rPr>
                <w:rFonts w:hint="eastAsia"/>
                <w:color w:val="auto"/>
                <w:szCs w:val="21"/>
                <w:lang w:val="en-US" w:eastAsia="zh-CN"/>
              </w:rPr>
              <w:t>初期雨水</w:t>
            </w:r>
          </w:p>
        </w:tc>
        <w:tc>
          <w:tcPr>
            <w:tcW w:w="1314" w:type="dxa"/>
            <w:shd w:val="clear" w:color="auto" w:fill="auto"/>
            <w:vAlign w:val="center"/>
          </w:tcPr>
          <w:p w14:paraId="24695A81">
            <w:pPr>
              <w:snapToGrid w:val="0"/>
              <w:jc w:val="center"/>
              <w:rPr>
                <w:rFonts w:hint="eastAsia"/>
                <w:color w:val="auto"/>
                <w:szCs w:val="21"/>
                <w:lang w:val="en-US" w:eastAsia="zh-CN"/>
              </w:rPr>
            </w:pPr>
            <w:r>
              <w:rPr>
                <w:rFonts w:hint="eastAsia"/>
                <w:color w:val="auto"/>
                <w:szCs w:val="21"/>
                <w:lang w:val="en-US" w:eastAsia="zh-CN"/>
              </w:rPr>
              <w:t>SS等</w:t>
            </w:r>
          </w:p>
        </w:tc>
        <w:tc>
          <w:tcPr>
            <w:tcW w:w="1963" w:type="dxa"/>
            <w:shd w:val="clear" w:color="auto" w:fill="auto"/>
            <w:vAlign w:val="center"/>
          </w:tcPr>
          <w:p w14:paraId="6022C9DA">
            <w:pPr>
              <w:snapToGrid w:val="0"/>
              <w:jc w:val="center"/>
              <w:rPr>
                <w:rFonts w:hint="default"/>
                <w:color w:val="auto"/>
                <w:szCs w:val="21"/>
                <w:lang w:val="en-US" w:eastAsia="zh-CN"/>
              </w:rPr>
            </w:pPr>
            <w:r>
              <w:rPr>
                <w:rFonts w:hint="eastAsia"/>
                <w:color w:val="auto"/>
                <w:szCs w:val="21"/>
                <w:lang w:val="en-US" w:eastAsia="zh-CN"/>
              </w:rPr>
              <w:t>厂区设置雨水暗渠，并通入1座100m</w:t>
            </w:r>
            <w:r>
              <w:rPr>
                <w:rFonts w:hint="eastAsia"/>
                <w:color w:val="auto"/>
                <w:szCs w:val="21"/>
                <w:vertAlign w:val="superscript"/>
                <w:lang w:val="en-US" w:eastAsia="zh-CN"/>
              </w:rPr>
              <w:t>3</w:t>
            </w:r>
            <w:r>
              <w:rPr>
                <w:rFonts w:hint="eastAsia"/>
                <w:color w:val="auto"/>
                <w:szCs w:val="21"/>
                <w:lang w:val="en-US" w:eastAsia="zh-CN"/>
              </w:rPr>
              <w:t>初期雨水收集池内，经沉淀后回用</w:t>
            </w:r>
          </w:p>
        </w:tc>
        <w:tc>
          <w:tcPr>
            <w:tcW w:w="2400" w:type="dxa"/>
            <w:shd w:val="clear" w:color="auto" w:fill="auto"/>
            <w:vAlign w:val="center"/>
          </w:tcPr>
          <w:p w14:paraId="5EC1A261">
            <w:pPr>
              <w:snapToGrid w:val="0"/>
              <w:jc w:val="center"/>
              <w:rPr>
                <w:rFonts w:hint="default"/>
                <w:color w:val="auto"/>
                <w:szCs w:val="21"/>
                <w:lang w:val="en-US" w:eastAsia="zh-CN"/>
              </w:rPr>
            </w:pPr>
            <w:r>
              <w:rPr>
                <w:rFonts w:hint="eastAsia"/>
                <w:color w:val="auto"/>
                <w:szCs w:val="21"/>
                <w:lang w:val="en-US" w:eastAsia="zh-CN"/>
              </w:rPr>
              <w:t>不外排</w:t>
            </w:r>
          </w:p>
        </w:tc>
      </w:tr>
      <w:tr w14:paraId="097A5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1705" w:type="dxa"/>
            <w:vAlign w:val="center"/>
          </w:tcPr>
          <w:p w14:paraId="76C01E5A">
            <w:pPr>
              <w:adjustRightInd w:val="0"/>
              <w:snapToGrid w:val="0"/>
              <w:jc w:val="center"/>
              <w:rPr>
                <w:color w:val="auto"/>
                <w:szCs w:val="21"/>
              </w:rPr>
            </w:pPr>
            <w:r>
              <w:rPr>
                <w:color w:val="auto"/>
                <w:szCs w:val="21"/>
              </w:rPr>
              <w:t>声环境</w:t>
            </w:r>
          </w:p>
        </w:tc>
        <w:tc>
          <w:tcPr>
            <w:tcW w:w="1678" w:type="dxa"/>
            <w:vAlign w:val="center"/>
          </w:tcPr>
          <w:p w14:paraId="2ED18553">
            <w:pPr>
              <w:jc w:val="center"/>
              <w:rPr>
                <w:rFonts w:hint="default" w:eastAsia="宋体"/>
                <w:color w:val="auto"/>
                <w:szCs w:val="21"/>
                <w:lang w:val="en-US" w:eastAsia="zh-CN"/>
              </w:rPr>
            </w:pPr>
            <w:r>
              <w:rPr>
                <w:rFonts w:hint="eastAsia"/>
                <w:szCs w:val="21"/>
              </w:rPr>
              <w:t>风机、加工</w:t>
            </w:r>
            <w:r>
              <w:rPr>
                <w:szCs w:val="21"/>
              </w:rPr>
              <w:t>设备</w:t>
            </w:r>
          </w:p>
        </w:tc>
        <w:tc>
          <w:tcPr>
            <w:tcW w:w="1314" w:type="dxa"/>
            <w:vAlign w:val="center"/>
          </w:tcPr>
          <w:p w14:paraId="1423BE25">
            <w:pPr>
              <w:adjustRightInd w:val="0"/>
              <w:snapToGrid w:val="0"/>
              <w:jc w:val="center"/>
              <w:rPr>
                <w:color w:val="auto"/>
                <w:szCs w:val="21"/>
              </w:rPr>
            </w:pPr>
            <w:r>
              <w:rPr>
                <w:szCs w:val="21"/>
              </w:rPr>
              <w:t>噪声</w:t>
            </w:r>
          </w:p>
        </w:tc>
        <w:tc>
          <w:tcPr>
            <w:tcW w:w="1963" w:type="dxa"/>
            <w:vAlign w:val="center"/>
          </w:tcPr>
          <w:p w14:paraId="44A7023F">
            <w:pPr>
              <w:jc w:val="center"/>
              <w:rPr>
                <w:rFonts w:hint="default"/>
                <w:color w:val="auto"/>
                <w:szCs w:val="21"/>
                <w:lang w:val="en-US"/>
              </w:rPr>
            </w:pPr>
            <w:r>
              <w:rPr>
                <w:szCs w:val="21"/>
              </w:rPr>
              <w:t>低噪声设备、基础减振、室内布置等</w:t>
            </w:r>
          </w:p>
        </w:tc>
        <w:tc>
          <w:tcPr>
            <w:tcW w:w="2400" w:type="dxa"/>
            <w:vAlign w:val="center"/>
          </w:tcPr>
          <w:p w14:paraId="5D8A18D8">
            <w:pPr>
              <w:adjustRightInd w:val="0"/>
              <w:snapToGrid w:val="0"/>
              <w:jc w:val="center"/>
              <w:rPr>
                <w:rFonts w:hint="eastAsia" w:eastAsia="宋体"/>
                <w:color w:val="auto"/>
                <w:szCs w:val="21"/>
                <w:lang w:val="en-US" w:eastAsia="zh-CN"/>
              </w:rPr>
            </w:pPr>
            <w:r>
              <w:rPr>
                <w:szCs w:val="21"/>
              </w:rPr>
              <w:t>《工业企业厂界环境噪声排放标准》（GB12348—2008）中的</w:t>
            </w:r>
            <w:r>
              <w:rPr>
                <w:rFonts w:hint="eastAsia"/>
                <w:szCs w:val="21"/>
              </w:rPr>
              <w:t>2</w:t>
            </w:r>
            <w:r>
              <w:rPr>
                <w:szCs w:val="21"/>
              </w:rPr>
              <w:t>类标准</w:t>
            </w:r>
          </w:p>
        </w:tc>
      </w:tr>
      <w:tr w14:paraId="316213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705" w:type="dxa"/>
            <w:vAlign w:val="center"/>
          </w:tcPr>
          <w:p w14:paraId="4D67A907">
            <w:pPr>
              <w:adjustRightInd w:val="0"/>
              <w:snapToGrid w:val="0"/>
              <w:jc w:val="center"/>
              <w:rPr>
                <w:rFonts w:ascii="宋体" w:hAnsi="宋体" w:cs="宋体"/>
                <w:color w:val="auto"/>
                <w:szCs w:val="21"/>
              </w:rPr>
            </w:pPr>
            <w:r>
              <w:rPr>
                <w:rFonts w:hint="eastAsia" w:ascii="宋体" w:hAnsi="宋体" w:cs="宋体"/>
                <w:color w:val="auto"/>
                <w:szCs w:val="21"/>
              </w:rPr>
              <w:t>电磁辐射</w:t>
            </w:r>
          </w:p>
        </w:tc>
        <w:tc>
          <w:tcPr>
            <w:tcW w:w="1678" w:type="dxa"/>
            <w:vAlign w:val="center"/>
          </w:tcPr>
          <w:p w14:paraId="6BABA098">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1314" w:type="dxa"/>
            <w:vAlign w:val="center"/>
          </w:tcPr>
          <w:p w14:paraId="3A62D166">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1963" w:type="dxa"/>
            <w:vAlign w:val="center"/>
          </w:tcPr>
          <w:p w14:paraId="3CA3CC96">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400" w:type="dxa"/>
            <w:vAlign w:val="center"/>
          </w:tcPr>
          <w:p w14:paraId="44878D02">
            <w:pPr>
              <w:adjustRightInd w:val="0"/>
              <w:snapToGrid w:val="0"/>
              <w:jc w:val="center"/>
              <w:rPr>
                <w:rFonts w:ascii="宋体" w:hAnsi="宋体" w:cs="宋体"/>
                <w:color w:val="auto"/>
                <w:szCs w:val="21"/>
              </w:rPr>
            </w:pPr>
            <w:r>
              <w:rPr>
                <w:rFonts w:hint="eastAsia" w:ascii="宋体" w:hAnsi="宋体" w:cs="宋体"/>
                <w:color w:val="auto"/>
                <w:szCs w:val="21"/>
              </w:rPr>
              <w:t>/</w:t>
            </w:r>
          </w:p>
        </w:tc>
      </w:tr>
      <w:tr w14:paraId="04016C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705" w:type="dxa"/>
            <w:vAlign w:val="center"/>
          </w:tcPr>
          <w:p w14:paraId="30CF4046">
            <w:pPr>
              <w:adjustRightInd w:val="0"/>
              <w:snapToGrid w:val="0"/>
              <w:jc w:val="center"/>
              <w:rPr>
                <w:color w:val="auto"/>
                <w:szCs w:val="21"/>
              </w:rPr>
            </w:pPr>
            <w:r>
              <w:rPr>
                <w:color w:val="auto"/>
                <w:szCs w:val="21"/>
              </w:rPr>
              <w:t>固体废物</w:t>
            </w:r>
          </w:p>
        </w:tc>
        <w:tc>
          <w:tcPr>
            <w:tcW w:w="7355" w:type="dxa"/>
            <w:gridSpan w:val="4"/>
            <w:vAlign w:val="center"/>
          </w:tcPr>
          <w:p w14:paraId="18424A08">
            <w:pPr>
              <w:adjustRightInd w:val="0"/>
              <w:snapToGrid w:val="0"/>
              <w:ind w:firstLine="420" w:firstLineChars="200"/>
              <w:jc w:val="left"/>
              <w:rPr>
                <w:szCs w:val="21"/>
              </w:rPr>
            </w:pPr>
            <w:r>
              <w:rPr>
                <w:rFonts w:hint="eastAsia"/>
                <w:color w:val="000000"/>
                <w:szCs w:val="21"/>
              </w:rPr>
              <w:t>边角料、废渣废屑、除尘灰、沉渣</w:t>
            </w:r>
            <w:r>
              <w:rPr>
                <w:rFonts w:hint="eastAsia"/>
                <w:szCs w:val="21"/>
                <w:lang w:val="en-US" w:eastAsia="zh-CN"/>
              </w:rPr>
              <w:t>等</w:t>
            </w:r>
            <w:r>
              <w:rPr>
                <w:rFonts w:hint="eastAsia"/>
                <w:szCs w:val="21"/>
              </w:rPr>
              <w:t>统一收集后外售综合利用；</w:t>
            </w:r>
          </w:p>
          <w:p w14:paraId="01150D3B">
            <w:pPr>
              <w:adjustRightInd w:val="0"/>
              <w:snapToGrid w:val="0"/>
              <w:ind w:firstLine="420" w:firstLineChars="200"/>
              <w:rPr>
                <w:rFonts w:hint="default"/>
                <w:snapToGrid w:val="0"/>
                <w:color w:val="auto"/>
                <w:kern w:val="0"/>
                <w:szCs w:val="21"/>
                <w:lang w:val="en-US" w:eastAsia="zh-CN"/>
              </w:rPr>
            </w:pPr>
            <w:r>
              <w:rPr>
                <w:rFonts w:hint="eastAsia"/>
                <w:color w:val="000000"/>
                <w:szCs w:val="21"/>
              </w:rPr>
              <w:t>废活性炭、废机油、</w:t>
            </w:r>
            <w:r>
              <w:rPr>
                <w:rFonts w:hint="eastAsia"/>
                <w:color w:val="000000"/>
                <w:szCs w:val="21"/>
                <w:lang w:val="en-US" w:eastAsia="zh-CN"/>
              </w:rPr>
              <w:t>废油桶、</w:t>
            </w:r>
            <w:r>
              <w:rPr>
                <w:rFonts w:hint="eastAsia"/>
                <w:color w:val="000000"/>
                <w:szCs w:val="21"/>
              </w:rPr>
              <w:t>废催化剂、废过滤棉</w:t>
            </w:r>
            <w:r>
              <w:rPr>
                <w:rFonts w:hint="eastAsia"/>
                <w:snapToGrid w:val="0"/>
                <w:szCs w:val="21"/>
              </w:rPr>
              <w:t>：</w:t>
            </w:r>
            <w:r>
              <w:rPr>
                <w:rFonts w:hint="eastAsia"/>
                <w:szCs w:val="21"/>
              </w:rPr>
              <w:t>建设1座危废库，占地</w:t>
            </w:r>
            <w:r>
              <w:rPr>
                <w:rFonts w:hint="eastAsia"/>
                <w:szCs w:val="21"/>
                <w:lang w:val="en-US" w:eastAsia="zh-CN"/>
              </w:rPr>
              <w:t>2</w:t>
            </w:r>
            <w:r>
              <w:rPr>
                <w:rFonts w:hint="eastAsia"/>
                <w:szCs w:val="21"/>
              </w:rPr>
              <w:t>0m</w:t>
            </w:r>
            <w:r>
              <w:rPr>
                <w:rFonts w:hint="eastAsia"/>
                <w:szCs w:val="21"/>
                <w:vertAlign w:val="superscript"/>
              </w:rPr>
              <w:t>2</w:t>
            </w:r>
            <w:r>
              <w:rPr>
                <w:rFonts w:hint="eastAsia"/>
                <w:szCs w:val="21"/>
              </w:rPr>
              <w:t>，按照</w:t>
            </w:r>
            <w:r>
              <w:rPr>
                <w:szCs w:val="21"/>
              </w:rPr>
              <w:t>《危险废物贮存污染控制标准》（GB18597-20</w:t>
            </w:r>
            <w:r>
              <w:rPr>
                <w:rFonts w:hint="eastAsia"/>
                <w:szCs w:val="21"/>
              </w:rPr>
              <w:t>23</w:t>
            </w:r>
            <w:r>
              <w:rPr>
                <w:szCs w:val="21"/>
              </w:rPr>
              <w:t>）的要求</w:t>
            </w:r>
            <w:r>
              <w:rPr>
                <w:rFonts w:hint="eastAsia"/>
                <w:szCs w:val="21"/>
              </w:rPr>
              <w:t>严格执行并设计施工管理等，危险废物暂存后定期委托有资质单位清运处置。</w:t>
            </w:r>
          </w:p>
        </w:tc>
      </w:tr>
      <w:tr w14:paraId="1B4894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5" w:type="dxa"/>
            <w:vAlign w:val="center"/>
          </w:tcPr>
          <w:p w14:paraId="249F2CBB">
            <w:pPr>
              <w:adjustRightInd w:val="0"/>
              <w:snapToGrid w:val="0"/>
              <w:jc w:val="center"/>
              <w:rPr>
                <w:color w:val="auto"/>
                <w:szCs w:val="21"/>
              </w:rPr>
            </w:pPr>
            <w:r>
              <w:rPr>
                <w:color w:val="auto"/>
                <w:szCs w:val="21"/>
              </w:rPr>
              <w:t>土壤及地下水</w:t>
            </w:r>
          </w:p>
          <w:p w14:paraId="6DA7022E">
            <w:pPr>
              <w:adjustRightInd w:val="0"/>
              <w:snapToGrid w:val="0"/>
              <w:jc w:val="center"/>
              <w:rPr>
                <w:color w:val="auto"/>
                <w:szCs w:val="21"/>
              </w:rPr>
            </w:pPr>
            <w:r>
              <w:rPr>
                <w:color w:val="auto"/>
                <w:szCs w:val="21"/>
              </w:rPr>
              <w:t>污染防治措施</w:t>
            </w:r>
          </w:p>
        </w:tc>
        <w:tc>
          <w:tcPr>
            <w:tcW w:w="7355" w:type="dxa"/>
            <w:gridSpan w:val="4"/>
            <w:vAlign w:val="center"/>
          </w:tcPr>
          <w:p w14:paraId="59E4E239">
            <w:pPr>
              <w:adjustRightInd w:val="0"/>
              <w:snapToGrid w:val="0"/>
              <w:ind w:firstLine="420" w:firstLineChars="200"/>
              <w:rPr>
                <w:rFonts w:hint="default"/>
                <w:color w:val="auto"/>
                <w:szCs w:val="21"/>
                <w:lang w:val="en-US"/>
              </w:rPr>
            </w:pPr>
            <w:r>
              <w:rPr>
                <w:rFonts w:hint="eastAsia"/>
                <w:snapToGrid w:val="0"/>
                <w:color w:val="auto"/>
                <w:kern w:val="0"/>
                <w:szCs w:val="21"/>
                <w:lang w:val="en-US" w:eastAsia="zh-CN"/>
              </w:rPr>
              <w:t>危险贮存库执行《危险废物贮存污染控制标准》（GB18597-2023）重点防渗要求。加强沉淀池、化粪池防渗要求。</w:t>
            </w:r>
          </w:p>
        </w:tc>
      </w:tr>
      <w:tr w14:paraId="4F689D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5" w:type="dxa"/>
            <w:vAlign w:val="center"/>
          </w:tcPr>
          <w:p w14:paraId="52775FB4">
            <w:pPr>
              <w:adjustRightInd w:val="0"/>
              <w:snapToGrid w:val="0"/>
              <w:jc w:val="center"/>
              <w:rPr>
                <w:color w:val="auto"/>
                <w:szCs w:val="21"/>
              </w:rPr>
            </w:pPr>
            <w:r>
              <w:rPr>
                <w:color w:val="auto"/>
                <w:szCs w:val="21"/>
              </w:rPr>
              <w:t>生态保护措施</w:t>
            </w:r>
          </w:p>
        </w:tc>
        <w:tc>
          <w:tcPr>
            <w:tcW w:w="7355" w:type="dxa"/>
            <w:gridSpan w:val="4"/>
            <w:vAlign w:val="center"/>
          </w:tcPr>
          <w:p w14:paraId="073BE12D">
            <w:pPr>
              <w:adjustRightInd w:val="0"/>
              <w:snapToGrid w:val="0"/>
              <w:ind w:firstLine="420" w:firstLineChars="200"/>
              <w:rPr>
                <w:color w:val="auto"/>
                <w:szCs w:val="21"/>
              </w:rPr>
            </w:pPr>
            <w:r>
              <w:rPr>
                <w:snapToGrid w:val="0"/>
                <w:color w:val="auto"/>
                <w:kern w:val="0"/>
                <w:szCs w:val="21"/>
              </w:rPr>
              <w:t>在</w:t>
            </w:r>
            <w:r>
              <w:rPr>
                <w:rFonts w:hint="eastAsia"/>
                <w:snapToGrid w:val="0"/>
                <w:color w:val="auto"/>
                <w:kern w:val="0"/>
                <w:szCs w:val="21"/>
                <w:lang w:val="en-US" w:eastAsia="zh-CN"/>
              </w:rPr>
              <w:t>本项目厂区外</w:t>
            </w:r>
            <w:r>
              <w:rPr>
                <w:snapToGrid w:val="0"/>
                <w:color w:val="auto"/>
                <w:kern w:val="0"/>
                <w:szCs w:val="21"/>
              </w:rPr>
              <w:t>空闲地带进行绿化种植，以改善和美化环境。正常情况下项目不会对周围生态环境造成大的影响。</w:t>
            </w:r>
          </w:p>
        </w:tc>
      </w:tr>
      <w:tr w14:paraId="7DC28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5" w:type="dxa"/>
            <w:vAlign w:val="center"/>
          </w:tcPr>
          <w:p w14:paraId="5DC297A4">
            <w:pPr>
              <w:adjustRightInd w:val="0"/>
              <w:snapToGrid w:val="0"/>
              <w:jc w:val="center"/>
              <w:rPr>
                <w:snapToGrid w:val="0"/>
                <w:color w:val="auto"/>
                <w:kern w:val="0"/>
                <w:szCs w:val="21"/>
              </w:rPr>
            </w:pPr>
            <w:r>
              <w:rPr>
                <w:snapToGrid w:val="0"/>
                <w:color w:val="auto"/>
                <w:kern w:val="0"/>
                <w:szCs w:val="21"/>
              </w:rPr>
              <w:t>环境风险</w:t>
            </w:r>
          </w:p>
          <w:p w14:paraId="559A1720">
            <w:pPr>
              <w:adjustRightInd w:val="0"/>
              <w:snapToGrid w:val="0"/>
              <w:jc w:val="center"/>
              <w:rPr>
                <w:snapToGrid w:val="0"/>
                <w:color w:val="auto"/>
                <w:kern w:val="0"/>
                <w:szCs w:val="21"/>
              </w:rPr>
            </w:pPr>
            <w:r>
              <w:rPr>
                <w:snapToGrid w:val="0"/>
                <w:color w:val="auto"/>
                <w:kern w:val="0"/>
                <w:szCs w:val="21"/>
              </w:rPr>
              <w:t>防范措施</w:t>
            </w:r>
          </w:p>
        </w:tc>
        <w:tc>
          <w:tcPr>
            <w:tcW w:w="7355" w:type="dxa"/>
            <w:gridSpan w:val="4"/>
            <w:vAlign w:val="center"/>
          </w:tcPr>
          <w:p w14:paraId="04D11B80">
            <w:pPr>
              <w:adjustRightInd w:val="0"/>
              <w:snapToGrid w:val="0"/>
              <w:ind w:firstLine="420" w:firstLineChars="200"/>
              <w:rPr>
                <w:rFonts w:hint="default" w:eastAsia="宋体"/>
                <w:snapToGrid w:val="0"/>
                <w:color w:val="auto"/>
                <w:kern w:val="0"/>
                <w:szCs w:val="21"/>
                <w:lang w:val="en-US" w:eastAsia="zh-CN"/>
              </w:rPr>
            </w:pPr>
            <w:r>
              <w:rPr>
                <w:rFonts w:hint="eastAsia"/>
                <w:snapToGrid w:val="0"/>
                <w:color w:val="auto"/>
                <w:kern w:val="0"/>
                <w:szCs w:val="21"/>
                <w:lang w:val="en-US" w:eastAsia="zh-CN"/>
              </w:rPr>
              <w:t>加强矿物油、危险废物等的贮存和管理；企业及时修订建设项目突发环境事件应急预案并备案。</w:t>
            </w:r>
          </w:p>
        </w:tc>
      </w:tr>
      <w:tr w14:paraId="34883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05" w:type="dxa"/>
            <w:vAlign w:val="center"/>
          </w:tcPr>
          <w:p w14:paraId="15D4859B">
            <w:pPr>
              <w:adjustRightInd w:val="0"/>
              <w:snapToGrid w:val="0"/>
              <w:jc w:val="center"/>
              <w:rPr>
                <w:color w:val="auto"/>
                <w:spacing w:val="-8"/>
                <w:szCs w:val="21"/>
              </w:rPr>
            </w:pPr>
            <w:r>
              <w:rPr>
                <w:color w:val="auto"/>
                <w:spacing w:val="-8"/>
                <w:szCs w:val="21"/>
              </w:rPr>
              <w:t>其他环境</w:t>
            </w:r>
          </w:p>
          <w:p w14:paraId="36CD19DB">
            <w:pPr>
              <w:adjustRightInd w:val="0"/>
              <w:snapToGrid w:val="0"/>
              <w:jc w:val="center"/>
              <w:rPr>
                <w:color w:val="auto"/>
                <w:spacing w:val="-8"/>
                <w:szCs w:val="21"/>
              </w:rPr>
            </w:pPr>
            <w:r>
              <w:rPr>
                <w:color w:val="auto"/>
                <w:spacing w:val="-8"/>
                <w:szCs w:val="21"/>
              </w:rPr>
              <w:t>管理要求</w:t>
            </w:r>
          </w:p>
        </w:tc>
        <w:tc>
          <w:tcPr>
            <w:tcW w:w="7355" w:type="dxa"/>
            <w:gridSpan w:val="4"/>
            <w:vAlign w:val="center"/>
          </w:tcPr>
          <w:p w14:paraId="7514F225">
            <w:pPr>
              <w:spacing w:line="360" w:lineRule="auto"/>
              <w:ind w:firstLine="422" w:firstLineChars="200"/>
              <w:rPr>
                <w:b/>
                <w:color w:val="auto"/>
                <w:szCs w:val="21"/>
              </w:rPr>
            </w:pPr>
            <w:r>
              <w:rPr>
                <w:rFonts w:hint="eastAsia"/>
                <w:b/>
                <w:snapToGrid w:val="0"/>
                <w:color w:val="auto"/>
                <w:kern w:val="0"/>
                <w:szCs w:val="21"/>
              </w:rPr>
              <w:t>1、</w:t>
            </w:r>
            <w:r>
              <w:rPr>
                <w:b/>
                <w:snapToGrid w:val="0"/>
                <w:color w:val="auto"/>
                <w:kern w:val="0"/>
                <w:szCs w:val="21"/>
              </w:rPr>
              <w:t>环境管理制度</w:t>
            </w:r>
          </w:p>
          <w:p w14:paraId="5E77EE0A">
            <w:pPr>
              <w:spacing w:line="360" w:lineRule="auto"/>
              <w:ind w:firstLine="420" w:firstLineChars="200"/>
              <w:rPr>
                <w:color w:val="auto"/>
                <w:szCs w:val="21"/>
              </w:rPr>
            </w:pPr>
            <w:r>
              <w:rPr>
                <w:snapToGrid w:val="0"/>
                <w:color w:val="auto"/>
                <w:kern w:val="0"/>
                <w:szCs w:val="21"/>
              </w:rPr>
              <w:t>企业在健全了环境管理体制与管理机构的基础上，还必须健全环保管理规章制度。各项规章制度应体现环境管理的任务、内容和准则，使环境管理的特点和要求渗透到企业的各项管理工作中。相应的环境管理制度包括：（1）环境保护管理条例；（2）环境管理的经济责任制；（3）环保设施运行与管理制度；（4）环境管理岗位责任制；（5）环境管理技术规范；（6）环境保护的考核制度；（7）环境保护严惩办法；（8）污染防治控制措施实施方法；（9）环境污染事故管理规定；（10）清洁生产审计制度；（11）环境保护质量管理规程。</w:t>
            </w:r>
          </w:p>
          <w:p w14:paraId="712A94C6">
            <w:pPr>
              <w:adjustRightInd w:val="0"/>
              <w:snapToGrid w:val="0"/>
              <w:spacing w:line="360" w:lineRule="auto"/>
              <w:ind w:firstLine="422" w:firstLineChars="200"/>
              <w:rPr>
                <w:b/>
                <w:snapToGrid w:val="0"/>
                <w:color w:val="auto"/>
                <w:kern w:val="0"/>
                <w:szCs w:val="21"/>
              </w:rPr>
            </w:pPr>
            <w:r>
              <w:rPr>
                <w:b/>
                <w:snapToGrid w:val="0"/>
                <w:color w:val="auto"/>
                <w:kern w:val="0"/>
                <w:szCs w:val="21"/>
              </w:rPr>
              <w:t>2</w:t>
            </w:r>
            <w:r>
              <w:rPr>
                <w:rFonts w:hint="eastAsia"/>
                <w:b/>
                <w:snapToGrid w:val="0"/>
                <w:color w:val="auto"/>
                <w:kern w:val="0"/>
                <w:szCs w:val="21"/>
              </w:rPr>
              <w:t>、</w:t>
            </w:r>
            <w:r>
              <w:rPr>
                <w:b/>
                <w:snapToGrid w:val="0"/>
                <w:color w:val="auto"/>
                <w:kern w:val="0"/>
                <w:szCs w:val="21"/>
              </w:rPr>
              <w:t>运营期环境管理计划</w:t>
            </w:r>
          </w:p>
          <w:p w14:paraId="1593D9CE">
            <w:pPr>
              <w:adjustRightInd w:val="0"/>
              <w:snapToGrid w:val="0"/>
              <w:spacing w:line="360" w:lineRule="auto"/>
              <w:ind w:firstLine="420" w:firstLineChars="200"/>
              <w:rPr>
                <w:snapToGrid w:val="0"/>
                <w:color w:val="auto"/>
                <w:kern w:val="0"/>
                <w:szCs w:val="21"/>
              </w:rPr>
            </w:pPr>
            <w:r>
              <w:rPr>
                <w:rFonts w:hint="eastAsia" w:ascii="宋体" w:hAnsi="宋体" w:cs="宋体"/>
                <w:snapToGrid w:val="0"/>
                <w:color w:val="auto"/>
                <w:kern w:val="0"/>
                <w:szCs w:val="21"/>
              </w:rPr>
              <w:t>①</w:t>
            </w:r>
            <w:r>
              <w:rPr>
                <w:snapToGrid w:val="0"/>
                <w:color w:val="auto"/>
                <w:kern w:val="0"/>
                <w:szCs w:val="21"/>
              </w:rPr>
              <w:t>管理机构</w:t>
            </w:r>
          </w:p>
          <w:p w14:paraId="6F703C7B">
            <w:pPr>
              <w:adjustRightInd w:val="0"/>
              <w:snapToGrid w:val="0"/>
              <w:spacing w:line="360" w:lineRule="auto"/>
              <w:ind w:firstLine="420" w:firstLineChars="200"/>
              <w:rPr>
                <w:snapToGrid w:val="0"/>
                <w:color w:val="auto"/>
                <w:kern w:val="0"/>
                <w:szCs w:val="21"/>
              </w:rPr>
            </w:pPr>
            <w:r>
              <w:rPr>
                <w:snapToGrid w:val="0"/>
                <w:color w:val="auto"/>
                <w:kern w:val="0"/>
                <w:szCs w:val="21"/>
              </w:rPr>
              <w:t>本</w:t>
            </w:r>
            <w:r>
              <w:rPr>
                <w:rFonts w:hint="eastAsia"/>
                <w:snapToGrid w:val="0"/>
                <w:color w:val="auto"/>
                <w:kern w:val="0"/>
                <w:szCs w:val="21"/>
              </w:rPr>
              <w:t>项目</w:t>
            </w:r>
            <w:r>
              <w:rPr>
                <w:snapToGrid w:val="0"/>
                <w:color w:val="auto"/>
                <w:kern w:val="0"/>
                <w:szCs w:val="21"/>
              </w:rPr>
              <w:t>应成立环保组，负责运营期的环境管理工作，于当地环保部门及其授权监测部门直接监管厂内污染物的排放情况，并对其污染事故、纠纷进行处理。</w:t>
            </w:r>
          </w:p>
          <w:p w14:paraId="2A507DDE">
            <w:pPr>
              <w:adjustRightInd w:val="0"/>
              <w:snapToGrid w:val="0"/>
              <w:spacing w:line="360" w:lineRule="auto"/>
              <w:ind w:firstLine="420" w:firstLineChars="200"/>
              <w:rPr>
                <w:snapToGrid w:val="0"/>
                <w:color w:val="auto"/>
                <w:kern w:val="0"/>
                <w:szCs w:val="21"/>
              </w:rPr>
            </w:pPr>
            <w:r>
              <w:rPr>
                <w:rFonts w:hint="eastAsia" w:ascii="宋体" w:hAnsi="宋体" w:cs="宋体"/>
                <w:snapToGrid w:val="0"/>
                <w:color w:val="auto"/>
                <w:kern w:val="0"/>
                <w:szCs w:val="21"/>
              </w:rPr>
              <w:t>②</w:t>
            </w:r>
            <w:r>
              <w:rPr>
                <w:snapToGrid w:val="0"/>
                <w:color w:val="auto"/>
                <w:kern w:val="0"/>
                <w:szCs w:val="21"/>
              </w:rPr>
              <w:t>运营期环境管理职责</w:t>
            </w:r>
          </w:p>
          <w:p w14:paraId="1DB6DD96">
            <w:pPr>
              <w:spacing w:line="360" w:lineRule="auto"/>
              <w:ind w:firstLine="420" w:firstLineChars="200"/>
              <w:rPr>
                <w:snapToGrid w:val="0"/>
                <w:color w:val="auto"/>
                <w:kern w:val="0"/>
                <w:szCs w:val="21"/>
              </w:rPr>
            </w:pPr>
            <w:r>
              <w:rPr>
                <w:snapToGrid w:val="0"/>
                <w:color w:val="auto"/>
                <w:kern w:val="0"/>
                <w:szCs w:val="21"/>
              </w:rPr>
              <w:t>由</w:t>
            </w:r>
            <w:r>
              <w:rPr>
                <w:rFonts w:hint="eastAsia"/>
                <w:snapToGrid w:val="0"/>
                <w:color w:val="auto"/>
                <w:kern w:val="0"/>
                <w:szCs w:val="21"/>
                <w:lang w:val="en-US" w:eastAsia="zh-CN"/>
              </w:rPr>
              <w:t>建设单位环保部门</w:t>
            </w:r>
            <w:r>
              <w:rPr>
                <w:snapToGrid w:val="0"/>
                <w:color w:val="auto"/>
                <w:kern w:val="0"/>
                <w:szCs w:val="21"/>
              </w:rPr>
              <w:t>负责环保指标的落实，将环保指标逐级分解到班组、个人，下属具体负责其附属环保设备的运转和维护，确保其正常运转和达标排放，充分发挥其作用；配合地方环保部</w:t>
            </w:r>
            <w:r>
              <w:rPr>
                <w:rFonts w:hint="eastAsia"/>
                <w:snapToGrid w:val="0"/>
                <w:color w:val="auto"/>
                <w:kern w:val="0"/>
                <w:szCs w:val="21"/>
                <w:lang w:eastAsia="zh-CN"/>
              </w:rPr>
              <w:t>门和</w:t>
            </w:r>
            <w:r>
              <w:rPr>
                <w:snapToGrid w:val="0"/>
                <w:color w:val="auto"/>
                <w:kern w:val="0"/>
                <w:szCs w:val="21"/>
              </w:rPr>
              <w:t>监测部门进行日常环境监测，记录并及时上报污染源及环保措施运转状态。在项目实施全过程中，本工程都应以《中华人民共和国环境保护法》及相关环保法律、法规为依据，通过对项目前后的环境审核，制定环境方针，建立环境目标和指标，设计环境方案，以达到“清洁生产”的良好效果，以达到长远、持久的发展。</w:t>
            </w:r>
          </w:p>
          <w:p w14:paraId="3259B838">
            <w:pPr>
              <w:spacing w:line="360" w:lineRule="auto"/>
              <w:ind w:firstLine="420" w:firstLineChars="200"/>
              <w:rPr>
                <w:bCs/>
                <w:color w:val="auto"/>
                <w:szCs w:val="21"/>
              </w:rPr>
            </w:pPr>
            <w:r>
              <w:rPr>
                <w:snapToGrid w:val="0"/>
                <w:color w:val="auto"/>
                <w:kern w:val="0"/>
                <w:szCs w:val="21"/>
              </w:rPr>
              <w:t>本工程环境管理工作计划见表5-1。</w:t>
            </w:r>
          </w:p>
          <w:p w14:paraId="73C15A2E">
            <w:pPr>
              <w:autoSpaceDE w:val="0"/>
              <w:autoSpaceDN w:val="0"/>
              <w:adjustRightInd w:val="0"/>
              <w:snapToGrid w:val="0"/>
              <w:jc w:val="center"/>
              <w:rPr>
                <w:color w:val="auto"/>
                <w:sz w:val="18"/>
                <w:szCs w:val="18"/>
              </w:rPr>
            </w:pPr>
            <w:r>
              <w:rPr>
                <w:b/>
                <w:color w:val="auto"/>
                <w:sz w:val="18"/>
                <w:szCs w:val="18"/>
              </w:rPr>
              <w:t>表5-1</w:t>
            </w:r>
            <w:r>
              <w:rPr>
                <w:rFonts w:hint="eastAsia"/>
                <w:b/>
                <w:color w:val="auto"/>
                <w:sz w:val="18"/>
                <w:szCs w:val="18"/>
              </w:rPr>
              <w:t xml:space="preserve">   </w:t>
            </w:r>
            <w:r>
              <w:rPr>
                <w:b/>
                <w:color w:val="auto"/>
                <w:sz w:val="18"/>
                <w:szCs w:val="18"/>
              </w:rPr>
              <w:t>环境管理工作计划表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67"/>
              <w:gridCol w:w="5942"/>
            </w:tblGrid>
            <w:tr w14:paraId="7ED8A9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821" w:type="pct"/>
                  <w:vAlign w:val="center"/>
                </w:tcPr>
                <w:p w14:paraId="78AAD473">
                  <w:pPr>
                    <w:pStyle w:val="23"/>
                    <w:jc w:val="center"/>
                    <w:rPr>
                      <w:rFonts w:ascii="Times New Roman" w:hAnsi="Times New Roman"/>
                      <w:bCs/>
                      <w:color w:val="auto"/>
                      <w:sz w:val="18"/>
                      <w:szCs w:val="18"/>
                    </w:rPr>
                  </w:pPr>
                  <w:r>
                    <w:rPr>
                      <w:rFonts w:ascii="Times New Roman" w:hAnsi="Times New Roman"/>
                      <w:bCs/>
                      <w:color w:val="auto"/>
                      <w:sz w:val="18"/>
                      <w:szCs w:val="18"/>
                    </w:rPr>
                    <w:t>阶段</w:t>
                  </w:r>
                </w:p>
              </w:tc>
              <w:tc>
                <w:tcPr>
                  <w:tcW w:w="4179" w:type="pct"/>
                  <w:vAlign w:val="center"/>
                </w:tcPr>
                <w:p w14:paraId="6FE2C9AF">
                  <w:pPr>
                    <w:pStyle w:val="23"/>
                    <w:rPr>
                      <w:rFonts w:ascii="Times New Roman" w:hAnsi="Times New Roman"/>
                      <w:bCs/>
                      <w:color w:val="auto"/>
                      <w:sz w:val="18"/>
                      <w:szCs w:val="18"/>
                    </w:rPr>
                  </w:pPr>
                  <w:r>
                    <w:rPr>
                      <w:rFonts w:ascii="Times New Roman" w:hAnsi="Times New Roman"/>
                      <w:bCs/>
                      <w:color w:val="auto"/>
                      <w:sz w:val="18"/>
                      <w:szCs w:val="18"/>
                    </w:rPr>
                    <w:t>环境管理工作主要内容</w:t>
                  </w:r>
                </w:p>
              </w:tc>
            </w:tr>
            <w:tr w14:paraId="153F0F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0" w:hRule="atLeast"/>
                <w:jc w:val="center"/>
              </w:trPr>
              <w:tc>
                <w:tcPr>
                  <w:tcW w:w="821" w:type="pct"/>
                  <w:vAlign w:val="center"/>
                </w:tcPr>
                <w:p w14:paraId="5C31FECC">
                  <w:pPr>
                    <w:pStyle w:val="23"/>
                    <w:jc w:val="center"/>
                    <w:rPr>
                      <w:rFonts w:ascii="Times New Roman" w:hAnsi="Times New Roman"/>
                      <w:bCs/>
                      <w:color w:val="auto"/>
                      <w:sz w:val="18"/>
                      <w:szCs w:val="18"/>
                    </w:rPr>
                  </w:pPr>
                  <w:r>
                    <w:rPr>
                      <w:rFonts w:ascii="Times New Roman" w:hAnsi="Times New Roman"/>
                      <w:bCs/>
                      <w:color w:val="auto"/>
                      <w:sz w:val="18"/>
                      <w:szCs w:val="18"/>
                    </w:rPr>
                    <w:t>环境管理</w:t>
                  </w:r>
                </w:p>
                <w:p w14:paraId="3308B46D">
                  <w:pPr>
                    <w:pStyle w:val="23"/>
                    <w:jc w:val="center"/>
                    <w:rPr>
                      <w:rFonts w:ascii="Times New Roman" w:hAnsi="Times New Roman"/>
                      <w:bCs/>
                      <w:color w:val="auto"/>
                      <w:sz w:val="18"/>
                      <w:szCs w:val="18"/>
                    </w:rPr>
                  </w:pPr>
                  <w:r>
                    <w:rPr>
                      <w:rFonts w:ascii="Times New Roman" w:hAnsi="Times New Roman"/>
                      <w:bCs/>
                      <w:color w:val="auto"/>
                      <w:sz w:val="18"/>
                      <w:szCs w:val="18"/>
                    </w:rPr>
                    <w:t>机构的职能</w:t>
                  </w:r>
                </w:p>
              </w:tc>
              <w:tc>
                <w:tcPr>
                  <w:tcW w:w="4179" w:type="pct"/>
                  <w:vAlign w:val="center"/>
                </w:tcPr>
                <w:p w14:paraId="01EACE7C">
                  <w:pPr>
                    <w:pStyle w:val="23"/>
                    <w:rPr>
                      <w:rFonts w:ascii="Times New Roman" w:hAnsi="Times New Roman"/>
                      <w:bCs/>
                      <w:color w:val="auto"/>
                      <w:sz w:val="18"/>
                      <w:szCs w:val="18"/>
                    </w:rPr>
                  </w:pPr>
                  <w:r>
                    <w:rPr>
                      <w:rFonts w:ascii="Times New Roman" w:hAnsi="Times New Roman"/>
                      <w:bCs/>
                      <w:color w:val="auto"/>
                      <w:sz w:val="18"/>
                      <w:szCs w:val="18"/>
                    </w:rPr>
                    <w:t>根据国家建设</w:t>
                  </w:r>
                  <w:r>
                    <w:rPr>
                      <w:rFonts w:hint="eastAsia" w:ascii="Times New Roman" w:hAnsi="Times New Roman"/>
                      <w:bCs/>
                      <w:color w:val="auto"/>
                      <w:sz w:val="18"/>
                      <w:szCs w:val="18"/>
                      <w:lang w:val="en-US" w:eastAsia="zh-CN"/>
                    </w:rPr>
                    <w:t>项</w:t>
                  </w:r>
                  <w:r>
                    <w:rPr>
                      <w:rFonts w:ascii="Times New Roman" w:hAnsi="Times New Roman"/>
                      <w:bCs/>
                      <w:color w:val="auto"/>
                      <w:sz w:val="18"/>
                      <w:szCs w:val="18"/>
                    </w:rPr>
                    <w:t>目环境管理规定，认真落实各项环保手续，完成各级环保主管部门对企业提出的环境要求，对企业内部各项管理计划的执行及完成情况进行监督，确保环境管理工作真正发挥作用。</w:t>
                  </w:r>
                </w:p>
              </w:tc>
            </w:tr>
            <w:tr w14:paraId="4F823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821" w:type="pct"/>
                  <w:vAlign w:val="center"/>
                </w:tcPr>
                <w:p w14:paraId="021148BE">
                  <w:pPr>
                    <w:pStyle w:val="23"/>
                    <w:jc w:val="center"/>
                    <w:rPr>
                      <w:rFonts w:ascii="Times New Roman" w:hAnsi="Times New Roman"/>
                      <w:bCs/>
                      <w:color w:val="auto"/>
                      <w:sz w:val="18"/>
                      <w:szCs w:val="18"/>
                    </w:rPr>
                  </w:pPr>
                  <w:r>
                    <w:rPr>
                      <w:rFonts w:ascii="Times New Roman" w:hAnsi="Times New Roman"/>
                      <w:bCs/>
                      <w:color w:val="auto"/>
                      <w:sz w:val="18"/>
                      <w:szCs w:val="18"/>
                    </w:rPr>
                    <w:t>建设期</w:t>
                  </w:r>
                </w:p>
              </w:tc>
              <w:tc>
                <w:tcPr>
                  <w:tcW w:w="4179" w:type="pct"/>
                  <w:vAlign w:val="center"/>
                </w:tcPr>
                <w:p w14:paraId="2D017D68">
                  <w:pPr>
                    <w:pStyle w:val="23"/>
                    <w:rPr>
                      <w:rFonts w:ascii="Times New Roman" w:hAnsi="Times New Roman"/>
                      <w:bCs/>
                      <w:color w:val="auto"/>
                      <w:sz w:val="18"/>
                      <w:szCs w:val="18"/>
                    </w:rPr>
                  </w:pPr>
                  <w:r>
                    <w:rPr>
                      <w:rFonts w:ascii="Times New Roman" w:hAnsi="Times New Roman"/>
                      <w:bCs/>
                      <w:color w:val="auto"/>
                      <w:sz w:val="18"/>
                      <w:szCs w:val="18"/>
                    </w:rPr>
                    <w:t>1、</w:t>
                  </w:r>
                  <w:r>
                    <w:rPr>
                      <w:rFonts w:hint="eastAsia" w:ascii="Times New Roman" w:hAnsi="Times New Roman"/>
                      <w:bCs/>
                      <w:color w:val="auto"/>
                      <w:sz w:val="18"/>
                      <w:szCs w:val="18"/>
                    </w:rPr>
                    <w:t>严格控制施工占地；</w:t>
                  </w:r>
                </w:p>
                <w:p w14:paraId="217C199D">
                  <w:pPr>
                    <w:pStyle w:val="23"/>
                    <w:rPr>
                      <w:rFonts w:ascii="Times New Roman" w:hAnsi="Times New Roman"/>
                      <w:bCs/>
                      <w:color w:val="auto"/>
                      <w:sz w:val="18"/>
                      <w:szCs w:val="18"/>
                    </w:rPr>
                  </w:pPr>
                  <w:r>
                    <w:rPr>
                      <w:rFonts w:ascii="Times New Roman" w:hAnsi="Times New Roman"/>
                      <w:bCs/>
                      <w:color w:val="auto"/>
                      <w:sz w:val="18"/>
                      <w:szCs w:val="18"/>
                    </w:rPr>
                    <w:t>2、定期洒水</w:t>
                  </w:r>
                  <w:r>
                    <w:rPr>
                      <w:rFonts w:hint="eastAsia" w:ascii="Times New Roman" w:hAnsi="Times New Roman"/>
                      <w:bCs/>
                      <w:color w:val="auto"/>
                      <w:sz w:val="18"/>
                      <w:szCs w:val="18"/>
                    </w:rPr>
                    <w:t>降尘</w:t>
                  </w:r>
                  <w:r>
                    <w:rPr>
                      <w:rFonts w:ascii="Times New Roman" w:hAnsi="Times New Roman"/>
                      <w:bCs/>
                      <w:color w:val="auto"/>
                      <w:sz w:val="18"/>
                      <w:szCs w:val="18"/>
                    </w:rPr>
                    <w:t>。</w:t>
                  </w:r>
                </w:p>
                <w:p w14:paraId="20D34696">
                  <w:pPr>
                    <w:pStyle w:val="23"/>
                    <w:rPr>
                      <w:rFonts w:ascii="Times New Roman" w:hAnsi="Times New Roman"/>
                      <w:bCs/>
                      <w:color w:val="auto"/>
                      <w:sz w:val="18"/>
                      <w:szCs w:val="18"/>
                    </w:rPr>
                  </w:pPr>
                  <w:r>
                    <w:rPr>
                      <w:rFonts w:ascii="Times New Roman" w:hAnsi="Times New Roman"/>
                      <w:bCs/>
                      <w:color w:val="auto"/>
                      <w:sz w:val="18"/>
                      <w:szCs w:val="18"/>
                    </w:rPr>
                    <w:t>3、夜间严禁进行打桩等噪声大的施工作业。</w:t>
                  </w:r>
                </w:p>
                <w:p w14:paraId="0278A697">
                  <w:pPr>
                    <w:pStyle w:val="23"/>
                    <w:rPr>
                      <w:rFonts w:ascii="Times New Roman" w:hAnsi="Times New Roman"/>
                      <w:bCs/>
                      <w:color w:val="auto"/>
                      <w:sz w:val="18"/>
                      <w:szCs w:val="18"/>
                    </w:rPr>
                  </w:pPr>
                  <w:r>
                    <w:rPr>
                      <w:rFonts w:ascii="Times New Roman" w:hAnsi="Times New Roman"/>
                      <w:bCs/>
                      <w:color w:val="auto"/>
                      <w:sz w:val="18"/>
                      <w:szCs w:val="18"/>
                    </w:rPr>
                    <w:t>4、施工</w:t>
                  </w:r>
                  <w:r>
                    <w:rPr>
                      <w:rFonts w:hint="eastAsia" w:ascii="Times New Roman" w:hAnsi="Times New Roman"/>
                      <w:bCs/>
                      <w:color w:val="auto"/>
                      <w:sz w:val="18"/>
                      <w:szCs w:val="18"/>
                    </w:rPr>
                    <w:t>期</w:t>
                  </w:r>
                  <w:r>
                    <w:rPr>
                      <w:rFonts w:ascii="Times New Roman" w:hAnsi="Times New Roman"/>
                      <w:bCs/>
                      <w:color w:val="auto"/>
                      <w:sz w:val="18"/>
                      <w:szCs w:val="18"/>
                    </w:rPr>
                    <w:t>加强环境管理。</w:t>
                  </w:r>
                </w:p>
              </w:tc>
            </w:tr>
            <w:tr w14:paraId="75259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77" w:hRule="atLeast"/>
                <w:jc w:val="center"/>
              </w:trPr>
              <w:tc>
                <w:tcPr>
                  <w:tcW w:w="821" w:type="pct"/>
                  <w:vAlign w:val="center"/>
                </w:tcPr>
                <w:p w14:paraId="037DFEB2">
                  <w:pPr>
                    <w:pStyle w:val="23"/>
                    <w:jc w:val="center"/>
                    <w:rPr>
                      <w:rFonts w:ascii="Times New Roman" w:hAnsi="Times New Roman"/>
                      <w:bCs/>
                      <w:color w:val="auto"/>
                      <w:sz w:val="18"/>
                      <w:szCs w:val="18"/>
                    </w:rPr>
                  </w:pPr>
                  <w:r>
                    <w:rPr>
                      <w:rFonts w:ascii="Times New Roman" w:hAnsi="Times New Roman"/>
                      <w:bCs/>
                      <w:color w:val="auto"/>
                      <w:sz w:val="18"/>
                      <w:szCs w:val="18"/>
                    </w:rPr>
                    <w:t>调试期</w:t>
                  </w:r>
                </w:p>
              </w:tc>
              <w:tc>
                <w:tcPr>
                  <w:tcW w:w="4179" w:type="pct"/>
                  <w:vAlign w:val="center"/>
                </w:tcPr>
                <w:p w14:paraId="32FDD81D">
                  <w:pPr>
                    <w:pStyle w:val="23"/>
                    <w:rPr>
                      <w:rFonts w:ascii="Times New Roman" w:hAnsi="Times New Roman"/>
                      <w:bCs/>
                      <w:color w:val="auto"/>
                      <w:sz w:val="18"/>
                      <w:szCs w:val="18"/>
                    </w:rPr>
                  </w:pPr>
                  <w:r>
                    <w:rPr>
                      <w:rFonts w:ascii="Times New Roman" w:hAnsi="Times New Roman"/>
                      <w:bCs/>
                      <w:color w:val="auto"/>
                      <w:sz w:val="18"/>
                      <w:szCs w:val="18"/>
                    </w:rPr>
                    <w:t>1、申领排污许可证。</w:t>
                  </w:r>
                </w:p>
                <w:p w14:paraId="3E077FFC">
                  <w:pPr>
                    <w:pStyle w:val="23"/>
                    <w:rPr>
                      <w:rFonts w:ascii="Times New Roman" w:hAnsi="Times New Roman"/>
                      <w:bCs/>
                      <w:color w:val="auto"/>
                      <w:sz w:val="18"/>
                      <w:szCs w:val="18"/>
                    </w:rPr>
                  </w:pPr>
                  <w:r>
                    <w:rPr>
                      <w:rFonts w:ascii="Times New Roman" w:hAnsi="Times New Roman"/>
                      <w:bCs/>
                      <w:color w:val="auto"/>
                      <w:sz w:val="18"/>
                      <w:szCs w:val="18"/>
                    </w:rPr>
                    <w:t>2、对噪声防治效果进行检测。</w:t>
                  </w:r>
                </w:p>
                <w:p w14:paraId="6BA625BA">
                  <w:pPr>
                    <w:pStyle w:val="23"/>
                    <w:rPr>
                      <w:rFonts w:ascii="Times New Roman" w:hAnsi="Times New Roman"/>
                      <w:bCs/>
                      <w:color w:val="auto"/>
                      <w:sz w:val="18"/>
                      <w:szCs w:val="18"/>
                    </w:rPr>
                  </w:pPr>
                  <w:r>
                    <w:rPr>
                      <w:rFonts w:ascii="Times New Roman" w:hAnsi="Times New Roman"/>
                      <w:bCs/>
                      <w:color w:val="auto"/>
                      <w:sz w:val="18"/>
                      <w:szCs w:val="18"/>
                    </w:rPr>
                    <w:t>3、对</w:t>
                  </w:r>
                  <w:r>
                    <w:rPr>
                      <w:rFonts w:hint="eastAsia" w:ascii="Times New Roman" w:hAnsi="Times New Roman"/>
                      <w:bCs/>
                      <w:color w:val="auto"/>
                      <w:sz w:val="18"/>
                      <w:szCs w:val="18"/>
                      <w:lang w:eastAsia="zh-CN"/>
                    </w:rPr>
                    <w:t>各项</w:t>
                  </w:r>
                  <w:r>
                    <w:rPr>
                      <w:rFonts w:ascii="Times New Roman" w:hAnsi="Times New Roman"/>
                      <w:bCs/>
                      <w:color w:val="auto"/>
                      <w:sz w:val="18"/>
                      <w:szCs w:val="18"/>
                    </w:rPr>
                    <w:t>设施不定期进行检查。</w:t>
                  </w:r>
                </w:p>
                <w:p w14:paraId="29060187">
                  <w:pPr>
                    <w:pStyle w:val="23"/>
                    <w:rPr>
                      <w:rFonts w:ascii="Times New Roman" w:hAnsi="Times New Roman"/>
                      <w:bCs/>
                      <w:color w:val="auto"/>
                      <w:sz w:val="18"/>
                      <w:szCs w:val="18"/>
                    </w:rPr>
                  </w:pPr>
                  <w:r>
                    <w:rPr>
                      <w:rFonts w:ascii="Times New Roman" w:hAnsi="Times New Roman"/>
                      <w:bCs/>
                      <w:color w:val="auto"/>
                      <w:sz w:val="18"/>
                      <w:szCs w:val="18"/>
                    </w:rPr>
                    <w:t>4、记录各项环保设施的试运行状况，针对出现问题提出完善意见。</w:t>
                  </w:r>
                </w:p>
                <w:p w14:paraId="5B954E33">
                  <w:pPr>
                    <w:pStyle w:val="23"/>
                    <w:rPr>
                      <w:rFonts w:ascii="Times New Roman" w:hAnsi="Times New Roman"/>
                      <w:bCs/>
                      <w:color w:val="auto"/>
                      <w:sz w:val="18"/>
                      <w:szCs w:val="18"/>
                    </w:rPr>
                  </w:pPr>
                  <w:r>
                    <w:rPr>
                      <w:rFonts w:ascii="Times New Roman" w:hAnsi="Times New Roman"/>
                      <w:bCs/>
                      <w:color w:val="auto"/>
                      <w:sz w:val="18"/>
                      <w:szCs w:val="18"/>
                    </w:rPr>
                    <w:t>5、总结试运行期的生产经验，健全前期制定各项管理制度。</w:t>
                  </w:r>
                </w:p>
                <w:p w14:paraId="30E132F3">
                  <w:pPr>
                    <w:pStyle w:val="23"/>
                    <w:rPr>
                      <w:rFonts w:ascii="Times New Roman" w:hAnsi="Times New Roman"/>
                      <w:bCs/>
                      <w:color w:val="auto"/>
                      <w:sz w:val="18"/>
                      <w:szCs w:val="18"/>
                    </w:rPr>
                  </w:pPr>
                  <w:r>
                    <w:rPr>
                      <w:rFonts w:ascii="Times New Roman" w:hAnsi="Times New Roman"/>
                      <w:bCs/>
                      <w:color w:val="auto"/>
                      <w:sz w:val="18"/>
                      <w:szCs w:val="18"/>
                    </w:rPr>
                    <w:t>6、生产装置生产三个月内，进行环保设施的竣工验收。</w:t>
                  </w:r>
                </w:p>
              </w:tc>
            </w:tr>
            <w:tr w14:paraId="473D3B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65" w:hRule="atLeast"/>
                <w:jc w:val="center"/>
              </w:trPr>
              <w:tc>
                <w:tcPr>
                  <w:tcW w:w="821" w:type="pct"/>
                  <w:vAlign w:val="center"/>
                </w:tcPr>
                <w:p w14:paraId="467B89EF">
                  <w:pPr>
                    <w:pStyle w:val="23"/>
                    <w:jc w:val="center"/>
                    <w:rPr>
                      <w:rFonts w:ascii="Times New Roman" w:hAnsi="Times New Roman"/>
                      <w:bCs/>
                      <w:color w:val="auto"/>
                      <w:sz w:val="18"/>
                      <w:szCs w:val="18"/>
                    </w:rPr>
                  </w:pPr>
                  <w:r>
                    <w:rPr>
                      <w:rFonts w:ascii="Times New Roman" w:hAnsi="Times New Roman"/>
                      <w:bCs/>
                      <w:color w:val="auto"/>
                      <w:sz w:val="18"/>
                      <w:szCs w:val="18"/>
                    </w:rPr>
                    <w:t>生产运行期</w:t>
                  </w:r>
                </w:p>
              </w:tc>
              <w:tc>
                <w:tcPr>
                  <w:tcW w:w="4179" w:type="pct"/>
                  <w:vAlign w:val="center"/>
                </w:tcPr>
                <w:p w14:paraId="5CD686BE">
                  <w:pPr>
                    <w:pStyle w:val="23"/>
                    <w:rPr>
                      <w:rFonts w:ascii="Times New Roman" w:hAnsi="Times New Roman"/>
                      <w:bCs/>
                      <w:color w:val="auto"/>
                      <w:sz w:val="18"/>
                      <w:szCs w:val="18"/>
                    </w:rPr>
                  </w:pPr>
                  <w:r>
                    <w:rPr>
                      <w:rFonts w:ascii="Times New Roman" w:hAnsi="Times New Roman"/>
                      <w:bCs/>
                      <w:color w:val="auto"/>
                      <w:sz w:val="18"/>
                      <w:szCs w:val="18"/>
                    </w:rPr>
                    <w:t>1、严格执行各项生产及环境管理制度，保证生产的正常进行。</w:t>
                  </w:r>
                </w:p>
                <w:p w14:paraId="253F46C0">
                  <w:pPr>
                    <w:pStyle w:val="23"/>
                    <w:rPr>
                      <w:rFonts w:ascii="Times New Roman" w:hAnsi="Times New Roman"/>
                      <w:bCs/>
                      <w:color w:val="auto"/>
                      <w:sz w:val="18"/>
                      <w:szCs w:val="18"/>
                    </w:rPr>
                  </w:pPr>
                  <w:r>
                    <w:rPr>
                      <w:rFonts w:ascii="Times New Roman" w:hAnsi="Times New Roman"/>
                      <w:bCs/>
                      <w:color w:val="auto"/>
                      <w:sz w:val="18"/>
                      <w:szCs w:val="18"/>
                    </w:rPr>
                    <w:t>2、设立环保设施运行卡，对环保设施定期进行检查维护，做到勤查、勤记、勤养护。</w:t>
                  </w:r>
                </w:p>
                <w:p w14:paraId="62D3FAD7">
                  <w:pPr>
                    <w:pStyle w:val="23"/>
                    <w:rPr>
                      <w:rFonts w:ascii="Times New Roman" w:hAnsi="Times New Roman"/>
                      <w:bCs/>
                      <w:color w:val="auto"/>
                      <w:sz w:val="18"/>
                      <w:szCs w:val="18"/>
                    </w:rPr>
                  </w:pPr>
                  <w:r>
                    <w:rPr>
                      <w:rFonts w:ascii="Times New Roman" w:hAnsi="Times New Roman"/>
                      <w:bCs/>
                      <w:color w:val="auto"/>
                      <w:sz w:val="18"/>
                      <w:szCs w:val="18"/>
                    </w:rPr>
                    <w:t>3、按照监测计划组织厂内的污染源监测，对不达标装置立即寻找原因，及时处理。</w:t>
                  </w:r>
                </w:p>
                <w:p w14:paraId="78DD5D50">
                  <w:pPr>
                    <w:pStyle w:val="23"/>
                    <w:rPr>
                      <w:rFonts w:ascii="Times New Roman" w:hAnsi="Times New Roman"/>
                      <w:bCs/>
                      <w:color w:val="auto"/>
                      <w:sz w:val="18"/>
                      <w:szCs w:val="18"/>
                    </w:rPr>
                  </w:pPr>
                  <w:r>
                    <w:rPr>
                      <w:rFonts w:ascii="Times New Roman" w:hAnsi="Times New Roman"/>
                      <w:bCs/>
                      <w:color w:val="auto"/>
                      <w:sz w:val="18"/>
                      <w:szCs w:val="18"/>
                    </w:rPr>
                    <w:t>4、不断加强技术培训，组织企业技术交流，提高操作水平，保持操作工人队伍稳定。</w:t>
                  </w:r>
                </w:p>
                <w:p w14:paraId="6C5AE3B8">
                  <w:pPr>
                    <w:pStyle w:val="23"/>
                    <w:rPr>
                      <w:rFonts w:ascii="Times New Roman" w:hAnsi="Times New Roman"/>
                      <w:bCs/>
                      <w:color w:val="auto"/>
                      <w:sz w:val="18"/>
                      <w:szCs w:val="18"/>
                    </w:rPr>
                  </w:pPr>
                  <w:r>
                    <w:rPr>
                      <w:rFonts w:ascii="Times New Roman" w:hAnsi="Times New Roman"/>
                      <w:bCs/>
                      <w:color w:val="auto"/>
                      <w:sz w:val="18"/>
                      <w:szCs w:val="18"/>
                    </w:rPr>
                    <w:t>5、建立环境管理台账制度，应真实记录基本信息、产污设施运行管理信息、污染防治设施运行管理信息、监测记录信息及其他环境管理信息等；按照电子台账和纸质台账两种记录形式同步管理。</w:t>
                  </w:r>
                </w:p>
              </w:tc>
            </w:tr>
          </w:tbl>
          <w:p w14:paraId="0EB5434B">
            <w:pPr>
              <w:spacing w:line="360" w:lineRule="auto"/>
              <w:ind w:firstLine="422" w:firstLineChars="200"/>
              <w:rPr>
                <w:b/>
                <w:snapToGrid w:val="0"/>
                <w:color w:val="auto"/>
                <w:kern w:val="0"/>
                <w:szCs w:val="21"/>
              </w:rPr>
            </w:pPr>
            <w:bookmarkStart w:id="10" w:name="_Toc15842"/>
            <w:r>
              <w:rPr>
                <w:rFonts w:hint="eastAsia"/>
                <w:b/>
                <w:snapToGrid w:val="0"/>
                <w:color w:val="auto"/>
                <w:kern w:val="0"/>
                <w:szCs w:val="21"/>
              </w:rPr>
              <w:t>3</w:t>
            </w:r>
            <w:r>
              <w:rPr>
                <w:b/>
                <w:snapToGrid w:val="0"/>
                <w:color w:val="auto"/>
                <w:kern w:val="0"/>
                <w:szCs w:val="21"/>
              </w:rPr>
              <w:t>、排污口规范化设置</w:t>
            </w:r>
            <w:bookmarkEnd w:id="10"/>
          </w:p>
          <w:p w14:paraId="0751F549">
            <w:pPr>
              <w:spacing w:line="360" w:lineRule="auto"/>
              <w:ind w:firstLine="420" w:firstLineChars="200"/>
              <w:rPr>
                <w:snapToGrid w:val="0"/>
                <w:color w:val="auto"/>
                <w:kern w:val="0"/>
                <w:szCs w:val="21"/>
              </w:rPr>
            </w:pPr>
            <w:r>
              <w:rPr>
                <w:snapToGrid w:val="0"/>
                <w:color w:val="auto"/>
                <w:kern w:val="0"/>
                <w:szCs w:val="21"/>
              </w:rPr>
              <w:t>项目需要按照要求设立排污口。</w:t>
            </w:r>
            <w:r>
              <w:rPr>
                <w:snapToGrid w:val="0"/>
                <w:color w:val="auto"/>
                <w:kern w:val="0"/>
                <w:szCs w:val="21"/>
                <w:highlight w:val="none"/>
              </w:rPr>
              <w:t>废气排放口</w:t>
            </w:r>
            <w:r>
              <w:rPr>
                <w:snapToGrid w:val="0"/>
                <w:color w:val="auto"/>
                <w:kern w:val="0"/>
                <w:szCs w:val="21"/>
              </w:rPr>
              <w:t>应进行规范化设计，具备采样、监测条件，排放口附近</w:t>
            </w:r>
            <w:r>
              <w:rPr>
                <w:rFonts w:hint="eastAsia"/>
                <w:snapToGrid w:val="0"/>
                <w:color w:val="auto"/>
                <w:kern w:val="0"/>
                <w:szCs w:val="21"/>
                <w:lang w:val="en-US" w:eastAsia="zh-CN"/>
              </w:rPr>
              <w:t>竖</w:t>
            </w:r>
            <w:r>
              <w:rPr>
                <w:snapToGrid w:val="0"/>
                <w:color w:val="auto"/>
                <w:kern w:val="0"/>
                <w:szCs w:val="21"/>
              </w:rPr>
              <w:t>立环保图形标志牌。排污口应符合“一明显、二合理、三便于”的要求，即环保标志明显，排污口设置合理，排污去向合理，便于采集样品，便于监测计量，便于公众监督管理。</w:t>
            </w:r>
          </w:p>
          <w:p w14:paraId="41C1CE63">
            <w:pPr>
              <w:spacing w:line="360" w:lineRule="auto"/>
              <w:ind w:firstLine="420" w:firstLineChars="200"/>
              <w:rPr>
                <w:bCs/>
                <w:color w:val="auto"/>
                <w:szCs w:val="21"/>
              </w:rPr>
            </w:pPr>
            <w:r>
              <w:rPr>
                <w:snapToGrid w:val="0"/>
                <w:color w:val="auto"/>
                <w:kern w:val="0"/>
                <w:szCs w:val="21"/>
              </w:rPr>
              <w:t>具体要求见表5-2。</w:t>
            </w:r>
          </w:p>
          <w:p w14:paraId="23CDE7BC">
            <w:pPr>
              <w:autoSpaceDE w:val="0"/>
              <w:autoSpaceDN w:val="0"/>
              <w:adjustRightInd w:val="0"/>
              <w:snapToGrid w:val="0"/>
              <w:jc w:val="center"/>
              <w:rPr>
                <w:b/>
                <w:sz w:val="18"/>
                <w:szCs w:val="18"/>
              </w:rPr>
            </w:pPr>
            <w:r>
              <w:rPr>
                <w:b/>
                <w:sz w:val="18"/>
                <w:szCs w:val="18"/>
              </w:rPr>
              <w:t>表5-2</w:t>
            </w:r>
            <w:r>
              <w:rPr>
                <w:rFonts w:hint="eastAsia"/>
                <w:b/>
                <w:sz w:val="18"/>
                <w:szCs w:val="18"/>
              </w:rPr>
              <w:t xml:space="preserve">    </w:t>
            </w:r>
            <w:r>
              <w:rPr>
                <w:b/>
                <w:sz w:val="18"/>
                <w:szCs w:val="18"/>
              </w:rPr>
              <w:t>环境保护图形标志</w:t>
            </w:r>
          </w:p>
          <w:tbl>
            <w:tblPr>
              <w:tblStyle w:val="48"/>
              <w:tblW w:w="7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724"/>
              <w:gridCol w:w="1806"/>
              <w:gridCol w:w="1642"/>
            </w:tblGrid>
            <w:tr w14:paraId="7ABE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902" w:type="dxa"/>
                  <w:vAlign w:val="center"/>
                </w:tcPr>
                <w:p w14:paraId="4CCA1865">
                  <w:pPr>
                    <w:rPr>
                      <w:szCs w:val="21"/>
                    </w:rPr>
                  </w:pPr>
                  <w:r>
                    <w:rPr>
                      <w:szCs w:val="21"/>
                    </w:rPr>
                    <w:drawing>
                      <wp:inline distT="0" distB="0" distL="0" distR="0">
                        <wp:extent cx="1069975" cy="1017905"/>
                        <wp:effectExtent l="0" t="0" r="15875" b="10795"/>
                        <wp:docPr id="1" name="图片 97"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7" descr="点击看大图及详细资料"/>
                                <pic:cNvPicPr>
                                  <a:picLocks noChangeAspect="1" noChangeArrowheads="1"/>
                                </pic:cNvPicPr>
                              </pic:nvPicPr>
                              <pic:blipFill>
                                <a:blip r:embed="rId33" cstate="print"/>
                                <a:srcRect/>
                                <a:stretch>
                                  <a:fillRect/>
                                </a:stretch>
                              </pic:blipFill>
                              <pic:spPr>
                                <a:xfrm>
                                  <a:off x="0" y="0"/>
                                  <a:ext cx="1069975" cy="1017905"/>
                                </a:xfrm>
                                <a:prstGeom prst="rect">
                                  <a:avLst/>
                                </a:prstGeom>
                                <a:noFill/>
                                <a:ln w="9525">
                                  <a:noFill/>
                                  <a:miter lim="800000"/>
                                  <a:headEnd/>
                                  <a:tailEnd/>
                                </a:ln>
                              </pic:spPr>
                            </pic:pic>
                          </a:graphicData>
                        </a:graphic>
                      </wp:inline>
                    </w:drawing>
                  </w:r>
                  <w:r>
                    <w:fldChar w:fldCharType="begin"/>
                  </w:r>
                  <w:r>
                    <w:instrText xml:space="preserve"> HYPERLINK "http://www.biaozhi.net/eNews/news/200602/0029_0000000905.shtml" \t "_blank" </w:instrText>
                  </w:r>
                  <w:r>
                    <w:fldChar w:fldCharType="separate"/>
                  </w:r>
                  <w:r>
                    <w:fldChar w:fldCharType="end"/>
                  </w:r>
                </w:p>
              </w:tc>
              <w:tc>
                <w:tcPr>
                  <w:tcW w:w="1736" w:type="dxa"/>
                  <w:vAlign w:val="center"/>
                </w:tcPr>
                <w:p w14:paraId="1C3FFBCF">
                  <w:pPr>
                    <w:rPr>
                      <w:szCs w:val="21"/>
                    </w:rPr>
                  </w:pPr>
                  <w:r>
                    <w:rPr>
                      <w:szCs w:val="21"/>
                    </w:rPr>
                    <w:t>废气排放口</w:t>
                  </w:r>
                </w:p>
                <w:p w14:paraId="546E4BF4">
                  <w:pPr>
                    <w:rPr>
                      <w:szCs w:val="21"/>
                    </w:rPr>
                  </w:pPr>
                  <w:r>
                    <w:rPr>
                      <w:szCs w:val="21"/>
                    </w:rPr>
                    <w:t>表示废气向大气环境排放</w:t>
                  </w:r>
                </w:p>
              </w:tc>
              <w:tc>
                <w:tcPr>
                  <w:tcW w:w="1808" w:type="dxa"/>
                  <w:vAlign w:val="center"/>
                </w:tcPr>
                <w:p w14:paraId="5CC925E0">
                  <w:pPr>
                    <w:rPr>
                      <w:szCs w:val="21"/>
                    </w:rPr>
                  </w:pPr>
                  <w:r>
                    <w:rPr>
                      <w:szCs w:val="21"/>
                    </w:rPr>
                    <w:drawing>
                      <wp:inline distT="0" distB="0" distL="0" distR="0">
                        <wp:extent cx="914400" cy="914400"/>
                        <wp:effectExtent l="0" t="0" r="0" b="0"/>
                        <wp:docPr id="42" name="图片 35" descr="点击看大图及详细资料">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5" descr="点击看大图及详细资料"/>
                                <pic:cNvPicPr>
                                  <a:picLocks noChangeAspect="1" noChangeArrowheads="1"/>
                                </pic:cNvPicPr>
                              </pic:nvPicPr>
                              <pic:blipFill>
                                <a:blip r:embed="rId35" cstate="print"/>
                                <a:srcRect/>
                                <a:stretch>
                                  <a:fillRect/>
                                </a:stretch>
                              </pic:blipFill>
                              <pic:spPr>
                                <a:xfrm>
                                  <a:off x="0" y="0"/>
                                  <a:ext cx="914400" cy="914400"/>
                                </a:xfrm>
                                <a:prstGeom prst="rect">
                                  <a:avLst/>
                                </a:prstGeom>
                                <a:noFill/>
                                <a:ln w="9525">
                                  <a:noFill/>
                                  <a:miter lim="800000"/>
                                  <a:headEnd/>
                                  <a:tailEnd/>
                                </a:ln>
                              </pic:spPr>
                            </pic:pic>
                          </a:graphicData>
                        </a:graphic>
                      </wp:inline>
                    </w:drawing>
                  </w:r>
                </w:p>
              </w:tc>
              <w:tc>
                <w:tcPr>
                  <w:tcW w:w="1652" w:type="dxa"/>
                  <w:vAlign w:val="center"/>
                </w:tcPr>
                <w:p w14:paraId="4CB555D6">
                  <w:pPr>
                    <w:rPr>
                      <w:szCs w:val="21"/>
                    </w:rPr>
                  </w:pPr>
                  <w:r>
                    <w:rPr>
                      <w:szCs w:val="21"/>
                    </w:rPr>
                    <w:t>噪声排放源</w:t>
                  </w:r>
                </w:p>
                <w:p w14:paraId="4B636E76">
                  <w:pPr>
                    <w:rPr>
                      <w:szCs w:val="21"/>
                    </w:rPr>
                  </w:pPr>
                  <w:r>
                    <w:rPr>
                      <w:szCs w:val="21"/>
                    </w:rPr>
                    <w:t>表示噪声向外环境排放</w:t>
                  </w:r>
                </w:p>
              </w:tc>
            </w:tr>
            <w:tr w14:paraId="2EC3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902" w:type="dxa"/>
                  <w:vAlign w:val="center"/>
                </w:tcPr>
                <w:p w14:paraId="668E3048">
                  <w:pPr>
                    <w:rPr>
                      <w:szCs w:val="21"/>
                    </w:rPr>
                  </w:pPr>
                  <w:r>
                    <w:rPr>
                      <w:szCs w:val="21"/>
                    </w:rPr>
                    <w:drawing>
                      <wp:inline distT="0" distB="0" distL="0" distR="0">
                        <wp:extent cx="1061085" cy="914400"/>
                        <wp:effectExtent l="0" t="0" r="5715" b="0"/>
                        <wp:docPr id="50" name="图片 98" descr="[2OM$Q~9VA`3U0OK~8X)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8" descr="[2OM$Q~9VA`3U0OK~8X)9(6"/>
                                <pic:cNvPicPr>
                                  <a:picLocks noChangeAspect="1" noChangeArrowheads="1"/>
                                </pic:cNvPicPr>
                              </pic:nvPicPr>
                              <pic:blipFill>
                                <a:blip r:embed="rId36" cstate="print"/>
                                <a:srcRect/>
                                <a:stretch>
                                  <a:fillRect/>
                                </a:stretch>
                              </pic:blipFill>
                              <pic:spPr>
                                <a:xfrm>
                                  <a:off x="0" y="0"/>
                                  <a:ext cx="1061085" cy="914400"/>
                                </a:xfrm>
                                <a:prstGeom prst="rect">
                                  <a:avLst/>
                                </a:prstGeom>
                                <a:noFill/>
                                <a:ln w="9525">
                                  <a:noFill/>
                                  <a:miter lim="800000"/>
                                  <a:headEnd/>
                                  <a:tailEnd/>
                                </a:ln>
                              </pic:spPr>
                            </pic:pic>
                          </a:graphicData>
                        </a:graphic>
                      </wp:inline>
                    </w:drawing>
                  </w:r>
                </w:p>
              </w:tc>
              <w:tc>
                <w:tcPr>
                  <w:tcW w:w="1736" w:type="dxa"/>
                  <w:vAlign w:val="center"/>
                </w:tcPr>
                <w:p w14:paraId="0540F79E">
                  <w:pPr>
                    <w:rPr>
                      <w:szCs w:val="21"/>
                    </w:rPr>
                  </w:pPr>
                  <w:r>
                    <w:rPr>
                      <w:szCs w:val="21"/>
                    </w:rPr>
                    <w:t>一般固体废弃物提示图形符号</w:t>
                  </w:r>
                </w:p>
                <w:p w14:paraId="758F84D7">
                  <w:pPr>
                    <w:rPr>
                      <w:szCs w:val="21"/>
                    </w:rPr>
                  </w:pPr>
                  <w:r>
                    <w:rPr>
                      <w:szCs w:val="21"/>
                    </w:rPr>
                    <w:t>表示一般固体废弃物贮存、处置场</w:t>
                  </w:r>
                </w:p>
              </w:tc>
              <w:tc>
                <w:tcPr>
                  <w:tcW w:w="1808" w:type="dxa"/>
                  <w:vAlign w:val="center"/>
                </w:tcPr>
                <w:p w14:paraId="0F8F2FBA">
                  <w:pPr>
                    <w:rPr>
                      <w:szCs w:val="21"/>
                    </w:rPr>
                  </w:pPr>
                  <w:r>
                    <w:rPr>
                      <w:szCs w:val="21"/>
                    </w:rPr>
                    <w:drawing>
                      <wp:anchor distT="0" distB="0" distL="114300" distR="114300" simplePos="0" relativeHeight="251661312" behindDoc="0" locked="0" layoutInCell="1" allowOverlap="1">
                        <wp:simplePos x="0" y="0"/>
                        <wp:positionH relativeFrom="column">
                          <wp:posOffset>24130</wp:posOffset>
                        </wp:positionH>
                        <wp:positionV relativeFrom="paragraph">
                          <wp:posOffset>-655320</wp:posOffset>
                        </wp:positionV>
                        <wp:extent cx="937260" cy="735965"/>
                        <wp:effectExtent l="0" t="0" r="15240" b="6985"/>
                        <wp:wrapSquare wrapText="bothSides"/>
                        <wp:docPr id="51"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47"/>
                                <pic:cNvPicPr>
                                  <a:picLocks noChangeAspect="1" noChangeArrowheads="1"/>
                                </pic:cNvPicPr>
                              </pic:nvPicPr>
                              <pic:blipFill>
                                <a:blip r:embed="rId37" cstate="print"/>
                                <a:srcRect/>
                                <a:stretch>
                                  <a:fillRect/>
                                </a:stretch>
                              </pic:blipFill>
                              <pic:spPr>
                                <a:xfrm>
                                  <a:off x="0" y="0"/>
                                  <a:ext cx="937260" cy="735965"/>
                                </a:xfrm>
                                <a:prstGeom prst="rect">
                                  <a:avLst/>
                                </a:prstGeom>
                                <a:noFill/>
                                <a:ln w="9525">
                                  <a:noFill/>
                                  <a:miter lim="800000"/>
                                  <a:headEnd/>
                                  <a:tailEnd/>
                                </a:ln>
                              </pic:spPr>
                            </pic:pic>
                          </a:graphicData>
                        </a:graphic>
                      </wp:anchor>
                    </w:drawing>
                  </w:r>
                </w:p>
              </w:tc>
              <w:tc>
                <w:tcPr>
                  <w:tcW w:w="1652" w:type="dxa"/>
                  <w:vAlign w:val="center"/>
                </w:tcPr>
                <w:p w14:paraId="48C5F2DE">
                  <w:pPr>
                    <w:rPr>
                      <w:szCs w:val="21"/>
                    </w:rPr>
                  </w:pPr>
                  <w:r>
                    <w:rPr>
                      <w:rFonts w:hint="eastAsia"/>
                      <w:szCs w:val="21"/>
                    </w:rPr>
                    <w:t>危险废物提示图形符合</w:t>
                  </w:r>
                </w:p>
                <w:p w14:paraId="441DD9CB">
                  <w:pPr>
                    <w:rPr>
                      <w:szCs w:val="21"/>
                    </w:rPr>
                  </w:pPr>
                  <w:r>
                    <w:rPr>
                      <w:rFonts w:hint="eastAsia"/>
                      <w:szCs w:val="21"/>
                    </w:rPr>
                    <w:t>表示危险废物贮存、处置场</w:t>
                  </w:r>
                </w:p>
              </w:tc>
            </w:tr>
          </w:tbl>
          <w:p w14:paraId="41025D30">
            <w:pPr>
              <w:spacing w:line="360" w:lineRule="auto"/>
              <w:ind w:firstLine="422" w:firstLineChars="200"/>
              <w:rPr>
                <w:b/>
                <w:snapToGrid w:val="0"/>
                <w:color w:val="auto"/>
                <w:kern w:val="0"/>
                <w:szCs w:val="21"/>
              </w:rPr>
            </w:pPr>
            <w:r>
              <w:rPr>
                <w:rFonts w:hint="eastAsia"/>
                <w:b/>
                <w:snapToGrid w:val="0"/>
                <w:color w:val="auto"/>
                <w:kern w:val="0"/>
                <w:szCs w:val="21"/>
              </w:rPr>
              <w:t>4</w:t>
            </w:r>
            <w:r>
              <w:rPr>
                <w:b/>
                <w:snapToGrid w:val="0"/>
                <w:color w:val="auto"/>
                <w:kern w:val="0"/>
                <w:szCs w:val="21"/>
              </w:rPr>
              <w:t>、管理监测信息公开</w:t>
            </w:r>
          </w:p>
          <w:p w14:paraId="02E2AC6D">
            <w:pPr>
              <w:spacing w:line="360" w:lineRule="auto"/>
              <w:ind w:firstLine="420" w:firstLineChars="200"/>
              <w:rPr>
                <w:snapToGrid w:val="0"/>
                <w:color w:val="auto"/>
                <w:kern w:val="0"/>
                <w:szCs w:val="21"/>
              </w:rPr>
            </w:pPr>
            <w:r>
              <w:rPr>
                <w:snapToGrid w:val="0"/>
                <w:color w:val="auto"/>
                <w:kern w:val="0"/>
                <w:szCs w:val="21"/>
              </w:rPr>
              <w:t>根据《企业事业单位环境信息公开办法》，企业事业单位应当建立健全本单位环境信息公开制度，指定机构负责本单位环境信息公开日常工作，通过其网站、企业事业单位环境信息公开平台或者当地报刊等便于公众知晓的方式公开环境信息，主要公开内容如下：</w:t>
            </w:r>
          </w:p>
          <w:p w14:paraId="20372174">
            <w:pPr>
              <w:spacing w:line="360" w:lineRule="auto"/>
              <w:ind w:firstLine="420" w:firstLineChars="200"/>
              <w:rPr>
                <w:snapToGrid w:val="0"/>
                <w:color w:val="auto"/>
                <w:kern w:val="0"/>
                <w:szCs w:val="21"/>
              </w:rPr>
            </w:pPr>
            <w:r>
              <w:rPr>
                <w:snapToGrid w:val="0"/>
                <w:color w:val="auto"/>
                <w:kern w:val="0"/>
                <w:szCs w:val="21"/>
              </w:rPr>
              <w:t>1）基础信息，包括单位名称、组织机构代码、法定代表人、生产地址、联系方式，以及生产经营和管理服务的主要内容、产品及规模；</w:t>
            </w:r>
          </w:p>
          <w:p w14:paraId="485BC0B2">
            <w:pPr>
              <w:spacing w:line="360" w:lineRule="auto"/>
              <w:ind w:firstLine="420" w:firstLineChars="200"/>
              <w:rPr>
                <w:snapToGrid w:val="0"/>
                <w:color w:val="auto"/>
                <w:kern w:val="0"/>
                <w:szCs w:val="21"/>
              </w:rPr>
            </w:pPr>
            <w:r>
              <w:rPr>
                <w:snapToGrid w:val="0"/>
                <w:color w:val="auto"/>
                <w:kern w:val="0"/>
                <w:szCs w:val="21"/>
              </w:rPr>
              <w:t>2）排污信息，包括主要污染物及特征污染物的名称、排放方式、排放口数量和分布情况、排放浓度和总量、超标情况以及执行的污染物排放标准、核定的排放总量；</w:t>
            </w:r>
          </w:p>
          <w:p w14:paraId="32780E33">
            <w:pPr>
              <w:spacing w:line="360" w:lineRule="auto"/>
              <w:ind w:firstLine="420" w:firstLineChars="200"/>
              <w:rPr>
                <w:snapToGrid w:val="0"/>
                <w:color w:val="auto"/>
                <w:kern w:val="0"/>
                <w:szCs w:val="21"/>
              </w:rPr>
            </w:pPr>
            <w:r>
              <w:rPr>
                <w:snapToGrid w:val="0"/>
                <w:color w:val="auto"/>
                <w:kern w:val="0"/>
                <w:szCs w:val="21"/>
              </w:rPr>
              <w:t>3）防治污染设施的建设和运行情况；</w:t>
            </w:r>
          </w:p>
          <w:p w14:paraId="01260A16">
            <w:pPr>
              <w:spacing w:line="360" w:lineRule="auto"/>
              <w:ind w:firstLine="420" w:firstLineChars="200"/>
              <w:rPr>
                <w:snapToGrid w:val="0"/>
                <w:color w:val="auto"/>
                <w:kern w:val="0"/>
                <w:szCs w:val="21"/>
              </w:rPr>
            </w:pPr>
            <w:r>
              <w:rPr>
                <w:snapToGrid w:val="0"/>
                <w:color w:val="auto"/>
                <w:kern w:val="0"/>
                <w:szCs w:val="21"/>
              </w:rPr>
              <w:t>4）建设项目环境影响评价及其他环境保护行政许可情况；</w:t>
            </w:r>
          </w:p>
          <w:p w14:paraId="6B1FF380">
            <w:pPr>
              <w:spacing w:line="360" w:lineRule="auto"/>
              <w:ind w:firstLine="420" w:firstLineChars="200"/>
              <w:rPr>
                <w:color w:val="auto"/>
                <w:szCs w:val="21"/>
              </w:rPr>
            </w:pPr>
            <w:r>
              <w:rPr>
                <w:snapToGrid w:val="0"/>
                <w:color w:val="auto"/>
                <w:kern w:val="0"/>
                <w:szCs w:val="21"/>
              </w:rPr>
              <w:t>5）其他应当公开的环境信息。如竣工环境保护验收备案、自行监测工作开展情况及监测结果。</w:t>
            </w:r>
          </w:p>
          <w:p w14:paraId="4C9FF4F3">
            <w:pPr>
              <w:adjustRightInd w:val="0"/>
              <w:snapToGrid w:val="0"/>
              <w:rPr>
                <w:color w:val="auto"/>
                <w:szCs w:val="21"/>
              </w:rPr>
            </w:pPr>
          </w:p>
          <w:p w14:paraId="663D23D6">
            <w:pPr>
              <w:adjustRightInd w:val="0"/>
              <w:snapToGrid w:val="0"/>
              <w:rPr>
                <w:color w:val="auto"/>
                <w:szCs w:val="21"/>
              </w:rPr>
            </w:pPr>
          </w:p>
        </w:tc>
      </w:tr>
    </w:tbl>
    <w:p w14:paraId="4725F0F6">
      <w:pPr>
        <w:pStyle w:val="40"/>
        <w:jc w:val="center"/>
        <w:outlineLvl w:val="0"/>
        <w:rPr>
          <w:rFonts w:ascii="Times New Roman" w:hAnsi="Times New Roman" w:eastAsia="黑体"/>
          <w:snapToGrid w:val="0"/>
          <w:color w:val="auto"/>
          <w:sz w:val="30"/>
          <w:szCs w:val="30"/>
        </w:rPr>
      </w:pPr>
      <w:r>
        <w:rPr>
          <w:rFonts w:ascii="Times New Roman" w:hAnsi="Times New Roman"/>
          <w:snapToGrid w:val="0"/>
          <w:color w:val="auto"/>
        </w:rPr>
        <w:br w:type="page"/>
      </w:r>
      <w:r>
        <w:rPr>
          <w:rFonts w:ascii="Times New Roman" w:hAnsi="黑体" w:eastAsia="黑体"/>
          <w:snapToGrid w:val="0"/>
          <w:color w:val="auto"/>
          <w:sz w:val="30"/>
          <w:szCs w:val="30"/>
        </w:rPr>
        <w:t>六、结论</w:t>
      </w:r>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6DEB6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0A3AFB93">
            <w:pPr>
              <w:spacing w:line="360" w:lineRule="auto"/>
              <w:ind w:firstLine="413" w:firstLineChars="196"/>
              <w:rPr>
                <w:color w:val="auto"/>
                <w:szCs w:val="21"/>
              </w:rPr>
            </w:pPr>
            <w:r>
              <w:rPr>
                <w:b/>
                <w:color w:val="auto"/>
                <w:szCs w:val="21"/>
                <w:lang w:val="zh-CN"/>
              </w:rPr>
              <w:t>综上所述，</w:t>
            </w:r>
            <w:r>
              <w:rPr>
                <w:rFonts w:hint="eastAsia"/>
                <w:b/>
                <w:color w:val="auto"/>
                <w:szCs w:val="21"/>
                <w:lang w:val="zh-CN"/>
              </w:rPr>
              <w:t>古建筑产业园项目</w:t>
            </w:r>
            <w:r>
              <w:rPr>
                <w:b/>
                <w:color w:val="auto"/>
                <w:szCs w:val="21"/>
                <w:lang w:val="zh-CN"/>
              </w:rPr>
              <w:t>符合国家产业政策的要求，选址符合环保政策和当地规划的要求，在严格落实本次环评规定的环保措施并加强运行管理后，各污染物可以稳定达标排放，不会造成区域现有环境功能的改变。因此，从社会进步、经济发展和环境保护角度考虑，本评价认为项目建设是可行的。</w:t>
            </w:r>
          </w:p>
        </w:tc>
      </w:tr>
    </w:tbl>
    <w:p w14:paraId="72CF28FF">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55AE8CC">
      <w:pPr>
        <w:pStyle w:val="4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outlineLvl w:val="0"/>
        <w:rPr>
          <w:rFonts w:ascii="Times New Roman" w:hAnsi="Times New Roman" w:eastAsia="黑体"/>
          <w:snapToGrid w:val="0"/>
          <w:color w:val="auto"/>
          <w:sz w:val="32"/>
          <w:szCs w:val="32"/>
        </w:rPr>
      </w:pPr>
      <w:r>
        <w:rPr>
          <w:rFonts w:ascii="Times New Roman" w:hAnsi="黑体" w:eastAsia="黑体"/>
          <w:snapToGrid w:val="0"/>
          <w:color w:val="auto"/>
          <w:sz w:val="32"/>
          <w:szCs w:val="32"/>
        </w:rPr>
        <w:t>附表</w:t>
      </w:r>
    </w:p>
    <w:p w14:paraId="089C8B56">
      <w:pPr>
        <w:pStyle w:val="4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ascii="Times New Roman" w:hAnsi="Times New Roman" w:eastAsia="方正小标宋_GBK"/>
          <w:snapToGrid w:val="0"/>
          <w:color w:val="auto"/>
          <w:sz w:val="38"/>
          <w:szCs w:val="38"/>
        </w:rPr>
      </w:pPr>
      <w:r>
        <w:rPr>
          <w:rFonts w:ascii="Times New Roman" w:hAnsi="Times New Roman" w:eastAsia="方正小标宋_GBK"/>
          <w:snapToGrid w:val="0"/>
          <w:color w:val="auto"/>
          <w:sz w:val="38"/>
          <w:szCs w:val="38"/>
        </w:rPr>
        <w:t>建设项目污染物排放量汇总表</w:t>
      </w:r>
    </w:p>
    <w:tbl>
      <w:tblPr>
        <w:tblStyle w:val="4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499"/>
        <w:gridCol w:w="1286"/>
      </w:tblGrid>
      <w:tr w14:paraId="58C2F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097E8DE5">
            <w:pPr>
              <w:pStyle w:val="66"/>
              <w:spacing w:beforeLines="0" w:afterLines="0" w:line="240" w:lineRule="auto"/>
              <w:jc w:val="right"/>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项目</w:t>
            </w:r>
          </w:p>
          <w:p w14:paraId="0BBD1EDE">
            <w:pPr>
              <w:pStyle w:val="66"/>
              <w:spacing w:beforeLines="0" w:afterLines="0" w:line="240" w:lineRule="auto"/>
              <w:jc w:val="left"/>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分类</w:t>
            </w:r>
          </w:p>
        </w:tc>
        <w:tc>
          <w:tcPr>
            <w:tcW w:w="1417" w:type="dxa"/>
            <w:tcMar>
              <w:left w:w="28" w:type="dxa"/>
              <w:right w:w="28" w:type="dxa"/>
            </w:tcMar>
            <w:vAlign w:val="center"/>
          </w:tcPr>
          <w:p w14:paraId="10ECA0C1">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污染物名称</w:t>
            </w:r>
          </w:p>
        </w:tc>
        <w:tc>
          <w:tcPr>
            <w:tcW w:w="1701" w:type="dxa"/>
            <w:tcMar>
              <w:left w:w="28" w:type="dxa"/>
              <w:right w:w="28" w:type="dxa"/>
            </w:tcMar>
            <w:vAlign w:val="center"/>
          </w:tcPr>
          <w:p w14:paraId="20D4C4B7">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现有工程</w:t>
            </w:r>
          </w:p>
          <w:p w14:paraId="4B58E9D1">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1 \* GB3 \* MERGEFORMAT </w:instrText>
            </w:r>
            <w:r>
              <w:rPr>
                <w:rFonts w:ascii="Times New Roman" w:eastAsia="黑体"/>
                <w:snapToGrid w:val="0"/>
                <w:color w:val="auto"/>
                <w:spacing w:val="-6"/>
                <w:kern w:val="21"/>
                <w:szCs w:val="21"/>
              </w:rPr>
              <w:fldChar w:fldCharType="separate"/>
            </w:r>
            <w:r>
              <w:rPr>
                <w:rFonts w:ascii="Times New Roman" w:hAnsi="黑体" w:eastAsia="黑体"/>
                <w:color w:val="auto"/>
                <w:kern w:val="2"/>
                <w:szCs w:val="21"/>
              </w:rPr>
              <w:t>①</w:t>
            </w:r>
            <w:r>
              <w:rPr>
                <w:rFonts w:ascii="Times New Roman" w:eastAsia="黑体"/>
                <w:snapToGrid w:val="0"/>
                <w:color w:val="auto"/>
                <w:spacing w:val="-6"/>
                <w:kern w:val="21"/>
                <w:szCs w:val="21"/>
              </w:rPr>
              <w:fldChar w:fldCharType="end"/>
            </w:r>
          </w:p>
        </w:tc>
        <w:tc>
          <w:tcPr>
            <w:tcW w:w="1276" w:type="dxa"/>
            <w:tcMar>
              <w:left w:w="28" w:type="dxa"/>
              <w:right w:w="28" w:type="dxa"/>
            </w:tcMar>
            <w:vAlign w:val="center"/>
          </w:tcPr>
          <w:p w14:paraId="00E5CAEE">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现有工程</w:t>
            </w:r>
          </w:p>
          <w:p w14:paraId="217FA820">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许可排放量</w:t>
            </w:r>
          </w:p>
          <w:p w14:paraId="59192138">
            <w:pPr>
              <w:pStyle w:val="66"/>
              <w:spacing w:beforeLines="0" w:afterLines="0"/>
              <w:rPr>
                <w:rFonts w:ascii="Times New Roman" w:eastAsia="黑体"/>
                <w:snapToGrid w:val="0"/>
                <w:color w:val="auto"/>
                <w:spacing w:val="-6"/>
                <w:kern w:val="21"/>
                <w:szCs w:val="21"/>
              </w:rPr>
            </w:pP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2 \* GB3 \* MERGEFORMAT </w:instrText>
            </w:r>
            <w:r>
              <w:rPr>
                <w:rFonts w:ascii="Times New Roman" w:eastAsia="黑体"/>
                <w:snapToGrid w:val="0"/>
                <w:color w:val="auto"/>
                <w:spacing w:val="-6"/>
                <w:kern w:val="21"/>
                <w:szCs w:val="21"/>
              </w:rPr>
              <w:fldChar w:fldCharType="separate"/>
            </w:r>
            <w:r>
              <w:rPr>
                <w:rFonts w:ascii="Times New Roman" w:hAnsi="黑体" w:eastAsia="黑体"/>
                <w:snapToGrid w:val="0"/>
                <w:color w:val="auto"/>
                <w:spacing w:val="-6"/>
                <w:kern w:val="21"/>
                <w:szCs w:val="21"/>
              </w:rPr>
              <w:t>②</w:t>
            </w:r>
            <w:r>
              <w:rPr>
                <w:rFonts w:ascii="Times New Roman" w:eastAsia="黑体"/>
                <w:snapToGrid w:val="0"/>
                <w:color w:val="auto"/>
                <w:spacing w:val="-6"/>
                <w:kern w:val="21"/>
                <w:szCs w:val="21"/>
              </w:rPr>
              <w:fldChar w:fldCharType="end"/>
            </w:r>
          </w:p>
        </w:tc>
        <w:tc>
          <w:tcPr>
            <w:tcW w:w="1701" w:type="dxa"/>
            <w:tcMar>
              <w:left w:w="28" w:type="dxa"/>
              <w:right w:w="28" w:type="dxa"/>
            </w:tcMar>
            <w:vAlign w:val="center"/>
          </w:tcPr>
          <w:p w14:paraId="2D284274">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在建工程</w:t>
            </w:r>
          </w:p>
          <w:p w14:paraId="4786FE88">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3 \* GB3 \* MERGEFORMAT </w:instrText>
            </w:r>
            <w:r>
              <w:rPr>
                <w:rFonts w:ascii="Times New Roman" w:eastAsia="黑体"/>
                <w:snapToGrid w:val="0"/>
                <w:color w:val="auto"/>
                <w:spacing w:val="-6"/>
                <w:kern w:val="21"/>
                <w:szCs w:val="21"/>
              </w:rPr>
              <w:fldChar w:fldCharType="separate"/>
            </w:r>
            <w:r>
              <w:rPr>
                <w:rFonts w:ascii="Times New Roman" w:hAnsi="黑体" w:eastAsia="黑体"/>
                <w:color w:val="auto"/>
                <w:kern w:val="2"/>
                <w:szCs w:val="21"/>
              </w:rPr>
              <w:t>③</w:t>
            </w:r>
            <w:r>
              <w:rPr>
                <w:rFonts w:ascii="Times New Roman" w:eastAsia="黑体"/>
                <w:snapToGrid w:val="0"/>
                <w:color w:val="auto"/>
                <w:spacing w:val="-6"/>
                <w:kern w:val="21"/>
                <w:szCs w:val="21"/>
              </w:rPr>
              <w:fldChar w:fldCharType="end"/>
            </w:r>
          </w:p>
        </w:tc>
        <w:tc>
          <w:tcPr>
            <w:tcW w:w="1559" w:type="dxa"/>
            <w:tcMar>
              <w:left w:w="28" w:type="dxa"/>
              <w:right w:w="28" w:type="dxa"/>
            </w:tcMar>
            <w:vAlign w:val="center"/>
          </w:tcPr>
          <w:p w14:paraId="28A9BFFA">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本项目</w:t>
            </w:r>
          </w:p>
          <w:p w14:paraId="32955884">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排放量（固体废物产生量）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4 \* GB3 \* MERGEFORMAT </w:instrText>
            </w:r>
            <w:r>
              <w:rPr>
                <w:rFonts w:ascii="Times New Roman" w:eastAsia="黑体"/>
                <w:snapToGrid w:val="0"/>
                <w:color w:val="auto"/>
                <w:spacing w:val="-6"/>
                <w:kern w:val="21"/>
                <w:szCs w:val="21"/>
              </w:rPr>
              <w:fldChar w:fldCharType="separate"/>
            </w:r>
            <w:r>
              <w:rPr>
                <w:rFonts w:ascii="Times New Roman" w:hAnsi="黑体" w:eastAsia="黑体"/>
                <w:color w:val="auto"/>
                <w:kern w:val="2"/>
                <w:szCs w:val="21"/>
              </w:rPr>
              <w:t>④</w:t>
            </w:r>
            <w:r>
              <w:rPr>
                <w:rFonts w:ascii="Times New Roman" w:eastAsia="黑体"/>
                <w:snapToGrid w:val="0"/>
                <w:color w:val="auto"/>
                <w:spacing w:val="-6"/>
                <w:kern w:val="21"/>
                <w:szCs w:val="21"/>
              </w:rPr>
              <w:fldChar w:fldCharType="end"/>
            </w:r>
          </w:p>
        </w:tc>
        <w:tc>
          <w:tcPr>
            <w:tcW w:w="1761" w:type="dxa"/>
            <w:tcMar>
              <w:left w:w="28" w:type="dxa"/>
              <w:right w:w="28" w:type="dxa"/>
            </w:tcMar>
            <w:vAlign w:val="center"/>
          </w:tcPr>
          <w:p w14:paraId="79BAFC11">
            <w:pPr>
              <w:pStyle w:val="66"/>
              <w:spacing w:beforeLines="0" w:afterLines="0" w:line="240" w:lineRule="auto"/>
              <w:rPr>
                <w:rFonts w:ascii="Times New Roman" w:eastAsia="黑体"/>
                <w:snapToGrid w:val="0"/>
                <w:color w:val="auto"/>
                <w:spacing w:val="-16"/>
                <w:kern w:val="21"/>
                <w:szCs w:val="21"/>
              </w:rPr>
            </w:pPr>
            <w:r>
              <w:rPr>
                <w:rFonts w:ascii="Times New Roman" w:hAnsi="黑体" w:eastAsia="黑体"/>
                <w:snapToGrid w:val="0"/>
                <w:color w:val="auto"/>
                <w:spacing w:val="-16"/>
                <w:kern w:val="21"/>
                <w:szCs w:val="21"/>
              </w:rPr>
              <w:t>以新带老削减量</w:t>
            </w:r>
          </w:p>
          <w:p w14:paraId="534CBAD6">
            <w:pPr>
              <w:pStyle w:val="66"/>
              <w:spacing w:beforeLines="0" w:afterLines="0" w:line="240" w:lineRule="auto"/>
              <w:rPr>
                <w:rFonts w:ascii="Times New Roman" w:eastAsia="黑体"/>
                <w:snapToGrid w:val="0"/>
                <w:color w:val="auto"/>
                <w:spacing w:val="-16"/>
                <w:kern w:val="21"/>
                <w:szCs w:val="21"/>
              </w:rPr>
            </w:pPr>
            <w:r>
              <w:rPr>
                <w:rFonts w:ascii="Times New Roman" w:hAnsi="黑体" w:eastAsia="黑体"/>
                <w:snapToGrid w:val="0"/>
                <w:color w:val="auto"/>
                <w:spacing w:val="-16"/>
                <w:kern w:val="21"/>
                <w:szCs w:val="21"/>
              </w:rPr>
              <w:t>（新建项目不填）</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5 \* GB3 \* MERGEFORMAT </w:instrText>
            </w:r>
            <w:r>
              <w:rPr>
                <w:rFonts w:ascii="Times New Roman" w:eastAsia="黑体"/>
                <w:snapToGrid w:val="0"/>
                <w:color w:val="auto"/>
                <w:spacing w:val="-16"/>
                <w:kern w:val="21"/>
                <w:szCs w:val="21"/>
              </w:rPr>
              <w:fldChar w:fldCharType="separate"/>
            </w:r>
            <w:r>
              <w:rPr>
                <w:rFonts w:ascii="Times New Roman" w:hAnsi="黑体" w:eastAsia="黑体"/>
                <w:color w:val="auto"/>
                <w:kern w:val="2"/>
                <w:szCs w:val="21"/>
              </w:rPr>
              <w:t>⑤</w:t>
            </w:r>
            <w:r>
              <w:rPr>
                <w:rFonts w:ascii="Times New Roman" w:eastAsia="黑体"/>
                <w:snapToGrid w:val="0"/>
                <w:color w:val="auto"/>
                <w:spacing w:val="-16"/>
                <w:kern w:val="21"/>
                <w:szCs w:val="21"/>
              </w:rPr>
              <w:fldChar w:fldCharType="end"/>
            </w:r>
          </w:p>
        </w:tc>
        <w:tc>
          <w:tcPr>
            <w:tcW w:w="1499" w:type="dxa"/>
            <w:tcMar>
              <w:left w:w="28" w:type="dxa"/>
              <w:right w:w="28" w:type="dxa"/>
            </w:tcMar>
            <w:vAlign w:val="center"/>
          </w:tcPr>
          <w:p w14:paraId="290817BD">
            <w:pPr>
              <w:pStyle w:val="66"/>
              <w:spacing w:beforeLines="0" w:afterLines="0" w:line="240" w:lineRule="auto"/>
              <w:rPr>
                <w:rFonts w:ascii="Times New Roman" w:eastAsia="黑体"/>
                <w:snapToGrid w:val="0"/>
                <w:color w:val="auto"/>
                <w:spacing w:val="-16"/>
                <w:kern w:val="21"/>
                <w:szCs w:val="21"/>
              </w:rPr>
            </w:pPr>
            <w:r>
              <w:rPr>
                <w:rFonts w:ascii="Times New Roman" w:hAnsi="黑体" w:eastAsia="黑体"/>
                <w:snapToGrid w:val="0"/>
                <w:color w:val="auto"/>
                <w:spacing w:val="-16"/>
                <w:kern w:val="21"/>
                <w:szCs w:val="21"/>
              </w:rPr>
              <w:t>本项目建成后</w:t>
            </w:r>
          </w:p>
          <w:p w14:paraId="6D532844">
            <w:pPr>
              <w:pStyle w:val="66"/>
              <w:spacing w:beforeLines="0" w:afterLines="0" w:line="240" w:lineRule="auto"/>
              <w:rPr>
                <w:rFonts w:ascii="Times New Roman" w:eastAsia="黑体"/>
                <w:snapToGrid w:val="0"/>
                <w:color w:val="auto"/>
                <w:spacing w:val="-16"/>
                <w:kern w:val="21"/>
                <w:szCs w:val="21"/>
              </w:rPr>
            </w:pPr>
            <w:r>
              <w:rPr>
                <w:rFonts w:ascii="Times New Roman" w:hAnsi="黑体" w:eastAsia="黑体"/>
                <w:snapToGrid w:val="0"/>
                <w:color w:val="auto"/>
                <w:spacing w:val="-16"/>
                <w:kern w:val="21"/>
                <w:szCs w:val="21"/>
              </w:rPr>
              <w:t>全厂排放量（固体废物产生量）</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6 \* GB3 \* MERGEFORMAT </w:instrText>
            </w:r>
            <w:r>
              <w:rPr>
                <w:rFonts w:ascii="Times New Roman" w:eastAsia="黑体"/>
                <w:snapToGrid w:val="0"/>
                <w:color w:val="auto"/>
                <w:spacing w:val="-16"/>
                <w:kern w:val="21"/>
                <w:szCs w:val="21"/>
              </w:rPr>
              <w:fldChar w:fldCharType="separate"/>
            </w:r>
            <w:r>
              <w:rPr>
                <w:rFonts w:ascii="Times New Roman" w:hAnsi="黑体" w:eastAsia="黑体"/>
                <w:color w:val="auto"/>
                <w:kern w:val="2"/>
                <w:szCs w:val="21"/>
              </w:rPr>
              <w:t>⑥</w:t>
            </w:r>
            <w:r>
              <w:rPr>
                <w:rFonts w:ascii="Times New Roman" w:eastAsia="黑体"/>
                <w:snapToGrid w:val="0"/>
                <w:color w:val="auto"/>
                <w:spacing w:val="-16"/>
                <w:kern w:val="21"/>
                <w:szCs w:val="21"/>
              </w:rPr>
              <w:fldChar w:fldCharType="end"/>
            </w:r>
          </w:p>
        </w:tc>
        <w:tc>
          <w:tcPr>
            <w:tcW w:w="1286" w:type="dxa"/>
            <w:tcMar>
              <w:left w:w="28" w:type="dxa"/>
              <w:right w:w="28" w:type="dxa"/>
            </w:tcMar>
            <w:vAlign w:val="center"/>
          </w:tcPr>
          <w:p w14:paraId="6D30EDAF">
            <w:pPr>
              <w:pStyle w:val="66"/>
              <w:spacing w:beforeLines="0" w:afterLines="0" w:line="240" w:lineRule="auto"/>
              <w:rPr>
                <w:rFonts w:ascii="Times New Roman" w:eastAsia="黑体"/>
                <w:snapToGrid w:val="0"/>
                <w:color w:val="auto"/>
                <w:spacing w:val="-6"/>
                <w:kern w:val="21"/>
                <w:szCs w:val="21"/>
              </w:rPr>
            </w:pPr>
            <w:r>
              <w:rPr>
                <w:rFonts w:ascii="Times New Roman" w:hAnsi="黑体" w:eastAsia="黑体"/>
                <w:snapToGrid w:val="0"/>
                <w:color w:val="auto"/>
                <w:spacing w:val="-6"/>
                <w:kern w:val="21"/>
                <w:szCs w:val="21"/>
              </w:rPr>
              <w:t>变化量</w:t>
            </w:r>
          </w:p>
          <w:p w14:paraId="41696996">
            <w:pPr>
              <w:pStyle w:val="66"/>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7 \* GB3 \* MERGEFORMAT </w:instrText>
            </w:r>
            <w:r>
              <w:rPr>
                <w:rFonts w:ascii="Times New Roman" w:eastAsia="黑体"/>
                <w:snapToGrid w:val="0"/>
                <w:color w:val="auto"/>
                <w:spacing w:val="-6"/>
                <w:kern w:val="21"/>
                <w:szCs w:val="21"/>
              </w:rPr>
              <w:fldChar w:fldCharType="separate"/>
            </w:r>
            <w:r>
              <w:rPr>
                <w:rFonts w:ascii="Times New Roman" w:hAnsi="黑体" w:eastAsia="黑体"/>
                <w:color w:val="auto"/>
                <w:kern w:val="2"/>
                <w:szCs w:val="21"/>
              </w:rPr>
              <w:t>⑦</w:t>
            </w:r>
            <w:r>
              <w:rPr>
                <w:rFonts w:ascii="Times New Roman" w:eastAsia="黑体"/>
                <w:snapToGrid w:val="0"/>
                <w:color w:val="auto"/>
                <w:spacing w:val="-6"/>
                <w:kern w:val="21"/>
                <w:szCs w:val="21"/>
              </w:rPr>
              <w:fldChar w:fldCharType="end"/>
            </w:r>
          </w:p>
        </w:tc>
      </w:tr>
      <w:tr w14:paraId="3019F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19E20E6C">
            <w:pPr>
              <w:pStyle w:val="66"/>
              <w:spacing w:beforeLines="0" w:afterLines="0" w:line="240" w:lineRule="auto"/>
              <w:rPr>
                <w:rFonts w:ascii="Times New Roman"/>
                <w:snapToGrid w:val="0"/>
                <w:color w:val="auto"/>
                <w:kern w:val="21"/>
                <w:szCs w:val="21"/>
              </w:rPr>
            </w:pPr>
            <w:r>
              <w:rPr>
                <w:rFonts w:ascii="Times New Roman" w:hAnsi="宋体"/>
                <w:snapToGrid w:val="0"/>
                <w:color w:val="auto"/>
                <w:kern w:val="21"/>
                <w:szCs w:val="21"/>
              </w:rPr>
              <w:t>废气</w:t>
            </w:r>
          </w:p>
        </w:tc>
        <w:tc>
          <w:tcPr>
            <w:tcW w:w="1417" w:type="dxa"/>
            <w:vAlign w:val="center"/>
          </w:tcPr>
          <w:p w14:paraId="3F71FB75">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颗粒物</w:t>
            </w:r>
          </w:p>
        </w:tc>
        <w:tc>
          <w:tcPr>
            <w:tcW w:w="1701" w:type="dxa"/>
            <w:vAlign w:val="center"/>
          </w:tcPr>
          <w:p w14:paraId="2351E440">
            <w:pPr>
              <w:pStyle w:val="66"/>
              <w:spacing w:beforeLines="0" w:afterLines="0" w:line="240" w:lineRule="auto"/>
              <w:rPr>
                <w:rFonts w:ascii="Times New Roman"/>
                <w:snapToGrid w:val="0"/>
                <w:color w:val="auto"/>
                <w:kern w:val="21"/>
                <w:szCs w:val="21"/>
              </w:rPr>
            </w:pPr>
          </w:p>
        </w:tc>
        <w:tc>
          <w:tcPr>
            <w:tcW w:w="1276" w:type="dxa"/>
            <w:vAlign w:val="center"/>
          </w:tcPr>
          <w:p w14:paraId="21701347">
            <w:pPr>
              <w:pStyle w:val="66"/>
              <w:spacing w:beforeLines="0" w:afterLines="0" w:line="240" w:lineRule="auto"/>
              <w:rPr>
                <w:rFonts w:ascii="Times New Roman"/>
                <w:snapToGrid w:val="0"/>
                <w:color w:val="auto"/>
                <w:kern w:val="21"/>
                <w:szCs w:val="21"/>
              </w:rPr>
            </w:pPr>
          </w:p>
        </w:tc>
        <w:tc>
          <w:tcPr>
            <w:tcW w:w="1701" w:type="dxa"/>
            <w:vAlign w:val="center"/>
          </w:tcPr>
          <w:p w14:paraId="3995EAD0">
            <w:pPr>
              <w:pStyle w:val="66"/>
              <w:spacing w:beforeLines="0" w:afterLines="0" w:line="240" w:lineRule="auto"/>
              <w:rPr>
                <w:rFonts w:ascii="Times New Roman"/>
                <w:snapToGrid w:val="0"/>
                <w:color w:val="auto"/>
                <w:kern w:val="21"/>
                <w:szCs w:val="21"/>
              </w:rPr>
            </w:pPr>
          </w:p>
        </w:tc>
        <w:tc>
          <w:tcPr>
            <w:tcW w:w="1559" w:type="dxa"/>
            <w:vAlign w:val="center"/>
          </w:tcPr>
          <w:p w14:paraId="256913A9">
            <w:pPr>
              <w:pStyle w:val="66"/>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1.8590t/a</w:t>
            </w:r>
          </w:p>
        </w:tc>
        <w:tc>
          <w:tcPr>
            <w:tcW w:w="1761" w:type="dxa"/>
            <w:vAlign w:val="center"/>
          </w:tcPr>
          <w:p w14:paraId="6345F901">
            <w:pPr>
              <w:pStyle w:val="66"/>
              <w:spacing w:beforeLines="0" w:afterLines="0" w:line="240" w:lineRule="auto"/>
              <w:rPr>
                <w:rFonts w:ascii="Times New Roman"/>
                <w:snapToGrid w:val="0"/>
                <w:color w:val="auto"/>
                <w:kern w:val="21"/>
                <w:szCs w:val="21"/>
              </w:rPr>
            </w:pPr>
          </w:p>
        </w:tc>
        <w:tc>
          <w:tcPr>
            <w:tcW w:w="1499" w:type="dxa"/>
            <w:vAlign w:val="center"/>
          </w:tcPr>
          <w:p w14:paraId="06BF8298">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1.8590t/a</w:t>
            </w:r>
          </w:p>
        </w:tc>
        <w:tc>
          <w:tcPr>
            <w:tcW w:w="1286" w:type="dxa"/>
            <w:vAlign w:val="center"/>
          </w:tcPr>
          <w:p w14:paraId="52B60A4E">
            <w:pPr>
              <w:pStyle w:val="66"/>
              <w:spacing w:beforeLines="0" w:afterLines="0" w:line="240" w:lineRule="auto"/>
              <w:rPr>
                <w:rFonts w:ascii="Times New Roman"/>
                <w:snapToGrid w:val="0"/>
                <w:color w:val="auto"/>
                <w:kern w:val="21"/>
                <w:szCs w:val="21"/>
              </w:rPr>
            </w:pPr>
          </w:p>
        </w:tc>
      </w:tr>
      <w:tr w14:paraId="52CF59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4371C62">
            <w:pPr>
              <w:pStyle w:val="66"/>
              <w:spacing w:beforeLines="0" w:afterLines="0" w:line="240" w:lineRule="auto"/>
              <w:rPr>
                <w:rFonts w:ascii="Times New Roman" w:hAnsi="宋体"/>
                <w:snapToGrid w:val="0"/>
                <w:color w:val="auto"/>
                <w:kern w:val="21"/>
                <w:szCs w:val="21"/>
              </w:rPr>
            </w:pPr>
          </w:p>
        </w:tc>
        <w:tc>
          <w:tcPr>
            <w:tcW w:w="1417" w:type="dxa"/>
            <w:vAlign w:val="center"/>
          </w:tcPr>
          <w:p w14:paraId="2F849335">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二氧化硫</w:t>
            </w:r>
          </w:p>
        </w:tc>
        <w:tc>
          <w:tcPr>
            <w:tcW w:w="1701" w:type="dxa"/>
            <w:vAlign w:val="center"/>
          </w:tcPr>
          <w:p w14:paraId="75E6D1BC">
            <w:pPr>
              <w:pStyle w:val="66"/>
              <w:spacing w:beforeLines="0" w:afterLines="0" w:line="240" w:lineRule="auto"/>
              <w:rPr>
                <w:rFonts w:ascii="Times New Roman"/>
                <w:snapToGrid w:val="0"/>
                <w:color w:val="auto"/>
                <w:kern w:val="21"/>
                <w:szCs w:val="21"/>
              </w:rPr>
            </w:pPr>
          </w:p>
        </w:tc>
        <w:tc>
          <w:tcPr>
            <w:tcW w:w="1276" w:type="dxa"/>
            <w:vAlign w:val="center"/>
          </w:tcPr>
          <w:p w14:paraId="380AE765">
            <w:pPr>
              <w:pStyle w:val="66"/>
              <w:spacing w:beforeLines="0" w:afterLines="0" w:line="240" w:lineRule="auto"/>
              <w:rPr>
                <w:rFonts w:ascii="Times New Roman"/>
                <w:snapToGrid w:val="0"/>
                <w:color w:val="auto"/>
                <w:kern w:val="21"/>
                <w:szCs w:val="21"/>
              </w:rPr>
            </w:pPr>
          </w:p>
        </w:tc>
        <w:tc>
          <w:tcPr>
            <w:tcW w:w="1701" w:type="dxa"/>
            <w:vAlign w:val="center"/>
          </w:tcPr>
          <w:p w14:paraId="282A61EB">
            <w:pPr>
              <w:pStyle w:val="66"/>
              <w:spacing w:beforeLines="0" w:afterLines="0" w:line="240" w:lineRule="auto"/>
              <w:rPr>
                <w:rFonts w:ascii="Times New Roman"/>
                <w:snapToGrid w:val="0"/>
                <w:color w:val="auto"/>
                <w:kern w:val="21"/>
                <w:szCs w:val="21"/>
              </w:rPr>
            </w:pPr>
          </w:p>
        </w:tc>
        <w:tc>
          <w:tcPr>
            <w:tcW w:w="1559" w:type="dxa"/>
            <w:vAlign w:val="center"/>
          </w:tcPr>
          <w:p w14:paraId="51214377">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0.2177t/a</w:t>
            </w:r>
          </w:p>
        </w:tc>
        <w:tc>
          <w:tcPr>
            <w:tcW w:w="1761" w:type="dxa"/>
            <w:vAlign w:val="center"/>
          </w:tcPr>
          <w:p w14:paraId="5039B50F">
            <w:pPr>
              <w:pStyle w:val="66"/>
              <w:spacing w:beforeLines="0" w:afterLines="0" w:line="240" w:lineRule="auto"/>
              <w:rPr>
                <w:rFonts w:ascii="Times New Roman"/>
                <w:snapToGrid w:val="0"/>
                <w:color w:val="auto"/>
                <w:kern w:val="21"/>
                <w:szCs w:val="21"/>
              </w:rPr>
            </w:pPr>
          </w:p>
        </w:tc>
        <w:tc>
          <w:tcPr>
            <w:tcW w:w="1499" w:type="dxa"/>
            <w:vAlign w:val="center"/>
          </w:tcPr>
          <w:p w14:paraId="5902F336">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0.2177t/a</w:t>
            </w:r>
          </w:p>
        </w:tc>
        <w:tc>
          <w:tcPr>
            <w:tcW w:w="1286" w:type="dxa"/>
            <w:vAlign w:val="center"/>
          </w:tcPr>
          <w:p w14:paraId="05011286">
            <w:pPr>
              <w:pStyle w:val="66"/>
              <w:spacing w:beforeLines="0" w:afterLines="0" w:line="240" w:lineRule="auto"/>
              <w:rPr>
                <w:rFonts w:ascii="Times New Roman"/>
                <w:snapToGrid w:val="0"/>
                <w:color w:val="auto"/>
                <w:kern w:val="21"/>
                <w:szCs w:val="21"/>
              </w:rPr>
            </w:pPr>
          </w:p>
        </w:tc>
      </w:tr>
      <w:tr w14:paraId="4EDAA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8AA4599">
            <w:pPr>
              <w:pStyle w:val="66"/>
              <w:spacing w:beforeLines="0" w:afterLines="0" w:line="240" w:lineRule="auto"/>
              <w:rPr>
                <w:rFonts w:ascii="Times New Roman" w:hAnsi="宋体"/>
                <w:snapToGrid w:val="0"/>
                <w:color w:val="auto"/>
                <w:kern w:val="21"/>
                <w:szCs w:val="21"/>
              </w:rPr>
            </w:pPr>
          </w:p>
        </w:tc>
        <w:tc>
          <w:tcPr>
            <w:tcW w:w="1417" w:type="dxa"/>
            <w:vAlign w:val="center"/>
          </w:tcPr>
          <w:p w14:paraId="21F9CC65">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氮氧化物</w:t>
            </w:r>
          </w:p>
        </w:tc>
        <w:tc>
          <w:tcPr>
            <w:tcW w:w="1701" w:type="dxa"/>
            <w:vAlign w:val="center"/>
          </w:tcPr>
          <w:p w14:paraId="04962F67">
            <w:pPr>
              <w:pStyle w:val="66"/>
              <w:spacing w:beforeLines="0" w:afterLines="0" w:line="240" w:lineRule="auto"/>
              <w:rPr>
                <w:rFonts w:ascii="Times New Roman"/>
                <w:snapToGrid w:val="0"/>
                <w:color w:val="auto"/>
                <w:kern w:val="21"/>
                <w:szCs w:val="21"/>
              </w:rPr>
            </w:pPr>
          </w:p>
        </w:tc>
        <w:tc>
          <w:tcPr>
            <w:tcW w:w="1276" w:type="dxa"/>
            <w:vAlign w:val="center"/>
          </w:tcPr>
          <w:p w14:paraId="68B4DD33">
            <w:pPr>
              <w:pStyle w:val="66"/>
              <w:spacing w:beforeLines="0" w:afterLines="0" w:line="240" w:lineRule="auto"/>
              <w:rPr>
                <w:rFonts w:ascii="Times New Roman"/>
                <w:snapToGrid w:val="0"/>
                <w:color w:val="auto"/>
                <w:kern w:val="21"/>
                <w:szCs w:val="21"/>
              </w:rPr>
            </w:pPr>
          </w:p>
        </w:tc>
        <w:tc>
          <w:tcPr>
            <w:tcW w:w="1701" w:type="dxa"/>
            <w:vAlign w:val="center"/>
          </w:tcPr>
          <w:p w14:paraId="68D82F8C">
            <w:pPr>
              <w:pStyle w:val="66"/>
              <w:spacing w:beforeLines="0" w:afterLines="0" w:line="240" w:lineRule="auto"/>
              <w:rPr>
                <w:rFonts w:ascii="Times New Roman"/>
                <w:snapToGrid w:val="0"/>
                <w:color w:val="auto"/>
                <w:kern w:val="21"/>
                <w:szCs w:val="21"/>
              </w:rPr>
            </w:pPr>
          </w:p>
        </w:tc>
        <w:tc>
          <w:tcPr>
            <w:tcW w:w="1559" w:type="dxa"/>
            <w:vAlign w:val="center"/>
          </w:tcPr>
          <w:p w14:paraId="4E0BF023">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1.8786t/a</w:t>
            </w:r>
          </w:p>
        </w:tc>
        <w:tc>
          <w:tcPr>
            <w:tcW w:w="1761" w:type="dxa"/>
            <w:vAlign w:val="center"/>
          </w:tcPr>
          <w:p w14:paraId="43E830CF">
            <w:pPr>
              <w:pStyle w:val="66"/>
              <w:spacing w:beforeLines="0" w:afterLines="0" w:line="240" w:lineRule="auto"/>
              <w:rPr>
                <w:rFonts w:ascii="Times New Roman"/>
                <w:snapToGrid w:val="0"/>
                <w:color w:val="auto"/>
                <w:kern w:val="21"/>
                <w:szCs w:val="21"/>
              </w:rPr>
            </w:pPr>
          </w:p>
        </w:tc>
        <w:tc>
          <w:tcPr>
            <w:tcW w:w="1499" w:type="dxa"/>
            <w:vAlign w:val="center"/>
          </w:tcPr>
          <w:p w14:paraId="5AB2D1BA">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1.8786t/a</w:t>
            </w:r>
          </w:p>
        </w:tc>
        <w:tc>
          <w:tcPr>
            <w:tcW w:w="1286" w:type="dxa"/>
            <w:vAlign w:val="center"/>
          </w:tcPr>
          <w:p w14:paraId="0891AA0E">
            <w:pPr>
              <w:pStyle w:val="66"/>
              <w:spacing w:beforeLines="0" w:afterLines="0" w:line="240" w:lineRule="auto"/>
              <w:rPr>
                <w:rFonts w:ascii="Times New Roman"/>
                <w:snapToGrid w:val="0"/>
                <w:color w:val="auto"/>
                <w:kern w:val="21"/>
                <w:szCs w:val="21"/>
              </w:rPr>
            </w:pPr>
          </w:p>
        </w:tc>
      </w:tr>
      <w:tr w14:paraId="6F7D6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0315C42">
            <w:pPr>
              <w:pStyle w:val="66"/>
              <w:spacing w:beforeLines="0" w:afterLines="0" w:line="240" w:lineRule="auto"/>
              <w:rPr>
                <w:rFonts w:ascii="Times New Roman" w:hAnsi="宋体"/>
                <w:snapToGrid w:val="0"/>
                <w:color w:val="auto"/>
                <w:kern w:val="21"/>
                <w:szCs w:val="21"/>
              </w:rPr>
            </w:pPr>
          </w:p>
        </w:tc>
        <w:tc>
          <w:tcPr>
            <w:tcW w:w="1417" w:type="dxa"/>
            <w:vAlign w:val="center"/>
          </w:tcPr>
          <w:p w14:paraId="1D265D44">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rPr>
              <w:t>非甲烷总烃</w:t>
            </w:r>
          </w:p>
        </w:tc>
        <w:tc>
          <w:tcPr>
            <w:tcW w:w="1701" w:type="dxa"/>
            <w:vAlign w:val="center"/>
          </w:tcPr>
          <w:p w14:paraId="13AACBEA">
            <w:pPr>
              <w:pStyle w:val="66"/>
              <w:spacing w:beforeLines="0" w:afterLines="0" w:line="240" w:lineRule="auto"/>
              <w:rPr>
                <w:rFonts w:ascii="Times New Roman"/>
                <w:snapToGrid w:val="0"/>
                <w:color w:val="auto"/>
                <w:kern w:val="21"/>
                <w:szCs w:val="21"/>
              </w:rPr>
            </w:pPr>
          </w:p>
        </w:tc>
        <w:tc>
          <w:tcPr>
            <w:tcW w:w="1276" w:type="dxa"/>
            <w:vAlign w:val="center"/>
          </w:tcPr>
          <w:p w14:paraId="1CD9A8D7">
            <w:pPr>
              <w:pStyle w:val="66"/>
              <w:spacing w:beforeLines="0" w:afterLines="0" w:line="240" w:lineRule="auto"/>
              <w:rPr>
                <w:rFonts w:ascii="Times New Roman"/>
                <w:snapToGrid w:val="0"/>
                <w:color w:val="auto"/>
                <w:kern w:val="21"/>
                <w:szCs w:val="21"/>
              </w:rPr>
            </w:pPr>
          </w:p>
        </w:tc>
        <w:tc>
          <w:tcPr>
            <w:tcW w:w="1701" w:type="dxa"/>
            <w:vAlign w:val="center"/>
          </w:tcPr>
          <w:p w14:paraId="3FEC11AB">
            <w:pPr>
              <w:pStyle w:val="66"/>
              <w:spacing w:beforeLines="0" w:afterLines="0" w:line="240" w:lineRule="auto"/>
              <w:rPr>
                <w:rFonts w:ascii="Times New Roman"/>
                <w:snapToGrid w:val="0"/>
                <w:color w:val="auto"/>
                <w:kern w:val="21"/>
                <w:szCs w:val="21"/>
              </w:rPr>
            </w:pPr>
          </w:p>
        </w:tc>
        <w:tc>
          <w:tcPr>
            <w:tcW w:w="1559" w:type="dxa"/>
            <w:vAlign w:val="center"/>
          </w:tcPr>
          <w:p w14:paraId="2A741D19">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0.2711t/a</w:t>
            </w:r>
          </w:p>
        </w:tc>
        <w:tc>
          <w:tcPr>
            <w:tcW w:w="1761" w:type="dxa"/>
            <w:vAlign w:val="center"/>
          </w:tcPr>
          <w:p w14:paraId="31256E17">
            <w:pPr>
              <w:pStyle w:val="66"/>
              <w:spacing w:beforeLines="0" w:afterLines="0" w:line="240" w:lineRule="auto"/>
              <w:rPr>
                <w:rFonts w:ascii="Times New Roman"/>
                <w:snapToGrid w:val="0"/>
                <w:color w:val="auto"/>
                <w:kern w:val="21"/>
                <w:szCs w:val="21"/>
              </w:rPr>
            </w:pPr>
          </w:p>
        </w:tc>
        <w:tc>
          <w:tcPr>
            <w:tcW w:w="1499" w:type="dxa"/>
            <w:vAlign w:val="center"/>
          </w:tcPr>
          <w:p w14:paraId="7184A433">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0.2711t/a</w:t>
            </w:r>
          </w:p>
        </w:tc>
        <w:tc>
          <w:tcPr>
            <w:tcW w:w="1286" w:type="dxa"/>
            <w:vAlign w:val="center"/>
          </w:tcPr>
          <w:p w14:paraId="11893492">
            <w:pPr>
              <w:pStyle w:val="66"/>
              <w:spacing w:beforeLines="0" w:afterLines="0" w:line="240" w:lineRule="auto"/>
              <w:rPr>
                <w:rFonts w:ascii="Times New Roman"/>
                <w:snapToGrid w:val="0"/>
                <w:color w:val="auto"/>
                <w:kern w:val="21"/>
                <w:szCs w:val="21"/>
              </w:rPr>
            </w:pPr>
          </w:p>
        </w:tc>
      </w:tr>
      <w:tr w14:paraId="5C39FA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90336E8">
            <w:pPr>
              <w:pStyle w:val="66"/>
              <w:spacing w:beforeLines="0" w:afterLines="0" w:line="240" w:lineRule="auto"/>
              <w:rPr>
                <w:rFonts w:ascii="Times New Roman" w:hAnsi="宋体"/>
                <w:snapToGrid w:val="0"/>
                <w:color w:val="auto"/>
                <w:kern w:val="21"/>
                <w:szCs w:val="21"/>
              </w:rPr>
            </w:pPr>
          </w:p>
        </w:tc>
        <w:tc>
          <w:tcPr>
            <w:tcW w:w="1417" w:type="dxa"/>
            <w:vAlign w:val="center"/>
          </w:tcPr>
          <w:p w14:paraId="5E4B947F">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颗粒物</w:t>
            </w:r>
          </w:p>
          <w:p w14:paraId="3778B872">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rPr>
              <w:t>（无组织）</w:t>
            </w:r>
          </w:p>
        </w:tc>
        <w:tc>
          <w:tcPr>
            <w:tcW w:w="1701" w:type="dxa"/>
            <w:vAlign w:val="center"/>
          </w:tcPr>
          <w:p w14:paraId="429D43D3">
            <w:pPr>
              <w:pStyle w:val="66"/>
              <w:spacing w:beforeLines="0" w:afterLines="0" w:line="240" w:lineRule="auto"/>
              <w:rPr>
                <w:rFonts w:ascii="Times New Roman"/>
                <w:snapToGrid w:val="0"/>
                <w:color w:val="auto"/>
                <w:kern w:val="21"/>
                <w:szCs w:val="21"/>
              </w:rPr>
            </w:pPr>
          </w:p>
        </w:tc>
        <w:tc>
          <w:tcPr>
            <w:tcW w:w="1276" w:type="dxa"/>
            <w:vAlign w:val="center"/>
          </w:tcPr>
          <w:p w14:paraId="501CED27">
            <w:pPr>
              <w:pStyle w:val="66"/>
              <w:spacing w:beforeLines="0" w:afterLines="0" w:line="240" w:lineRule="auto"/>
              <w:rPr>
                <w:rFonts w:ascii="Times New Roman"/>
                <w:snapToGrid w:val="0"/>
                <w:color w:val="auto"/>
                <w:kern w:val="21"/>
                <w:szCs w:val="21"/>
              </w:rPr>
            </w:pPr>
          </w:p>
        </w:tc>
        <w:tc>
          <w:tcPr>
            <w:tcW w:w="1701" w:type="dxa"/>
            <w:vAlign w:val="center"/>
          </w:tcPr>
          <w:p w14:paraId="2174C8B2">
            <w:pPr>
              <w:pStyle w:val="66"/>
              <w:spacing w:beforeLines="0" w:afterLines="0" w:line="240" w:lineRule="auto"/>
              <w:rPr>
                <w:rFonts w:ascii="Times New Roman"/>
                <w:snapToGrid w:val="0"/>
                <w:color w:val="auto"/>
                <w:kern w:val="21"/>
                <w:szCs w:val="21"/>
              </w:rPr>
            </w:pPr>
          </w:p>
        </w:tc>
        <w:tc>
          <w:tcPr>
            <w:tcW w:w="1559" w:type="dxa"/>
            <w:vAlign w:val="center"/>
          </w:tcPr>
          <w:p w14:paraId="2C88B1B0">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0.1725t/a</w:t>
            </w:r>
          </w:p>
        </w:tc>
        <w:tc>
          <w:tcPr>
            <w:tcW w:w="1761" w:type="dxa"/>
            <w:vAlign w:val="center"/>
          </w:tcPr>
          <w:p w14:paraId="5A292DA3">
            <w:pPr>
              <w:pStyle w:val="66"/>
              <w:spacing w:beforeLines="0" w:afterLines="0" w:line="240" w:lineRule="auto"/>
              <w:rPr>
                <w:rFonts w:ascii="Times New Roman"/>
                <w:snapToGrid w:val="0"/>
                <w:color w:val="auto"/>
                <w:kern w:val="21"/>
                <w:szCs w:val="21"/>
              </w:rPr>
            </w:pPr>
          </w:p>
        </w:tc>
        <w:tc>
          <w:tcPr>
            <w:tcW w:w="1499" w:type="dxa"/>
            <w:vAlign w:val="center"/>
          </w:tcPr>
          <w:p w14:paraId="42D4FBEF">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0.1725t/a</w:t>
            </w:r>
          </w:p>
        </w:tc>
        <w:tc>
          <w:tcPr>
            <w:tcW w:w="1286" w:type="dxa"/>
            <w:vAlign w:val="center"/>
          </w:tcPr>
          <w:p w14:paraId="731974A4">
            <w:pPr>
              <w:pStyle w:val="66"/>
              <w:spacing w:beforeLines="0" w:afterLines="0" w:line="240" w:lineRule="auto"/>
              <w:rPr>
                <w:rFonts w:ascii="Times New Roman"/>
                <w:snapToGrid w:val="0"/>
                <w:color w:val="auto"/>
                <w:kern w:val="21"/>
                <w:szCs w:val="21"/>
              </w:rPr>
            </w:pPr>
          </w:p>
        </w:tc>
      </w:tr>
      <w:tr w14:paraId="05E67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D5AB60B">
            <w:pPr>
              <w:pStyle w:val="66"/>
              <w:spacing w:beforeLines="0" w:afterLines="0" w:line="240" w:lineRule="auto"/>
              <w:rPr>
                <w:rFonts w:ascii="Times New Roman" w:hAnsi="宋体"/>
                <w:snapToGrid w:val="0"/>
                <w:color w:val="auto"/>
                <w:kern w:val="21"/>
                <w:szCs w:val="21"/>
              </w:rPr>
            </w:pPr>
          </w:p>
        </w:tc>
        <w:tc>
          <w:tcPr>
            <w:tcW w:w="1417" w:type="dxa"/>
            <w:vAlign w:val="center"/>
          </w:tcPr>
          <w:p w14:paraId="69493347">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rPr>
              <w:t>非甲烷总烃</w:t>
            </w:r>
          </w:p>
          <w:p w14:paraId="34EFE265">
            <w:pPr>
              <w:jc w:val="center"/>
              <w:rPr>
                <w:rFonts w:hint="eastAsia"/>
              </w:rPr>
            </w:pPr>
            <w:r>
              <w:rPr>
                <w:rFonts w:hint="eastAsia" w:ascii="Times New Roman"/>
                <w:snapToGrid w:val="0"/>
                <w:color w:val="auto"/>
                <w:kern w:val="21"/>
                <w:szCs w:val="21"/>
              </w:rPr>
              <w:t>（无组织）</w:t>
            </w:r>
          </w:p>
        </w:tc>
        <w:tc>
          <w:tcPr>
            <w:tcW w:w="1701" w:type="dxa"/>
            <w:vAlign w:val="center"/>
          </w:tcPr>
          <w:p w14:paraId="64E8A715">
            <w:pPr>
              <w:pStyle w:val="66"/>
              <w:spacing w:beforeLines="0" w:afterLines="0" w:line="240" w:lineRule="auto"/>
              <w:rPr>
                <w:rFonts w:ascii="Times New Roman"/>
                <w:snapToGrid w:val="0"/>
                <w:color w:val="auto"/>
                <w:kern w:val="21"/>
                <w:szCs w:val="21"/>
              </w:rPr>
            </w:pPr>
          </w:p>
        </w:tc>
        <w:tc>
          <w:tcPr>
            <w:tcW w:w="1276" w:type="dxa"/>
            <w:vAlign w:val="center"/>
          </w:tcPr>
          <w:p w14:paraId="4AF468EA">
            <w:pPr>
              <w:pStyle w:val="66"/>
              <w:spacing w:beforeLines="0" w:afterLines="0" w:line="240" w:lineRule="auto"/>
              <w:rPr>
                <w:rFonts w:ascii="Times New Roman"/>
                <w:snapToGrid w:val="0"/>
                <w:color w:val="auto"/>
                <w:kern w:val="21"/>
                <w:szCs w:val="21"/>
              </w:rPr>
            </w:pPr>
          </w:p>
        </w:tc>
        <w:tc>
          <w:tcPr>
            <w:tcW w:w="1701" w:type="dxa"/>
            <w:vAlign w:val="center"/>
          </w:tcPr>
          <w:p w14:paraId="576D6448">
            <w:pPr>
              <w:pStyle w:val="66"/>
              <w:spacing w:beforeLines="0" w:afterLines="0" w:line="240" w:lineRule="auto"/>
              <w:rPr>
                <w:rFonts w:ascii="Times New Roman"/>
                <w:snapToGrid w:val="0"/>
                <w:color w:val="auto"/>
                <w:kern w:val="21"/>
                <w:szCs w:val="21"/>
              </w:rPr>
            </w:pPr>
          </w:p>
        </w:tc>
        <w:tc>
          <w:tcPr>
            <w:tcW w:w="1559" w:type="dxa"/>
            <w:vAlign w:val="center"/>
          </w:tcPr>
          <w:p w14:paraId="5F2CAFC2">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0.3012t/a</w:t>
            </w:r>
          </w:p>
        </w:tc>
        <w:tc>
          <w:tcPr>
            <w:tcW w:w="1761" w:type="dxa"/>
            <w:vAlign w:val="center"/>
          </w:tcPr>
          <w:p w14:paraId="34266029">
            <w:pPr>
              <w:pStyle w:val="66"/>
              <w:spacing w:beforeLines="0" w:afterLines="0" w:line="240" w:lineRule="auto"/>
              <w:rPr>
                <w:rFonts w:ascii="Times New Roman"/>
                <w:snapToGrid w:val="0"/>
                <w:color w:val="auto"/>
                <w:kern w:val="21"/>
                <w:szCs w:val="21"/>
              </w:rPr>
            </w:pPr>
          </w:p>
        </w:tc>
        <w:tc>
          <w:tcPr>
            <w:tcW w:w="1499" w:type="dxa"/>
            <w:vAlign w:val="center"/>
          </w:tcPr>
          <w:p w14:paraId="1EA8F3F8">
            <w:pPr>
              <w:pStyle w:val="66"/>
              <w:spacing w:beforeLines="0" w:afterLines="0" w:line="240" w:lineRule="auto"/>
              <w:rPr>
                <w:rFonts w:hint="eastAsia" w:ascii="Times New Roman"/>
                <w:snapToGrid w:val="0"/>
                <w:color w:val="auto"/>
                <w:kern w:val="21"/>
                <w:szCs w:val="21"/>
              </w:rPr>
            </w:pPr>
            <w:r>
              <w:rPr>
                <w:rFonts w:hint="eastAsia" w:ascii="Times New Roman"/>
                <w:snapToGrid w:val="0"/>
                <w:color w:val="auto"/>
                <w:kern w:val="21"/>
                <w:szCs w:val="21"/>
                <w:lang w:val="en-US" w:eastAsia="zh-CN"/>
              </w:rPr>
              <w:t>0.3012t/a</w:t>
            </w:r>
          </w:p>
        </w:tc>
        <w:tc>
          <w:tcPr>
            <w:tcW w:w="1286" w:type="dxa"/>
            <w:vAlign w:val="center"/>
          </w:tcPr>
          <w:p w14:paraId="04B9BB7A">
            <w:pPr>
              <w:pStyle w:val="66"/>
              <w:spacing w:beforeLines="0" w:afterLines="0" w:line="240" w:lineRule="auto"/>
              <w:rPr>
                <w:rFonts w:ascii="Times New Roman"/>
                <w:snapToGrid w:val="0"/>
                <w:color w:val="auto"/>
                <w:kern w:val="21"/>
                <w:szCs w:val="21"/>
              </w:rPr>
            </w:pPr>
          </w:p>
        </w:tc>
      </w:tr>
      <w:tr w14:paraId="4DFD5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0FC7A183">
            <w:pPr>
              <w:pStyle w:val="66"/>
              <w:spacing w:beforeLines="0" w:afterLines="0" w:line="240" w:lineRule="auto"/>
              <w:rPr>
                <w:rFonts w:ascii="Times New Roman" w:hAnsi="宋体"/>
                <w:snapToGrid w:val="0"/>
                <w:color w:val="auto"/>
                <w:kern w:val="21"/>
                <w:szCs w:val="21"/>
              </w:rPr>
            </w:pPr>
            <w:r>
              <w:rPr>
                <w:rFonts w:hint="eastAsia" w:ascii="Times New Roman" w:hAnsi="宋体"/>
                <w:snapToGrid w:val="0"/>
                <w:color w:val="auto"/>
                <w:kern w:val="21"/>
                <w:szCs w:val="21"/>
              </w:rPr>
              <w:t>废水</w:t>
            </w:r>
          </w:p>
        </w:tc>
        <w:tc>
          <w:tcPr>
            <w:tcW w:w="1417" w:type="dxa"/>
            <w:vAlign w:val="center"/>
          </w:tcPr>
          <w:p w14:paraId="5186CA05">
            <w:pPr>
              <w:pStyle w:val="66"/>
              <w:spacing w:beforeLines="0" w:afterLines="0" w:line="240" w:lineRule="auto"/>
              <w:rPr>
                <w:rFonts w:ascii="Times New Roman"/>
                <w:snapToGrid w:val="0"/>
                <w:color w:val="auto"/>
                <w:kern w:val="21"/>
                <w:szCs w:val="21"/>
              </w:rPr>
            </w:pPr>
          </w:p>
        </w:tc>
        <w:tc>
          <w:tcPr>
            <w:tcW w:w="1701" w:type="dxa"/>
            <w:vAlign w:val="center"/>
          </w:tcPr>
          <w:p w14:paraId="4A574830">
            <w:pPr>
              <w:pStyle w:val="66"/>
              <w:spacing w:beforeLines="0" w:afterLines="0" w:line="240" w:lineRule="auto"/>
              <w:rPr>
                <w:rFonts w:ascii="Times New Roman"/>
                <w:snapToGrid w:val="0"/>
                <w:color w:val="auto"/>
                <w:kern w:val="21"/>
                <w:szCs w:val="21"/>
              </w:rPr>
            </w:pPr>
          </w:p>
        </w:tc>
        <w:tc>
          <w:tcPr>
            <w:tcW w:w="1276" w:type="dxa"/>
            <w:vAlign w:val="center"/>
          </w:tcPr>
          <w:p w14:paraId="41B25D77">
            <w:pPr>
              <w:pStyle w:val="66"/>
              <w:spacing w:beforeLines="0" w:afterLines="0" w:line="240" w:lineRule="auto"/>
              <w:rPr>
                <w:rFonts w:ascii="Times New Roman"/>
                <w:snapToGrid w:val="0"/>
                <w:color w:val="auto"/>
                <w:kern w:val="21"/>
                <w:szCs w:val="21"/>
              </w:rPr>
            </w:pPr>
          </w:p>
        </w:tc>
        <w:tc>
          <w:tcPr>
            <w:tcW w:w="1701" w:type="dxa"/>
            <w:vAlign w:val="center"/>
          </w:tcPr>
          <w:p w14:paraId="2FE52227">
            <w:pPr>
              <w:pStyle w:val="66"/>
              <w:spacing w:beforeLines="0" w:afterLines="0" w:line="240" w:lineRule="auto"/>
              <w:rPr>
                <w:rFonts w:ascii="Times New Roman"/>
                <w:snapToGrid w:val="0"/>
                <w:color w:val="auto"/>
                <w:kern w:val="21"/>
                <w:szCs w:val="21"/>
              </w:rPr>
            </w:pPr>
          </w:p>
        </w:tc>
        <w:tc>
          <w:tcPr>
            <w:tcW w:w="1559" w:type="dxa"/>
            <w:vAlign w:val="center"/>
          </w:tcPr>
          <w:p w14:paraId="44BE2FEC">
            <w:pPr>
              <w:pStyle w:val="66"/>
              <w:spacing w:beforeLines="0" w:afterLines="0" w:line="240" w:lineRule="auto"/>
              <w:rPr>
                <w:rFonts w:ascii="Times New Roman"/>
                <w:snapToGrid w:val="0"/>
                <w:color w:val="auto"/>
                <w:kern w:val="21"/>
                <w:szCs w:val="21"/>
              </w:rPr>
            </w:pPr>
          </w:p>
        </w:tc>
        <w:tc>
          <w:tcPr>
            <w:tcW w:w="1761" w:type="dxa"/>
            <w:vAlign w:val="center"/>
          </w:tcPr>
          <w:p w14:paraId="7E5C417B">
            <w:pPr>
              <w:pStyle w:val="66"/>
              <w:spacing w:beforeLines="0" w:afterLines="0" w:line="240" w:lineRule="auto"/>
              <w:rPr>
                <w:rFonts w:ascii="Times New Roman"/>
                <w:snapToGrid w:val="0"/>
                <w:color w:val="auto"/>
                <w:kern w:val="21"/>
                <w:szCs w:val="21"/>
              </w:rPr>
            </w:pPr>
          </w:p>
        </w:tc>
        <w:tc>
          <w:tcPr>
            <w:tcW w:w="1499" w:type="dxa"/>
            <w:vAlign w:val="center"/>
          </w:tcPr>
          <w:p w14:paraId="322DEE0E">
            <w:pPr>
              <w:pStyle w:val="66"/>
              <w:spacing w:beforeLines="0" w:afterLines="0" w:line="240" w:lineRule="auto"/>
              <w:rPr>
                <w:rFonts w:ascii="Times New Roman"/>
                <w:snapToGrid w:val="0"/>
                <w:color w:val="auto"/>
                <w:kern w:val="21"/>
                <w:szCs w:val="21"/>
              </w:rPr>
            </w:pPr>
          </w:p>
        </w:tc>
        <w:tc>
          <w:tcPr>
            <w:tcW w:w="1286" w:type="dxa"/>
            <w:vAlign w:val="center"/>
          </w:tcPr>
          <w:p w14:paraId="3959BC35">
            <w:pPr>
              <w:pStyle w:val="66"/>
              <w:spacing w:beforeLines="0" w:afterLines="0" w:line="240" w:lineRule="auto"/>
              <w:rPr>
                <w:rFonts w:ascii="Times New Roman"/>
                <w:snapToGrid w:val="0"/>
                <w:color w:val="auto"/>
                <w:kern w:val="21"/>
                <w:szCs w:val="21"/>
              </w:rPr>
            </w:pPr>
          </w:p>
        </w:tc>
      </w:tr>
      <w:tr w14:paraId="5F0DA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5EAB44A3">
            <w:pPr>
              <w:pStyle w:val="66"/>
              <w:spacing w:beforeLines="0" w:afterLines="0" w:line="240" w:lineRule="auto"/>
              <w:rPr>
                <w:rFonts w:ascii="Times New Roman"/>
                <w:snapToGrid w:val="0"/>
                <w:color w:val="auto"/>
                <w:kern w:val="21"/>
                <w:szCs w:val="21"/>
              </w:rPr>
            </w:pPr>
            <w:r>
              <w:rPr>
                <w:rFonts w:ascii="Times New Roman" w:hAnsi="宋体"/>
                <w:snapToGrid w:val="0"/>
                <w:color w:val="auto"/>
                <w:kern w:val="21"/>
                <w:szCs w:val="21"/>
              </w:rPr>
              <w:t>一般工业</w:t>
            </w:r>
          </w:p>
          <w:p w14:paraId="5F6B25BE">
            <w:pPr>
              <w:pStyle w:val="66"/>
              <w:spacing w:beforeLines="0" w:afterLines="0" w:line="240" w:lineRule="auto"/>
              <w:rPr>
                <w:rFonts w:ascii="Times New Roman"/>
                <w:snapToGrid w:val="0"/>
                <w:color w:val="auto"/>
                <w:kern w:val="21"/>
                <w:szCs w:val="21"/>
              </w:rPr>
            </w:pPr>
            <w:r>
              <w:rPr>
                <w:rFonts w:ascii="Times New Roman" w:hAnsi="宋体"/>
                <w:snapToGrid w:val="0"/>
                <w:color w:val="auto"/>
                <w:kern w:val="21"/>
                <w:szCs w:val="21"/>
              </w:rPr>
              <w:t>固体废物</w:t>
            </w:r>
          </w:p>
        </w:tc>
        <w:tc>
          <w:tcPr>
            <w:tcW w:w="1417" w:type="dxa"/>
            <w:vAlign w:val="center"/>
          </w:tcPr>
          <w:p w14:paraId="04E328E8">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废边角料</w:t>
            </w:r>
          </w:p>
        </w:tc>
        <w:tc>
          <w:tcPr>
            <w:tcW w:w="1701" w:type="dxa"/>
            <w:vAlign w:val="center"/>
          </w:tcPr>
          <w:p w14:paraId="3437ED9D">
            <w:pPr>
              <w:pStyle w:val="66"/>
              <w:spacing w:beforeLines="0" w:afterLines="0" w:line="240" w:lineRule="auto"/>
              <w:rPr>
                <w:rFonts w:ascii="Times New Roman"/>
                <w:snapToGrid w:val="0"/>
                <w:color w:val="auto"/>
                <w:kern w:val="21"/>
                <w:szCs w:val="21"/>
              </w:rPr>
            </w:pPr>
          </w:p>
        </w:tc>
        <w:tc>
          <w:tcPr>
            <w:tcW w:w="1276" w:type="dxa"/>
            <w:vAlign w:val="center"/>
          </w:tcPr>
          <w:p w14:paraId="45CA57C2">
            <w:pPr>
              <w:pStyle w:val="66"/>
              <w:spacing w:beforeLines="0" w:afterLines="0" w:line="240" w:lineRule="auto"/>
              <w:rPr>
                <w:rFonts w:ascii="Times New Roman"/>
                <w:snapToGrid w:val="0"/>
                <w:color w:val="auto"/>
                <w:kern w:val="21"/>
                <w:szCs w:val="21"/>
              </w:rPr>
            </w:pPr>
          </w:p>
        </w:tc>
        <w:tc>
          <w:tcPr>
            <w:tcW w:w="1701" w:type="dxa"/>
            <w:vAlign w:val="center"/>
          </w:tcPr>
          <w:p w14:paraId="12537794">
            <w:pPr>
              <w:pStyle w:val="66"/>
              <w:spacing w:beforeLines="0" w:afterLines="0" w:line="240" w:lineRule="auto"/>
              <w:rPr>
                <w:rFonts w:ascii="Times New Roman"/>
                <w:snapToGrid w:val="0"/>
                <w:color w:val="auto"/>
                <w:kern w:val="21"/>
                <w:szCs w:val="21"/>
              </w:rPr>
            </w:pPr>
          </w:p>
        </w:tc>
        <w:tc>
          <w:tcPr>
            <w:tcW w:w="1559" w:type="dxa"/>
            <w:vAlign w:val="center"/>
          </w:tcPr>
          <w:p w14:paraId="7667C475">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20900t/a</w:t>
            </w:r>
          </w:p>
        </w:tc>
        <w:tc>
          <w:tcPr>
            <w:tcW w:w="1761" w:type="dxa"/>
            <w:vAlign w:val="center"/>
          </w:tcPr>
          <w:p w14:paraId="140D5AF4">
            <w:pPr>
              <w:pStyle w:val="66"/>
              <w:spacing w:beforeLines="0" w:afterLines="0" w:line="240" w:lineRule="auto"/>
              <w:rPr>
                <w:rFonts w:ascii="Times New Roman"/>
                <w:snapToGrid w:val="0"/>
                <w:color w:val="auto"/>
                <w:kern w:val="21"/>
                <w:szCs w:val="21"/>
              </w:rPr>
            </w:pPr>
          </w:p>
        </w:tc>
        <w:tc>
          <w:tcPr>
            <w:tcW w:w="1499" w:type="dxa"/>
            <w:vAlign w:val="center"/>
          </w:tcPr>
          <w:p w14:paraId="4075E30D">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20900t/a</w:t>
            </w:r>
          </w:p>
        </w:tc>
        <w:tc>
          <w:tcPr>
            <w:tcW w:w="1286" w:type="dxa"/>
            <w:vAlign w:val="center"/>
          </w:tcPr>
          <w:p w14:paraId="2362FE99">
            <w:pPr>
              <w:pStyle w:val="66"/>
              <w:spacing w:beforeLines="0" w:afterLines="0" w:line="240" w:lineRule="auto"/>
              <w:rPr>
                <w:rFonts w:ascii="Times New Roman"/>
                <w:snapToGrid w:val="0"/>
                <w:color w:val="auto"/>
                <w:kern w:val="21"/>
                <w:szCs w:val="21"/>
              </w:rPr>
            </w:pPr>
          </w:p>
        </w:tc>
      </w:tr>
      <w:tr w14:paraId="4F64A5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D8A2C60">
            <w:pPr>
              <w:pStyle w:val="66"/>
              <w:spacing w:beforeLines="0" w:afterLines="0" w:line="240" w:lineRule="auto"/>
              <w:rPr>
                <w:rFonts w:ascii="Times New Roman" w:hAnsi="宋体"/>
                <w:snapToGrid w:val="0"/>
                <w:color w:val="auto"/>
                <w:kern w:val="21"/>
                <w:szCs w:val="21"/>
              </w:rPr>
            </w:pPr>
          </w:p>
        </w:tc>
        <w:tc>
          <w:tcPr>
            <w:tcW w:w="1417" w:type="dxa"/>
            <w:vAlign w:val="center"/>
          </w:tcPr>
          <w:p w14:paraId="0992E8AA">
            <w:pPr>
              <w:pStyle w:val="66"/>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废渣废屑</w:t>
            </w:r>
          </w:p>
        </w:tc>
        <w:tc>
          <w:tcPr>
            <w:tcW w:w="1701" w:type="dxa"/>
            <w:vAlign w:val="center"/>
          </w:tcPr>
          <w:p w14:paraId="5B19CE37">
            <w:pPr>
              <w:pStyle w:val="66"/>
              <w:spacing w:beforeLines="0" w:afterLines="0" w:line="240" w:lineRule="auto"/>
              <w:rPr>
                <w:rFonts w:ascii="Times New Roman"/>
                <w:snapToGrid w:val="0"/>
                <w:color w:val="auto"/>
                <w:kern w:val="21"/>
                <w:szCs w:val="21"/>
              </w:rPr>
            </w:pPr>
          </w:p>
        </w:tc>
        <w:tc>
          <w:tcPr>
            <w:tcW w:w="1276" w:type="dxa"/>
            <w:vAlign w:val="center"/>
          </w:tcPr>
          <w:p w14:paraId="4763B065">
            <w:pPr>
              <w:pStyle w:val="66"/>
              <w:spacing w:beforeLines="0" w:afterLines="0" w:line="240" w:lineRule="auto"/>
              <w:rPr>
                <w:rFonts w:ascii="Times New Roman"/>
                <w:snapToGrid w:val="0"/>
                <w:color w:val="auto"/>
                <w:kern w:val="21"/>
                <w:szCs w:val="21"/>
              </w:rPr>
            </w:pPr>
          </w:p>
        </w:tc>
        <w:tc>
          <w:tcPr>
            <w:tcW w:w="1701" w:type="dxa"/>
            <w:vAlign w:val="center"/>
          </w:tcPr>
          <w:p w14:paraId="73C86829">
            <w:pPr>
              <w:pStyle w:val="66"/>
              <w:spacing w:beforeLines="0" w:afterLines="0" w:line="240" w:lineRule="auto"/>
              <w:rPr>
                <w:rFonts w:ascii="Times New Roman"/>
                <w:snapToGrid w:val="0"/>
                <w:color w:val="auto"/>
                <w:kern w:val="21"/>
                <w:szCs w:val="21"/>
              </w:rPr>
            </w:pPr>
          </w:p>
        </w:tc>
        <w:tc>
          <w:tcPr>
            <w:tcW w:w="1559" w:type="dxa"/>
            <w:vAlign w:val="center"/>
          </w:tcPr>
          <w:p w14:paraId="373B799D">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10.45t/a</w:t>
            </w:r>
          </w:p>
        </w:tc>
        <w:tc>
          <w:tcPr>
            <w:tcW w:w="1761" w:type="dxa"/>
            <w:vAlign w:val="center"/>
          </w:tcPr>
          <w:p w14:paraId="0ECEFE8C">
            <w:pPr>
              <w:pStyle w:val="66"/>
              <w:spacing w:beforeLines="0" w:afterLines="0" w:line="240" w:lineRule="auto"/>
              <w:rPr>
                <w:rFonts w:ascii="Times New Roman"/>
                <w:snapToGrid w:val="0"/>
                <w:color w:val="auto"/>
                <w:kern w:val="21"/>
                <w:szCs w:val="21"/>
              </w:rPr>
            </w:pPr>
          </w:p>
        </w:tc>
        <w:tc>
          <w:tcPr>
            <w:tcW w:w="1499" w:type="dxa"/>
            <w:vAlign w:val="center"/>
          </w:tcPr>
          <w:p w14:paraId="521DCD36">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10.45t/a</w:t>
            </w:r>
          </w:p>
        </w:tc>
        <w:tc>
          <w:tcPr>
            <w:tcW w:w="1286" w:type="dxa"/>
            <w:vAlign w:val="center"/>
          </w:tcPr>
          <w:p w14:paraId="38CCA5DF">
            <w:pPr>
              <w:pStyle w:val="66"/>
              <w:spacing w:beforeLines="0" w:afterLines="0" w:line="240" w:lineRule="auto"/>
              <w:rPr>
                <w:rFonts w:ascii="Times New Roman"/>
                <w:snapToGrid w:val="0"/>
                <w:color w:val="auto"/>
                <w:kern w:val="21"/>
                <w:szCs w:val="21"/>
              </w:rPr>
            </w:pPr>
          </w:p>
        </w:tc>
      </w:tr>
      <w:tr w14:paraId="5DDCD1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F214B2B">
            <w:pPr>
              <w:pStyle w:val="66"/>
              <w:spacing w:beforeLines="0" w:afterLines="0" w:line="240" w:lineRule="auto"/>
              <w:rPr>
                <w:rFonts w:ascii="Times New Roman" w:hAnsi="宋体"/>
                <w:snapToGrid w:val="0"/>
                <w:color w:val="auto"/>
                <w:kern w:val="21"/>
                <w:szCs w:val="21"/>
              </w:rPr>
            </w:pPr>
          </w:p>
        </w:tc>
        <w:tc>
          <w:tcPr>
            <w:tcW w:w="1417" w:type="dxa"/>
            <w:vAlign w:val="center"/>
          </w:tcPr>
          <w:p w14:paraId="19BF4497">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除尘灰</w:t>
            </w:r>
          </w:p>
        </w:tc>
        <w:tc>
          <w:tcPr>
            <w:tcW w:w="1701" w:type="dxa"/>
            <w:vAlign w:val="center"/>
          </w:tcPr>
          <w:p w14:paraId="0C9AEF62">
            <w:pPr>
              <w:pStyle w:val="66"/>
              <w:spacing w:beforeLines="0" w:afterLines="0" w:line="240" w:lineRule="auto"/>
              <w:rPr>
                <w:rFonts w:ascii="Times New Roman"/>
                <w:snapToGrid w:val="0"/>
                <w:color w:val="auto"/>
                <w:kern w:val="21"/>
                <w:szCs w:val="21"/>
              </w:rPr>
            </w:pPr>
          </w:p>
        </w:tc>
        <w:tc>
          <w:tcPr>
            <w:tcW w:w="1276" w:type="dxa"/>
            <w:vAlign w:val="center"/>
          </w:tcPr>
          <w:p w14:paraId="668F71F6">
            <w:pPr>
              <w:pStyle w:val="66"/>
              <w:spacing w:beforeLines="0" w:afterLines="0" w:line="240" w:lineRule="auto"/>
              <w:rPr>
                <w:rFonts w:ascii="Times New Roman"/>
                <w:snapToGrid w:val="0"/>
                <w:color w:val="auto"/>
                <w:kern w:val="21"/>
                <w:szCs w:val="21"/>
              </w:rPr>
            </w:pPr>
          </w:p>
        </w:tc>
        <w:tc>
          <w:tcPr>
            <w:tcW w:w="1701" w:type="dxa"/>
            <w:vAlign w:val="center"/>
          </w:tcPr>
          <w:p w14:paraId="1D118DC0">
            <w:pPr>
              <w:pStyle w:val="66"/>
              <w:spacing w:beforeLines="0" w:afterLines="0" w:line="240" w:lineRule="auto"/>
              <w:rPr>
                <w:rFonts w:ascii="Times New Roman"/>
                <w:snapToGrid w:val="0"/>
                <w:color w:val="auto"/>
                <w:kern w:val="21"/>
                <w:szCs w:val="21"/>
              </w:rPr>
            </w:pPr>
          </w:p>
        </w:tc>
        <w:tc>
          <w:tcPr>
            <w:tcW w:w="1559" w:type="dxa"/>
            <w:vAlign w:val="center"/>
          </w:tcPr>
          <w:p w14:paraId="47BB89E8">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122.64t/a</w:t>
            </w:r>
          </w:p>
        </w:tc>
        <w:tc>
          <w:tcPr>
            <w:tcW w:w="1761" w:type="dxa"/>
            <w:vAlign w:val="center"/>
          </w:tcPr>
          <w:p w14:paraId="0DA5D1CA">
            <w:pPr>
              <w:pStyle w:val="66"/>
              <w:spacing w:beforeLines="0" w:afterLines="0" w:line="240" w:lineRule="auto"/>
              <w:rPr>
                <w:rFonts w:ascii="Times New Roman"/>
                <w:snapToGrid w:val="0"/>
                <w:color w:val="auto"/>
                <w:kern w:val="21"/>
                <w:szCs w:val="21"/>
              </w:rPr>
            </w:pPr>
          </w:p>
        </w:tc>
        <w:tc>
          <w:tcPr>
            <w:tcW w:w="1499" w:type="dxa"/>
            <w:vAlign w:val="center"/>
          </w:tcPr>
          <w:p w14:paraId="54A40099">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122.64t/a</w:t>
            </w:r>
          </w:p>
        </w:tc>
        <w:tc>
          <w:tcPr>
            <w:tcW w:w="1286" w:type="dxa"/>
            <w:vAlign w:val="center"/>
          </w:tcPr>
          <w:p w14:paraId="15A75E9E">
            <w:pPr>
              <w:pStyle w:val="66"/>
              <w:spacing w:beforeLines="0" w:afterLines="0" w:line="240" w:lineRule="auto"/>
              <w:rPr>
                <w:rFonts w:ascii="Times New Roman"/>
                <w:snapToGrid w:val="0"/>
                <w:color w:val="auto"/>
                <w:kern w:val="21"/>
                <w:szCs w:val="21"/>
              </w:rPr>
            </w:pPr>
          </w:p>
        </w:tc>
      </w:tr>
      <w:tr w14:paraId="5D93E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8121052">
            <w:pPr>
              <w:pStyle w:val="66"/>
              <w:spacing w:beforeLines="0" w:afterLines="0" w:line="240" w:lineRule="auto"/>
              <w:rPr>
                <w:rFonts w:ascii="Times New Roman" w:hAnsi="宋体"/>
                <w:snapToGrid w:val="0"/>
                <w:color w:val="auto"/>
                <w:kern w:val="21"/>
                <w:szCs w:val="21"/>
              </w:rPr>
            </w:pPr>
          </w:p>
        </w:tc>
        <w:tc>
          <w:tcPr>
            <w:tcW w:w="1417" w:type="dxa"/>
            <w:vAlign w:val="center"/>
          </w:tcPr>
          <w:p w14:paraId="4A6F9AFE">
            <w:pPr>
              <w:pStyle w:val="66"/>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废滤袋</w:t>
            </w:r>
          </w:p>
        </w:tc>
        <w:tc>
          <w:tcPr>
            <w:tcW w:w="1701" w:type="dxa"/>
            <w:vAlign w:val="center"/>
          </w:tcPr>
          <w:p w14:paraId="35F76F38">
            <w:pPr>
              <w:pStyle w:val="66"/>
              <w:spacing w:beforeLines="0" w:afterLines="0" w:line="240" w:lineRule="auto"/>
              <w:rPr>
                <w:rFonts w:ascii="Times New Roman"/>
                <w:snapToGrid w:val="0"/>
                <w:color w:val="auto"/>
                <w:kern w:val="21"/>
                <w:szCs w:val="21"/>
              </w:rPr>
            </w:pPr>
          </w:p>
        </w:tc>
        <w:tc>
          <w:tcPr>
            <w:tcW w:w="1276" w:type="dxa"/>
            <w:vAlign w:val="center"/>
          </w:tcPr>
          <w:p w14:paraId="5528C3C7">
            <w:pPr>
              <w:pStyle w:val="66"/>
              <w:spacing w:beforeLines="0" w:afterLines="0" w:line="240" w:lineRule="auto"/>
              <w:rPr>
                <w:rFonts w:ascii="Times New Roman"/>
                <w:snapToGrid w:val="0"/>
                <w:color w:val="auto"/>
                <w:kern w:val="21"/>
                <w:szCs w:val="21"/>
              </w:rPr>
            </w:pPr>
          </w:p>
        </w:tc>
        <w:tc>
          <w:tcPr>
            <w:tcW w:w="1701" w:type="dxa"/>
            <w:vAlign w:val="center"/>
          </w:tcPr>
          <w:p w14:paraId="14054E63">
            <w:pPr>
              <w:pStyle w:val="66"/>
              <w:spacing w:beforeLines="0" w:afterLines="0" w:line="240" w:lineRule="auto"/>
              <w:rPr>
                <w:rFonts w:ascii="Times New Roman"/>
                <w:snapToGrid w:val="0"/>
                <w:color w:val="auto"/>
                <w:kern w:val="21"/>
                <w:szCs w:val="21"/>
              </w:rPr>
            </w:pPr>
          </w:p>
        </w:tc>
        <w:tc>
          <w:tcPr>
            <w:tcW w:w="1559" w:type="dxa"/>
            <w:vAlign w:val="center"/>
          </w:tcPr>
          <w:p w14:paraId="446F23FA">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0.05t/a</w:t>
            </w:r>
          </w:p>
        </w:tc>
        <w:tc>
          <w:tcPr>
            <w:tcW w:w="1761" w:type="dxa"/>
            <w:vAlign w:val="center"/>
          </w:tcPr>
          <w:p w14:paraId="39BA743B">
            <w:pPr>
              <w:pStyle w:val="66"/>
              <w:spacing w:beforeLines="0" w:afterLines="0" w:line="240" w:lineRule="auto"/>
              <w:rPr>
                <w:rFonts w:ascii="Times New Roman"/>
                <w:snapToGrid w:val="0"/>
                <w:color w:val="auto"/>
                <w:kern w:val="21"/>
                <w:szCs w:val="21"/>
              </w:rPr>
            </w:pPr>
          </w:p>
        </w:tc>
        <w:tc>
          <w:tcPr>
            <w:tcW w:w="1499" w:type="dxa"/>
            <w:vAlign w:val="center"/>
          </w:tcPr>
          <w:p w14:paraId="06E27E25">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0.05t/a</w:t>
            </w:r>
          </w:p>
        </w:tc>
        <w:tc>
          <w:tcPr>
            <w:tcW w:w="1286" w:type="dxa"/>
            <w:vAlign w:val="center"/>
          </w:tcPr>
          <w:p w14:paraId="4F5AB699">
            <w:pPr>
              <w:pStyle w:val="66"/>
              <w:spacing w:beforeLines="0" w:afterLines="0" w:line="240" w:lineRule="auto"/>
              <w:rPr>
                <w:rFonts w:ascii="Times New Roman"/>
                <w:snapToGrid w:val="0"/>
                <w:color w:val="auto"/>
                <w:kern w:val="21"/>
                <w:szCs w:val="21"/>
              </w:rPr>
            </w:pPr>
          </w:p>
        </w:tc>
      </w:tr>
      <w:tr w14:paraId="3D7B5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5A11729">
            <w:pPr>
              <w:pStyle w:val="66"/>
              <w:spacing w:beforeLines="0" w:afterLines="0" w:line="240" w:lineRule="auto"/>
              <w:rPr>
                <w:rFonts w:ascii="Times New Roman" w:hAnsi="宋体"/>
                <w:snapToGrid w:val="0"/>
                <w:color w:val="auto"/>
                <w:kern w:val="21"/>
                <w:szCs w:val="21"/>
              </w:rPr>
            </w:pPr>
          </w:p>
        </w:tc>
        <w:tc>
          <w:tcPr>
            <w:tcW w:w="1417" w:type="dxa"/>
            <w:vAlign w:val="center"/>
          </w:tcPr>
          <w:p w14:paraId="087B67F5">
            <w:pPr>
              <w:pStyle w:val="66"/>
              <w:spacing w:beforeLines="0" w:afterLines="0" w:line="240" w:lineRule="auto"/>
              <w:rPr>
                <w:rFonts w:hint="eastAsia"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沉渣</w:t>
            </w:r>
          </w:p>
        </w:tc>
        <w:tc>
          <w:tcPr>
            <w:tcW w:w="1701" w:type="dxa"/>
            <w:vAlign w:val="center"/>
          </w:tcPr>
          <w:p w14:paraId="2C7020B6">
            <w:pPr>
              <w:pStyle w:val="66"/>
              <w:spacing w:beforeLines="0" w:afterLines="0" w:line="240" w:lineRule="auto"/>
              <w:rPr>
                <w:rFonts w:ascii="Times New Roman"/>
                <w:snapToGrid w:val="0"/>
                <w:color w:val="auto"/>
                <w:kern w:val="21"/>
                <w:szCs w:val="21"/>
              </w:rPr>
            </w:pPr>
          </w:p>
        </w:tc>
        <w:tc>
          <w:tcPr>
            <w:tcW w:w="1276" w:type="dxa"/>
            <w:vAlign w:val="center"/>
          </w:tcPr>
          <w:p w14:paraId="6E5E0C2C">
            <w:pPr>
              <w:pStyle w:val="66"/>
              <w:spacing w:beforeLines="0" w:afterLines="0" w:line="240" w:lineRule="auto"/>
              <w:rPr>
                <w:rFonts w:ascii="Times New Roman"/>
                <w:snapToGrid w:val="0"/>
                <w:color w:val="auto"/>
                <w:kern w:val="21"/>
                <w:szCs w:val="21"/>
              </w:rPr>
            </w:pPr>
          </w:p>
        </w:tc>
        <w:tc>
          <w:tcPr>
            <w:tcW w:w="1701" w:type="dxa"/>
            <w:vAlign w:val="center"/>
          </w:tcPr>
          <w:p w14:paraId="2EC0B54A">
            <w:pPr>
              <w:pStyle w:val="66"/>
              <w:spacing w:beforeLines="0" w:afterLines="0" w:line="240" w:lineRule="auto"/>
              <w:rPr>
                <w:rFonts w:ascii="Times New Roman"/>
                <w:snapToGrid w:val="0"/>
                <w:color w:val="auto"/>
                <w:kern w:val="21"/>
                <w:szCs w:val="21"/>
              </w:rPr>
            </w:pPr>
          </w:p>
        </w:tc>
        <w:tc>
          <w:tcPr>
            <w:tcW w:w="1559" w:type="dxa"/>
            <w:vAlign w:val="center"/>
          </w:tcPr>
          <w:p w14:paraId="3709EBD7">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2.5t/a</w:t>
            </w:r>
          </w:p>
        </w:tc>
        <w:tc>
          <w:tcPr>
            <w:tcW w:w="1761" w:type="dxa"/>
            <w:vAlign w:val="center"/>
          </w:tcPr>
          <w:p w14:paraId="14645E89">
            <w:pPr>
              <w:pStyle w:val="66"/>
              <w:spacing w:beforeLines="0" w:afterLines="0" w:line="240" w:lineRule="auto"/>
              <w:rPr>
                <w:rFonts w:ascii="Times New Roman"/>
                <w:snapToGrid w:val="0"/>
                <w:color w:val="auto"/>
                <w:kern w:val="21"/>
                <w:szCs w:val="21"/>
              </w:rPr>
            </w:pPr>
          </w:p>
        </w:tc>
        <w:tc>
          <w:tcPr>
            <w:tcW w:w="1499" w:type="dxa"/>
            <w:vAlign w:val="center"/>
          </w:tcPr>
          <w:p w14:paraId="1C3A0C2A">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2.5t/a</w:t>
            </w:r>
          </w:p>
        </w:tc>
        <w:tc>
          <w:tcPr>
            <w:tcW w:w="1286" w:type="dxa"/>
            <w:vAlign w:val="center"/>
          </w:tcPr>
          <w:p w14:paraId="5D2BD086">
            <w:pPr>
              <w:pStyle w:val="66"/>
              <w:spacing w:beforeLines="0" w:afterLines="0" w:line="240" w:lineRule="auto"/>
              <w:rPr>
                <w:rFonts w:ascii="Times New Roman"/>
                <w:snapToGrid w:val="0"/>
                <w:color w:val="auto"/>
                <w:kern w:val="21"/>
                <w:szCs w:val="21"/>
              </w:rPr>
            </w:pPr>
          </w:p>
        </w:tc>
      </w:tr>
      <w:tr w14:paraId="6EE57C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CD4A8FB">
            <w:pPr>
              <w:pStyle w:val="66"/>
              <w:spacing w:beforeLines="0" w:afterLines="0" w:line="240" w:lineRule="auto"/>
              <w:rPr>
                <w:rFonts w:ascii="Times New Roman" w:hAnsi="宋体"/>
                <w:snapToGrid w:val="0"/>
                <w:color w:val="auto"/>
                <w:kern w:val="21"/>
                <w:szCs w:val="21"/>
              </w:rPr>
            </w:pPr>
          </w:p>
        </w:tc>
        <w:tc>
          <w:tcPr>
            <w:tcW w:w="1417" w:type="dxa"/>
            <w:vAlign w:val="center"/>
          </w:tcPr>
          <w:p w14:paraId="3AA6A5C4">
            <w:pPr>
              <w:pStyle w:val="66"/>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漆渣</w:t>
            </w:r>
          </w:p>
        </w:tc>
        <w:tc>
          <w:tcPr>
            <w:tcW w:w="1701" w:type="dxa"/>
            <w:vAlign w:val="center"/>
          </w:tcPr>
          <w:p w14:paraId="207CDDDA">
            <w:pPr>
              <w:pStyle w:val="66"/>
              <w:spacing w:beforeLines="0" w:afterLines="0" w:line="240" w:lineRule="auto"/>
              <w:rPr>
                <w:rFonts w:ascii="Times New Roman"/>
                <w:snapToGrid w:val="0"/>
                <w:color w:val="auto"/>
                <w:kern w:val="21"/>
                <w:szCs w:val="21"/>
              </w:rPr>
            </w:pPr>
          </w:p>
        </w:tc>
        <w:tc>
          <w:tcPr>
            <w:tcW w:w="1276" w:type="dxa"/>
            <w:vAlign w:val="center"/>
          </w:tcPr>
          <w:p w14:paraId="74689A49">
            <w:pPr>
              <w:pStyle w:val="66"/>
              <w:spacing w:beforeLines="0" w:afterLines="0" w:line="240" w:lineRule="auto"/>
              <w:rPr>
                <w:rFonts w:ascii="Times New Roman"/>
                <w:snapToGrid w:val="0"/>
                <w:color w:val="auto"/>
                <w:kern w:val="21"/>
                <w:szCs w:val="21"/>
              </w:rPr>
            </w:pPr>
          </w:p>
        </w:tc>
        <w:tc>
          <w:tcPr>
            <w:tcW w:w="1701" w:type="dxa"/>
            <w:vAlign w:val="center"/>
          </w:tcPr>
          <w:p w14:paraId="4ED50396">
            <w:pPr>
              <w:pStyle w:val="66"/>
              <w:spacing w:beforeLines="0" w:afterLines="0" w:line="240" w:lineRule="auto"/>
              <w:rPr>
                <w:rFonts w:ascii="Times New Roman"/>
                <w:snapToGrid w:val="0"/>
                <w:color w:val="auto"/>
                <w:kern w:val="21"/>
                <w:szCs w:val="21"/>
              </w:rPr>
            </w:pPr>
          </w:p>
        </w:tc>
        <w:tc>
          <w:tcPr>
            <w:tcW w:w="1559" w:type="dxa"/>
            <w:vAlign w:val="center"/>
          </w:tcPr>
          <w:p w14:paraId="5A865DE0">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0.2t/a</w:t>
            </w:r>
          </w:p>
        </w:tc>
        <w:tc>
          <w:tcPr>
            <w:tcW w:w="1761" w:type="dxa"/>
            <w:vAlign w:val="center"/>
          </w:tcPr>
          <w:p w14:paraId="17F61395">
            <w:pPr>
              <w:pStyle w:val="66"/>
              <w:spacing w:beforeLines="0" w:afterLines="0" w:line="240" w:lineRule="auto"/>
              <w:rPr>
                <w:rFonts w:ascii="Times New Roman"/>
                <w:snapToGrid w:val="0"/>
                <w:color w:val="auto"/>
                <w:kern w:val="21"/>
                <w:szCs w:val="21"/>
              </w:rPr>
            </w:pPr>
          </w:p>
        </w:tc>
        <w:tc>
          <w:tcPr>
            <w:tcW w:w="1499" w:type="dxa"/>
            <w:vAlign w:val="center"/>
          </w:tcPr>
          <w:p w14:paraId="683551FE">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0.2t/a</w:t>
            </w:r>
          </w:p>
        </w:tc>
        <w:tc>
          <w:tcPr>
            <w:tcW w:w="1286" w:type="dxa"/>
            <w:vAlign w:val="center"/>
          </w:tcPr>
          <w:p w14:paraId="4E73B97C">
            <w:pPr>
              <w:pStyle w:val="66"/>
              <w:spacing w:beforeLines="0" w:afterLines="0" w:line="240" w:lineRule="auto"/>
              <w:rPr>
                <w:rFonts w:ascii="Times New Roman"/>
                <w:snapToGrid w:val="0"/>
                <w:color w:val="auto"/>
                <w:kern w:val="21"/>
                <w:szCs w:val="21"/>
              </w:rPr>
            </w:pPr>
          </w:p>
        </w:tc>
      </w:tr>
      <w:tr w14:paraId="3DC9C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09484E1">
            <w:pPr>
              <w:pStyle w:val="66"/>
              <w:spacing w:beforeLines="0" w:afterLines="0" w:line="240" w:lineRule="auto"/>
              <w:rPr>
                <w:rFonts w:ascii="Times New Roman" w:hAnsi="宋体"/>
                <w:snapToGrid w:val="0"/>
                <w:color w:val="auto"/>
                <w:kern w:val="21"/>
                <w:szCs w:val="21"/>
              </w:rPr>
            </w:pPr>
          </w:p>
        </w:tc>
        <w:tc>
          <w:tcPr>
            <w:tcW w:w="1417" w:type="dxa"/>
            <w:vAlign w:val="center"/>
          </w:tcPr>
          <w:p w14:paraId="287357A2">
            <w:pPr>
              <w:pStyle w:val="66"/>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漆桶</w:t>
            </w:r>
          </w:p>
        </w:tc>
        <w:tc>
          <w:tcPr>
            <w:tcW w:w="1701" w:type="dxa"/>
            <w:vAlign w:val="center"/>
          </w:tcPr>
          <w:p w14:paraId="328BF2BE">
            <w:pPr>
              <w:pStyle w:val="66"/>
              <w:spacing w:beforeLines="0" w:afterLines="0" w:line="240" w:lineRule="auto"/>
              <w:rPr>
                <w:rFonts w:ascii="Times New Roman"/>
                <w:snapToGrid w:val="0"/>
                <w:color w:val="auto"/>
                <w:kern w:val="21"/>
                <w:szCs w:val="21"/>
              </w:rPr>
            </w:pPr>
          </w:p>
        </w:tc>
        <w:tc>
          <w:tcPr>
            <w:tcW w:w="1276" w:type="dxa"/>
            <w:vAlign w:val="center"/>
          </w:tcPr>
          <w:p w14:paraId="56F50C23">
            <w:pPr>
              <w:pStyle w:val="66"/>
              <w:spacing w:beforeLines="0" w:afterLines="0" w:line="240" w:lineRule="auto"/>
              <w:rPr>
                <w:rFonts w:ascii="Times New Roman"/>
                <w:snapToGrid w:val="0"/>
                <w:color w:val="auto"/>
                <w:kern w:val="21"/>
                <w:szCs w:val="21"/>
              </w:rPr>
            </w:pPr>
          </w:p>
        </w:tc>
        <w:tc>
          <w:tcPr>
            <w:tcW w:w="1701" w:type="dxa"/>
            <w:vAlign w:val="center"/>
          </w:tcPr>
          <w:p w14:paraId="13401451">
            <w:pPr>
              <w:pStyle w:val="66"/>
              <w:spacing w:beforeLines="0" w:afterLines="0" w:line="240" w:lineRule="auto"/>
              <w:rPr>
                <w:rFonts w:ascii="Times New Roman"/>
                <w:snapToGrid w:val="0"/>
                <w:color w:val="auto"/>
                <w:kern w:val="21"/>
                <w:szCs w:val="21"/>
              </w:rPr>
            </w:pPr>
          </w:p>
        </w:tc>
        <w:tc>
          <w:tcPr>
            <w:tcW w:w="1559" w:type="dxa"/>
            <w:vAlign w:val="center"/>
          </w:tcPr>
          <w:p w14:paraId="16E9E557">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0.3t/a</w:t>
            </w:r>
          </w:p>
        </w:tc>
        <w:tc>
          <w:tcPr>
            <w:tcW w:w="1761" w:type="dxa"/>
            <w:vAlign w:val="center"/>
          </w:tcPr>
          <w:p w14:paraId="0B4B7A8C">
            <w:pPr>
              <w:pStyle w:val="66"/>
              <w:spacing w:beforeLines="0" w:afterLines="0" w:line="240" w:lineRule="auto"/>
              <w:rPr>
                <w:rFonts w:ascii="Times New Roman"/>
                <w:snapToGrid w:val="0"/>
                <w:color w:val="auto"/>
                <w:kern w:val="21"/>
                <w:szCs w:val="21"/>
              </w:rPr>
            </w:pPr>
          </w:p>
        </w:tc>
        <w:tc>
          <w:tcPr>
            <w:tcW w:w="1499" w:type="dxa"/>
            <w:vAlign w:val="center"/>
          </w:tcPr>
          <w:p w14:paraId="7CF34A4F">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0.3t/a</w:t>
            </w:r>
          </w:p>
        </w:tc>
        <w:tc>
          <w:tcPr>
            <w:tcW w:w="1286" w:type="dxa"/>
            <w:vAlign w:val="center"/>
          </w:tcPr>
          <w:p w14:paraId="2712E413">
            <w:pPr>
              <w:pStyle w:val="66"/>
              <w:spacing w:beforeLines="0" w:afterLines="0" w:line="240" w:lineRule="auto"/>
              <w:rPr>
                <w:rFonts w:ascii="Times New Roman"/>
                <w:snapToGrid w:val="0"/>
                <w:color w:val="auto"/>
                <w:kern w:val="21"/>
                <w:szCs w:val="21"/>
              </w:rPr>
            </w:pPr>
          </w:p>
        </w:tc>
      </w:tr>
      <w:tr w14:paraId="323E4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3DFCFDA5">
            <w:pPr>
              <w:pStyle w:val="66"/>
              <w:spacing w:beforeLines="0" w:afterLines="0" w:line="240" w:lineRule="auto"/>
              <w:rPr>
                <w:rFonts w:ascii="Times New Roman" w:hAnsi="宋体"/>
                <w:snapToGrid w:val="0"/>
                <w:color w:val="auto"/>
                <w:kern w:val="21"/>
                <w:szCs w:val="21"/>
              </w:rPr>
            </w:pPr>
            <w:r>
              <w:rPr>
                <w:rFonts w:ascii="Times New Roman" w:hAnsi="宋体"/>
                <w:snapToGrid w:val="0"/>
                <w:color w:val="auto"/>
                <w:kern w:val="21"/>
                <w:szCs w:val="21"/>
              </w:rPr>
              <w:t>危险废物</w:t>
            </w:r>
          </w:p>
        </w:tc>
        <w:tc>
          <w:tcPr>
            <w:tcW w:w="1417" w:type="dxa"/>
            <w:vAlign w:val="center"/>
          </w:tcPr>
          <w:p w14:paraId="62CDEBD4">
            <w:pPr>
              <w:pStyle w:val="66"/>
              <w:spacing w:beforeLines="0" w:afterLines="0" w:line="240" w:lineRule="auto"/>
              <w:rPr>
                <w:rFonts w:hint="default" w:eastAsia="宋体"/>
                <w:color w:val="auto"/>
                <w:szCs w:val="21"/>
                <w:lang w:val="en-US" w:eastAsia="zh-CN"/>
              </w:rPr>
            </w:pPr>
            <w:r>
              <w:rPr>
                <w:rFonts w:hint="eastAsia"/>
                <w:color w:val="auto"/>
                <w:szCs w:val="21"/>
                <w:lang w:val="en-US" w:eastAsia="zh-CN"/>
              </w:rPr>
              <w:t>废矿物油</w:t>
            </w:r>
          </w:p>
        </w:tc>
        <w:tc>
          <w:tcPr>
            <w:tcW w:w="1701" w:type="dxa"/>
            <w:vAlign w:val="center"/>
          </w:tcPr>
          <w:p w14:paraId="359218B2">
            <w:pPr>
              <w:pStyle w:val="66"/>
              <w:spacing w:beforeLines="0" w:afterLines="0" w:line="240" w:lineRule="auto"/>
              <w:rPr>
                <w:rFonts w:ascii="Times New Roman"/>
                <w:snapToGrid w:val="0"/>
                <w:color w:val="auto"/>
                <w:kern w:val="21"/>
                <w:szCs w:val="21"/>
              </w:rPr>
            </w:pPr>
          </w:p>
        </w:tc>
        <w:tc>
          <w:tcPr>
            <w:tcW w:w="1276" w:type="dxa"/>
            <w:vAlign w:val="center"/>
          </w:tcPr>
          <w:p w14:paraId="6FD5C931">
            <w:pPr>
              <w:pStyle w:val="66"/>
              <w:spacing w:beforeLines="0" w:afterLines="0" w:line="240" w:lineRule="auto"/>
              <w:rPr>
                <w:rFonts w:ascii="Times New Roman"/>
                <w:snapToGrid w:val="0"/>
                <w:color w:val="auto"/>
                <w:kern w:val="21"/>
                <w:szCs w:val="21"/>
              </w:rPr>
            </w:pPr>
          </w:p>
        </w:tc>
        <w:tc>
          <w:tcPr>
            <w:tcW w:w="1701" w:type="dxa"/>
            <w:vAlign w:val="center"/>
          </w:tcPr>
          <w:p w14:paraId="1A1BCEF8">
            <w:pPr>
              <w:pStyle w:val="66"/>
              <w:spacing w:beforeLines="0" w:afterLines="0" w:line="240" w:lineRule="auto"/>
              <w:rPr>
                <w:rFonts w:ascii="Times New Roman"/>
                <w:snapToGrid w:val="0"/>
                <w:color w:val="auto"/>
                <w:kern w:val="21"/>
                <w:szCs w:val="21"/>
              </w:rPr>
            </w:pPr>
          </w:p>
        </w:tc>
        <w:tc>
          <w:tcPr>
            <w:tcW w:w="1559" w:type="dxa"/>
            <w:vAlign w:val="center"/>
          </w:tcPr>
          <w:p w14:paraId="5C4A5C65">
            <w:pPr>
              <w:pStyle w:val="66"/>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0.2t/a</w:t>
            </w:r>
          </w:p>
        </w:tc>
        <w:tc>
          <w:tcPr>
            <w:tcW w:w="1761" w:type="dxa"/>
            <w:vAlign w:val="center"/>
          </w:tcPr>
          <w:p w14:paraId="2C0B8C5A">
            <w:pPr>
              <w:pStyle w:val="66"/>
              <w:spacing w:beforeLines="0" w:afterLines="0" w:line="240" w:lineRule="auto"/>
              <w:rPr>
                <w:rFonts w:ascii="Times New Roman"/>
                <w:snapToGrid w:val="0"/>
                <w:color w:val="auto"/>
                <w:kern w:val="21"/>
                <w:szCs w:val="21"/>
              </w:rPr>
            </w:pPr>
          </w:p>
        </w:tc>
        <w:tc>
          <w:tcPr>
            <w:tcW w:w="1499" w:type="dxa"/>
            <w:vAlign w:val="center"/>
          </w:tcPr>
          <w:p w14:paraId="076D2459">
            <w:pPr>
              <w:pStyle w:val="66"/>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0.2t/a</w:t>
            </w:r>
          </w:p>
        </w:tc>
        <w:tc>
          <w:tcPr>
            <w:tcW w:w="1286" w:type="dxa"/>
            <w:vAlign w:val="center"/>
          </w:tcPr>
          <w:p w14:paraId="3A6AB1BB">
            <w:pPr>
              <w:pStyle w:val="66"/>
              <w:spacing w:beforeLines="0" w:afterLines="0" w:line="240" w:lineRule="auto"/>
              <w:rPr>
                <w:rFonts w:ascii="Times New Roman"/>
                <w:snapToGrid w:val="0"/>
                <w:color w:val="auto"/>
                <w:kern w:val="21"/>
                <w:szCs w:val="21"/>
              </w:rPr>
            </w:pPr>
          </w:p>
        </w:tc>
      </w:tr>
      <w:tr w14:paraId="7DE0D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B25956E">
            <w:pPr>
              <w:pStyle w:val="66"/>
              <w:spacing w:beforeLines="0" w:afterLines="0" w:line="240" w:lineRule="auto"/>
              <w:rPr>
                <w:rFonts w:ascii="Times New Roman" w:hAnsi="宋体"/>
                <w:snapToGrid w:val="0"/>
                <w:color w:val="auto"/>
                <w:kern w:val="21"/>
                <w:szCs w:val="21"/>
              </w:rPr>
            </w:pPr>
          </w:p>
        </w:tc>
        <w:tc>
          <w:tcPr>
            <w:tcW w:w="1417" w:type="dxa"/>
            <w:vAlign w:val="center"/>
          </w:tcPr>
          <w:p w14:paraId="234EBC53">
            <w:pPr>
              <w:pStyle w:val="66"/>
              <w:spacing w:beforeLines="0" w:afterLines="0" w:line="240" w:lineRule="auto"/>
              <w:rPr>
                <w:rFonts w:hint="default"/>
                <w:color w:val="auto"/>
                <w:szCs w:val="21"/>
                <w:lang w:val="en-US" w:eastAsia="zh-CN"/>
              </w:rPr>
            </w:pPr>
            <w:r>
              <w:rPr>
                <w:rFonts w:hint="eastAsia"/>
                <w:color w:val="auto"/>
                <w:szCs w:val="21"/>
                <w:lang w:val="en-US" w:eastAsia="zh-CN"/>
              </w:rPr>
              <w:t>废油桶</w:t>
            </w:r>
          </w:p>
        </w:tc>
        <w:tc>
          <w:tcPr>
            <w:tcW w:w="1701" w:type="dxa"/>
            <w:vAlign w:val="center"/>
          </w:tcPr>
          <w:p w14:paraId="29CA9F3B">
            <w:pPr>
              <w:pStyle w:val="66"/>
              <w:spacing w:beforeLines="0" w:afterLines="0" w:line="240" w:lineRule="auto"/>
              <w:rPr>
                <w:rFonts w:ascii="Times New Roman"/>
                <w:snapToGrid w:val="0"/>
                <w:color w:val="auto"/>
                <w:kern w:val="21"/>
                <w:szCs w:val="21"/>
              </w:rPr>
            </w:pPr>
          </w:p>
        </w:tc>
        <w:tc>
          <w:tcPr>
            <w:tcW w:w="1276" w:type="dxa"/>
            <w:vAlign w:val="center"/>
          </w:tcPr>
          <w:p w14:paraId="5755E064">
            <w:pPr>
              <w:pStyle w:val="66"/>
              <w:spacing w:beforeLines="0" w:afterLines="0" w:line="240" w:lineRule="auto"/>
              <w:rPr>
                <w:rFonts w:ascii="Times New Roman"/>
                <w:snapToGrid w:val="0"/>
                <w:color w:val="auto"/>
                <w:kern w:val="21"/>
                <w:szCs w:val="21"/>
              </w:rPr>
            </w:pPr>
          </w:p>
        </w:tc>
        <w:tc>
          <w:tcPr>
            <w:tcW w:w="1701" w:type="dxa"/>
            <w:vAlign w:val="center"/>
          </w:tcPr>
          <w:p w14:paraId="4F124097">
            <w:pPr>
              <w:pStyle w:val="66"/>
              <w:spacing w:beforeLines="0" w:afterLines="0" w:line="240" w:lineRule="auto"/>
              <w:rPr>
                <w:rFonts w:ascii="Times New Roman"/>
                <w:snapToGrid w:val="0"/>
                <w:color w:val="auto"/>
                <w:kern w:val="21"/>
                <w:szCs w:val="21"/>
              </w:rPr>
            </w:pPr>
          </w:p>
        </w:tc>
        <w:tc>
          <w:tcPr>
            <w:tcW w:w="1559" w:type="dxa"/>
            <w:vAlign w:val="center"/>
          </w:tcPr>
          <w:p w14:paraId="6F4D0877">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0.04t/a</w:t>
            </w:r>
          </w:p>
        </w:tc>
        <w:tc>
          <w:tcPr>
            <w:tcW w:w="1761" w:type="dxa"/>
            <w:vAlign w:val="center"/>
          </w:tcPr>
          <w:p w14:paraId="590E4907">
            <w:pPr>
              <w:pStyle w:val="66"/>
              <w:spacing w:beforeLines="0" w:afterLines="0" w:line="240" w:lineRule="auto"/>
              <w:rPr>
                <w:rFonts w:ascii="Times New Roman"/>
                <w:snapToGrid w:val="0"/>
                <w:color w:val="auto"/>
                <w:kern w:val="21"/>
                <w:szCs w:val="21"/>
              </w:rPr>
            </w:pPr>
          </w:p>
        </w:tc>
        <w:tc>
          <w:tcPr>
            <w:tcW w:w="1499" w:type="dxa"/>
            <w:vAlign w:val="center"/>
          </w:tcPr>
          <w:p w14:paraId="35B5460E">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0.04t/a</w:t>
            </w:r>
          </w:p>
        </w:tc>
        <w:tc>
          <w:tcPr>
            <w:tcW w:w="1286" w:type="dxa"/>
            <w:vAlign w:val="center"/>
          </w:tcPr>
          <w:p w14:paraId="2F4EDE09">
            <w:pPr>
              <w:pStyle w:val="66"/>
              <w:spacing w:beforeLines="0" w:afterLines="0" w:line="240" w:lineRule="auto"/>
              <w:rPr>
                <w:rFonts w:ascii="Times New Roman"/>
                <w:snapToGrid w:val="0"/>
                <w:color w:val="auto"/>
                <w:kern w:val="21"/>
                <w:szCs w:val="21"/>
              </w:rPr>
            </w:pPr>
          </w:p>
        </w:tc>
      </w:tr>
      <w:tr w14:paraId="6829A8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F2F86F1">
            <w:pPr>
              <w:pStyle w:val="66"/>
              <w:spacing w:beforeLines="0" w:afterLines="0" w:line="240" w:lineRule="auto"/>
              <w:rPr>
                <w:rFonts w:ascii="Times New Roman" w:hAnsi="宋体"/>
                <w:snapToGrid w:val="0"/>
                <w:color w:val="auto"/>
                <w:kern w:val="21"/>
                <w:szCs w:val="21"/>
              </w:rPr>
            </w:pPr>
          </w:p>
        </w:tc>
        <w:tc>
          <w:tcPr>
            <w:tcW w:w="1417" w:type="dxa"/>
            <w:vAlign w:val="center"/>
          </w:tcPr>
          <w:p w14:paraId="1ACC2988">
            <w:pPr>
              <w:pStyle w:val="66"/>
              <w:spacing w:beforeLines="0" w:afterLines="0" w:line="240" w:lineRule="auto"/>
              <w:rPr>
                <w:rFonts w:hint="default"/>
                <w:color w:val="auto"/>
                <w:szCs w:val="21"/>
                <w:lang w:val="en-US" w:eastAsia="zh-CN"/>
              </w:rPr>
            </w:pPr>
            <w:r>
              <w:rPr>
                <w:rFonts w:hint="eastAsia"/>
                <w:color w:val="auto"/>
                <w:szCs w:val="21"/>
                <w:lang w:val="en-US" w:eastAsia="zh-CN"/>
              </w:rPr>
              <w:t>废催化剂</w:t>
            </w:r>
          </w:p>
        </w:tc>
        <w:tc>
          <w:tcPr>
            <w:tcW w:w="1701" w:type="dxa"/>
            <w:vAlign w:val="center"/>
          </w:tcPr>
          <w:p w14:paraId="1AF80B0C">
            <w:pPr>
              <w:pStyle w:val="66"/>
              <w:spacing w:beforeLines="0" w:afterLines="0" w:line="240" w:lineRule="auto"/>
              <w:rPr>
                <w:rFonts w:ascii="Times New Roman"/>
                <w:snapToGrid w:val="0"/>
                <w:color w:val="auto"/>
                <w:kern w:val="21"/>
                <w:szCs w:val="21"/>
              </w:rPr>
            </w:pPr>
          </w:p>
        </w:tc>
        <w:tc>
          <w:tcPr>
            <w:tcW w:w="1276" w:type="dxa"/>
            <w:vAlign w:val="center"/>
          </w:tcPr>
          <w:p w14:paraId="40AD04CD">
            <w:pPr>
              <w:pStyle w:val="66"/>
              <w:spacing w:beforeLines="0" w:afterLines="0" w:line="240" w:lineRule="auto"/>
              <w:rPr>
                <w:rFonts w:ascii="Times New Roman"/>
                <w:snapToGrid w:val="0"/>
                <w:color w:val="auto"/>
                <w:kern w:val="21"/>
                <w:szCs w:val="21"/>
              </w:rPr>
            </w:pPr>
          </w:p>
        </w:tc>
        <w:tc>
          <w:tcPr>
            <w:tcW w:w="1701" w:type="dxa"/>
            <w:vAlign w:val="center"/>
          </w:tcPr>
          <w:p w14:paraId="1B0BD645">
            <w:pPr>
              <w:pStyle w:val="66"/>
              <w:spacing w:beforeLines="0" w:afterLines="0" w:line="240" w:lineRule="auto"/>
              <w:rPr>
                <w:rFonts w:ascii="Times New Roman"/>
                <w:snapToGrid w:val="0"/>
                <w:color w:val="auto"/>
                <w:kern w:val="21"/>
                <w:szCs w:val="21"/>
              </w:rPr>
            </w:pPr>
          </w:p>
        </w:tc>
        <w:tc>
          <w:tcPr>
            <w:tcW w:w="1559" w:type="dxa"/>
            <w:vAlign w:val="center"/>
          </w:tcPr>
          <w:p w14:paraId="0F662792">
            <w:pPr>
              <w:pStyle w:val="66"/>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0.3t/2a</w:t>
            </w:r>
          </w:p>
        </w:tc>
        <w:tc>
          <w:tcPr>
            <w:tcW w:w="1761" w:type="dxa"/>
            <w:vAlign w:val="center"/>
          </w:tcPr>
          <w:p w14:paraId="07518D18">
            <w:pPr>
              <w:pStyle w:val="66"/>
              <w:spacing w:beforeLines="0" w:afterLines="0" w:line="240" w:lineRule="auto"/>
              <w:rPr>
                <w:rFonts w:ascii="Times New Roman"/>
                <w:snapToGrid w:val="0"/>
                <w:color w:val="auto"/>
                <w:kern w:val="21"/>
                <w:szCs w:val="21"/>
              </w:rPr>
            </w:pPr>
          </w:p>
        </w:tc>
        <w:tc>
          <w:tcPr>
            <w:tcW w:w="1499" w:type="dxa"/>
            <w:vAlign w:val="center"/>
          </w:tcPr>
          <w:p w14:paraId="2505E9FC">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0.3t/2a</w:t>
            </w:r>
          </w:p>
        </w:tc>
        <w:tc>
          <w:tcPr>
            <w:tcW w:w="1286" w:type="dxa"/>
            <w:vAlign w:val="center"/>
          </w:tcPr>
          <w:p w14:paraId="594E4800">
            <w:pPr>
              <w:pStyle w:val="66"/>
              <w:spacing w:beforeLines="0" w:afterLines="0" w:line="240" w:lineRule="auto"/>
              <w:rPr>
                <w:rFonts w:ascii="Times New Roman"/>
                <w:snapToGrid w:val="0"/>
                <w:color w:val="auto"/>
                <w:kern w:val="21"/>
                <w:szCs w:val="21"/>
              </w:rPr>
            </w:pPr>
          </w:p>
        </w:tc>
      </w:tr>
      <w:tr w14:paraId="4C8321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05E4BF1">
            <w:pPr>
              <w:pStyle w:val="66"/>
              <w:spacing w:beforeLines="0" w:afterLines="0" w:line="240" w:lineRule="auto"/>
              <w:rPr>
                <w:rFonts w:ascii="Times New Roman" w:hAnsi="宋体"/>
                <w:snapToGrid w:val="0"/>
                <w:color w:val="auto"/>
                <w:kern w:val="21"/>
                <w:szCs w:val="21"/>
              </w:rPr>
            </w:pPr>
          </w:p>
        </w:tc>
        <w:tc>
          <w:tcPr>
            <w:tcW w:w="1417" w:type="dxa"/>
            <w:vAlign w:val="center"/>
          </w:tcPr>
          <w:p w14:paraId="53E1664A">
            <w:pPr>
              <w:pStyle w:val="66"/>
              <w:spacing w:beforeLines="0" w:afterLines="0" w:line="240" w:lineRule="auto"/>
              <w:rPr>
                <w:rFonts w:hint="default"/>
                <w:color w:val="auto"/>
                <w:szCs w:val="21"/>
                <w:lang w:val="en-US" w:eastAsia="zh-CN"/>
              </w:rPr>
            </w:pPr>
            <w:r>
              <w:rPr>
                <w:rFonts w:hint="eastAsia"/>
                <w:color w:val="auto"/>
                <w:szCs w:val="21"/>
                <w:lang w:val="en-US" w:eastAsia="zh-CN"/>
              </w:rPr>
              <w:t>废过滤棉</w:t>
            </w:r>
          </w:p>
        </w:tc>
        <w:tc>
          <w:tcPr>
            <w:tcW w:w="1701" w:type="dxa"/>
            <w:vAlign w:val="center"/>
          </w:tcPr>
          <w:p w14:paraId="77D352EF">
            <w:pPr>
              <w:pStyle w:val="66"/>
              <w:spacing w:beforeLines="0" w:afterLines="0" w:line="240" w:lineRule="auto"/>
              <w:rPr>
                <w:rFonts w:ascii="Times New Roman"/>
                <w:snapToGrid w:val="0"/>
                <w:color w:val="auto"/>
                <w:kern w:val="21"/>
                <w:szCs w:val="21"/>
              </w:rPr>
            </w:pPr>
          </w:p>
        </w:tc>
        <w:tc>
          <w:tcPr>
            <w:tcW w:w="1276" w:type="dxa"/>
            <w:vAlign w:val="center"/>
          </w:tcPr>
          <w:p w14:paraId="2AF31A71">
            <w:pPr>
              <w:pStyle w:val="66"/>
              <w:spacing w:beforeLines="0" w:afterLines="0" w:line="240" w:lineRule="auto"/>
              <w:rPr>
                <w:rFonts w:ascii="Times New Roman"/>
                <w:snapToGrid w:val="0"/>
                <w:color w:val="auto"/>
                <w:kern w:val="21"/>
                <w:szCs w:val="21"/>
              </w:rPr>
            </w:pPr>
          </w:p>
        </w:tc>
        <w:tc>
          <w:tcPr>
            <w:tcW w:w="1701" w:type="dxa"/>
            <w:vAlign w:val="center"/>
          </w:tcPr>
          <w:p w14:paraId="4C69D902">
            <w:pPr>
              <w:pStyle w:val="66"/>
              <w:spacing w:beforeLines="0" w:afterLines="0" w:line="240" w:lineRule="auto"/>
              <w:rPr>
                <w:rFonts w:ascii="Times New Roman"/>
                <w:snapToGrid w:val="0"/>
                <w:color w:val="auto"/>
                <w:kern w:val="21"/>
                <w:szCs w:val="21"/>
              </w:rPr>
            </w:pPr>
          </w:p>
        </w:tc>
        <w:tc>
          <w:tcPr>
            <w:tcW w:w="1559" w:type="dxa"/>
            <w:vAlign w:val="center"/>
          </w:tcPr>
          <w:p w14:paraId="4C212240">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0.02t/a</w:t>
            </w:r>
          </w:p>
        </w:tc>
        <w:tc>
          <w:tcPr>
            <w:tcW w:w="1761" w:type="dxa"/>
            <w:vAlign w:val="center"/>
          </w:tcPr>
          <w:p w14:paraId="2A89AE20">
            <w:pPr>
              <w:pStyle w:val="66"/>
              <w:spacing w:beforeLines="0" w:afterLines="0" w:line="240" w:lineRule="auto"/>
              <w:rPr>
                <w:rFonts w:ascii="Times New Roman"/>
                <w:snapToGrid w:val="0"/>
                <w:color w:val="auto"/>
                <w:kern w:val="21"/>
                <w:szCs w:val="21"/>
              </w:rPr>
            </w:pPr>
          </w:p>
        </w:tc>
        <w:tc>
          <w:tcPr>
            <w:tcW w:w="1499" w:type="dxa"/>
            <w:vAlign w:val="center"/>
          </w:tcPr>
          <w:p w14:paraId="3C32AD8E">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0.02t/a</w:t>
            </w:r>
          </w:p>
        </w:tc>
        <w:tc>
          <w:tcPr>
            <w:tcW w:w="1286" w:type="dxa"/>
            <w:vAlign w:val="center"/>
          </w:tcPr>
          <w:p w14:paraId="5EF4B06A">
            <w:pPr>
              <w:pStyle w:val="66"/>
              <w:spacing w:beforeLines="0" w:afterLines="0" w:line="240" w:lineRule="auto"/>
              <w:rPr>
                <w:rFonts w:ascii="Times New Roman"/>
                <w:snapToGrid w:val="0"/>
                <w:color w:val="auto"/>
                <w:kern w:val="21"/>
                <w:szCs w:val="21"/>
              </w:rPr>
            </w:pPr>
          </w:p>
        </w:tc>
      </w:tr>
      <w:tr w14:paraId="0CC348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8C23F9E">
            <w:pPr>
              <w:pStyle w:val="66"/>
              <w:spacing w:beforeLines="0" w:afterLines="0" w:line="240" w:lineRule="auto"/>
              <w:rPr>
                <w:rFonts w:ascii="Times New Roman" w:hAnsi="宋体"/>
                <w:snapToGrid w:val="0"/>
                <w:color w:val="auto"/>
                <w:kern w:val="21"/>
                <w:szCs w:val="21"/>
              </w:rPr>
            </w:pPr>
          </w:p>
        </w:tc>
        <w:tc>
          <w:tcPr>
            <w:tcW w:w="1417" w:type="dxa"/>
            <w:vAlign w:val="center"/>
          </w:tcPr>
          <w:p w14:paraId="3D351203">
            <w:pPr>
              <w:pStyle w:val="66"/>
              <w:spacing w:beforeLines="0" w:afterLines="0" w:line="240" w:lineRule="auto"/>
              <w:rPr>
                <w:rFonts w:hint="default"/>
                <w:color w:val="auto"/>
                <w:szCs w:val="21"/>
                <w:lang w:val="en-US" w:eastAsia="zh-CN"/>
              </w:rPr>
            </w:pPr>
            <w:r>
              <w:rPr>
                <w:rFonts w:hint="eastAsia"/>
                <w:color w:val="auto"/>
                <w:szCs w:val="21"/>
                <w:lang w:val="en-US" w:eastAsia="zh-CN"/>
              </w:rPr>
              <w:t>废活性炭</w:t>
            </w:r>
          </w:p>
        </w:tc>
        <w:tc>
          <w:tcPr>
            <w:tcW w:w="1701" w:type="dxa"/>
            <w:vAlign w:val="center"/>
          </w:tcPr>
          <w:p w14:paraId="1BD34CC9">
            <w:pPr>
              <w:pStyle w:val="66"/>
              <w:spacing w:beforeLines="0" w:afterLines="0" w:line="240" w:lineRule="auto"/>
              <w:rPr>
                <w:rFonts w:ascii="Times New Roman"/>
                <w:snapToGrid w:val="0"/>
                <w:color w:val="auto"/>
                <w:kern w:val="21"/>
                <w:szCs w:val="21"/>
              </w:rPr>
            </w:pPr>
          </w:p>
        </w:tc>
        <w:tc>
          <w:tcPr>
            <w:tcW w:w="1276" w:type="dxa"/>
            <w:vAlign w:val="center"/>
          </w:tcPr>
          <w:p w14:paraId="3346FC94">
            <w:pPr>
              <w:pStyle w:val="66"/>
              <w:spacing w:beforeLines="0" w:afterLines="0" w:line="240" w:lineRule="auto"/>
              <w:rPr>
                <w:rFonts w:ascii="Times New Roman"/>
                <w:snapToGrid w:val="0"/>
                <w:color w:val="auto"/>
                <w:kern w:val="21"/>
                <w:szCs w:val="21"/>
              </w:rPr>
            </w:pPr>
          </w:p>
        </w:tc>
        <w:tc>
          <w:tcPr>
            <w:tcW w:w="1701" w:type="dxa"/>
            <w:vAlign w:val="center"/>
          </w:tcPr>
          <w:p w14:paraId="67CC539C">
            <w:pPr>
              <w:pStyle w:val="66"/>
              <w:spacing w:beforeLines="0" w:afterLines="0" w:line="240" w:lineRule="auto"/>
              <w:rPr>
                <w:rFonts w:ascii="Times New Roman"/>
                <w:snapToGrid w:val="0"/>
                <w:color w:val="auto"/>
                <w:kern w:val="21"/>
                <w:szCs w:val="21"/>
              </w:rPr>
            </w:pPr>
          </w:p>
        </w:tc>
        <w:tc>
          <w:tcPr>
            <w:tcW w:w="1559" w:type="dxa"/>
            <w:vAlign w:val="center"/>
          </w:tcPr>
          <w:p w14:paraId="697C8A48">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0.9t/a</w:t>
            </w:r>
          </w:p>
        </w:tc>
        <w:tc>
          <w:tcPr>
            <w:tcW w:w="1761" w:type="dxa"/>
            <w:vAlign w:val="center"/>
          </w:tcPr>
          <w:p w14:paraId="278DB1DC">
            <w:pPr>
              <w:pStyle w:val="66"/>
              <w:spacing w:beforeLines="0" w:afterLines="0" w:line="240" w:lineRule="auto"/>
              <w:rPr>
                <w:rFonts w:ascii="Times New Roman"/>
                <w:snapToGrid w:val="0"/>
                <w:color w:val="auto"/>
                <w:kern w:val="21"/>
                <w:szCs w:val="21"/>
              </w:rPr>
            </w:pPr>
          </w:p>
        </w:tc>
        <w:tc>
          <w:tcPr>
            <w:tcW w:w="1499" w:type="dxa"/>
            <w:vAlign w:val="center"/>
          </w:tcPr>
          <w:p w14:paraId="721DCB74">
            <w:pPr>
              <w:pStyle w:val="66"/>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0.9t/a</w:t>
            </w:r>
          </w:p>
        </w:tc>
        <w:tc>
          <w:tcPr>
            <w:tcW w:w="1286" w:type="dxa"/>
            <w:vAlign w:val="center"/>
          </w:tcPr>
          <w:p w14:paraId="4EDB3205">
            <w:pPr>
              <w:pStyle w:val="66"/>
              <w:spacing w:beforeLines="0" w:afterLines="0" w:line="240" w:lineRule="auto"/>
              <w:rPr>
                <w:rFonts w:ascii="Times New Roman"/>
                <w:snapToGrid w:val="0"/>
                <w:color w:val="auto"/>
                <w:kern w:val="21"/>
                <w:szCs w:val="21"/>
              </w:rPr>
            </w:pPr>
          </w:p>
        </w:tc>
      </w:tr>
    </w:tbl>
    <w:p w14:paraId="01F86FB1">
      <w:pPr>
        <w:pStyle w:val="66"/>
        <w:spacing w:beforeLines="80" w:after="24"/>
        <w:jc w:val="left"/>
        <w:rPr>
          <w:rFonts w:ascii="Times New Roman"/>
          <w:snapToGrid w:val="0"/>
          <w:color w:val="auto"/>
          <w:spacing w:val="-6"/>
          <w:kern w:val="21"/>
          <w:szCs w:val="21"/>
        </w:rPr>
      </w:pPr>
      <w:r>
        <w:rPr>
          <w:rFonts w:ascii="Times New Roman" w:hAnsi="宋体"/>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hAnsi="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hAnsi="宋体"/>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ascii="Times New Roman" w:hAnsi="宋体"/>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ascii="Times New Roman" w:hAnsi="宋体"/>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ascii="Times New Roman" w:hAnsi="宋体"/>
          <w:color w:val="auto"/>
          <w:szCs w:val="21"/>
        </w:rPr>
        <w:t>⑤</w:t>
      </w:r>
      <w:r>
        <w:rPr>
          <w:rFonts w:ascii="Times New Roman"/>
          <w:snapToGrid w:val="0"/>
          <w:color w:val="auto"/>
          <w:spacing w:val="-16"/>
          <w:kern w:val="21"/>
          <w:szCs w:val="21"/>
        </w:rPr>
        <w:fldChar w:fldCharType="end"/>
      </w:r>
      <w:r>
        <w:rPr>
          <w:rFonts w:ascii="Times New Roman" w:hAnsi="宋体"/>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ascii="Times New Roman" w:hAnsi="宋体"/>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Times New Roman" w:hAnsi="宋体"/>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Times New Roman" w:hAnsi="宋体"/>
          <w:color w:val="auto"/>
          <w:szCs w:val="21"/>
        </w:rPr>
        <w:t>①</w:t>
      </w:r>
      <w:r>
        <w:rPr>
          <w:rFonts w:ascii="Times New Roman"/>
          <w:snapToGrid w:val="0"/>
          <w:color w:val="auto"/>
          <w:spacing w:val="-6"/>
          <w:kern w:val="21"/>
          <w:szCs w:val="21"/>
        </w:rPr>
        <w:fldChar w:fldCharType="end"/>
      </w:r>
    </w:p>
    <w:p w14:paraId="20EF8170">
      <w:pPr>
        <w:rPr>
          <w:color w:val="auto"/>
        </w:r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2A0C499">
      <w:pPr>
        <w:jc w:val="both"/>
        <w:rPr>
          <w:rFonts w:hint="eastAsia" w:eastAsia="宋体"/>
          <w:color w:val="auto"/>
          <w:lang w:eastAsia="zh-CN"/>
        </w:rPr>
        <w:sectPr>
          <w:footerReference r:id="rId6" w:type="default"/>
          <w:pgSz w:w="11906" w:h="16838"/>
          <w:pgMar w:top="1247" w:right="1247" w:bottom="1247" w:left="1247" w:header="851" w:footer="851" w:gutter="0"/>
          <w:pgBorders>
            <w:top w:val="none" w:sz="0" w:space="0"/>
            <w:left w:val="none" w:sz="0" w:space="0"/>
            <w:bottom w:val="none" w:sz="0" w:space="0"/>
            <w:right w:val="none" w:sz="0" w:space="0"/>
          </w:pgBorders>
          <w:cols w:space="720" w:num="1"/>
          <w:docGrid w:linePitch="312" w:charSpace="0"/>
        </w:sectPr>
      </w:pPr>
      <w:r>
        <w:rPr>
          <w:rFonts w:hint="eastAsia" w:eastAsia="宋体"/>
          <w:color w:val="auto"/>
          <w:lang w:eastAsia="zh-CN"/>
        </w:rPr>
        <w:drawing>
          <wp:inline distT="0" distB="0" distL="114300" distR="114300">
            <wp:extent cx="5969000" cy="8209915"/>
            <wp:effectExtent l="0" t="0" r="12700" b="635"/>
            <wp:docPr id="20" name="图片 20" descr="签字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签字页"/>
                    <pic:cNvPicPr>
                      <a:picLocks noChangeAspect="1"/>
                    </pic:cNvPicPr>
                  </pic:nvPicPr>
                  <pic:blipFill>
                    <a:blip r:embed="rId38"/>
                    <a:stretch>
                      <a:fillRect/>
                    </a:stretch>
                  </pic:blipFill>
                  <pic:spPr>
                    <a:xfrm>
                      <a:off x="0" y="0"/>
                      <a:ext cx="5969000" cy="8209915"/>
                    </a:xfrm>
                    <a:prstGeom prst="rect">
                      <a:avLst/>
                    </a:prstGeom>
                  </pic:spPr>
                </pic:pic>
              </a:graphicData>
            </a:graphic>
          </wp:inline>
        </w:drawing>
      </w:r>
    </w:p>
    <w:p w14:paraId="498B19FF">
      <w:pPr>
        <w:jc w:val="both"/>
        <w:rPr>
          <w:color w:val="auto"/>
        </w:rPr>
      </w:pPr>
      <w:r>
        <w:rPr>
          <w:color w:val="auto"/>
        </w:rPr>
        <w:drawing>
          <wp:inline distT="0" distB="0" distL="0" distR="0">
            <wp:extent cx="5770880" cy="8157845"/>
            <wp:effectExtent l="0" t="0" r="1270" b="14605"/>
            <wp:docPr id="4" name="图片 0" descr="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0" descr="证书.jpg"/>
                    <pic:cNvPicPr>
                      <a:picLocks noChangeAspect="1"/>
                    </pic:cNvPicPr>
                  </pic:nvPicPr>
                  <pic:blipFill>
                    <a:blip r:embed="rId39" cstate="print"/>
                    <a:stretch>
                      <a:fillRect/>
                    </a:stretch>
                  </pic:blipFill>
                  <pic:spPr>
                    <a:xfrm>
                      <a:off x="0" y="0"/>
                      <a:ext cx="5770880" cy="8157845"/>
                    </a:xfrm>
                    <a:prstGeom prst="rect">
                      <a:avLst/>
                    </a:prstGeom>
                  </pic:spPr>
                </pic:pic>
              </a:graphicData>
            </a:graphic>
          </wp:inline>
        </w:drawing>
      </w:r>
    </w:p>
    <w:p w14:paraId="0B8328A2">
      <w:pPr>
        <w:rPr>
          <w:color w:val="auto"/>
        </w:rPr>
      </w:pPr>
      <w:r>
        <w:rPr>
          <w:color w:val="auto"/>
        </w:rPr>
        <w:br w:type="page"/>
      </w:r>
    </w:p>
    <w:p w14:paraId="3119869D">
      <w:pPr>
        <w:rPr>
          <w:rFonts w:hint="eastAsia" w:eastAsia="宋体"/>
          <w:lang w:eastAsia="zh-CN"/>
        </w:rPr>
      </w:pPr>
      <w:r>
        <w:rPr>
          <w:rFonts w:hint="eastAsia" w:eastAsia="宋体"/>
          <w:lang w:eastAsia="zh-CN"/>
        </w:rPr>
        <w:drawing>
          <wp:inline distT="0" distB="0" distL="114300" distR="114300">
            <wp:extent cx="5976620" cy="8551545"/>
            <wp:effectExtent l="0" t="0" r="5080" b="1905"/>
            <wp:docPr id="21" name="图片 21"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委托书"/>
                    <pic:cNvPicPr>
                      <a:picLocks noChangeAspect="1"/>
                    </pic:cNvPicPr>
                  </pic:nvPicPr>
                  <pic:blipFill>
                    <a:blip r:embed="rId40"/>
                    <a:stretch>
                      <a:fillRect/>
                    </a:stretch>
                  </pic:blipFill>
                  <pic:spPr>
                    <a:xfrm>
                      <a:off x="0" y="0"/>
                      <a:ext cx="5976620" cy="8551545"/>
                    </a:xfrm>
                    <a:prstGeom prst="rect">
                      <a:avLst/>
                    </a:prstGeom>
                  </pic:spPr>
                </pic:pic>
              </a:graphicData>
            </a:graphic>
          </wp:inline>
        </w:drawing>
      </w:r>
    </w:p>
    <w:p w14:paraId="445537B4"/>
    <w:p w14:paraId="121BF8BA"/>
    <w:p w14:paraId="7999441B"/>
    <w:p w14:paraId="0094896A">
      <w:bookmarkStart w:id="11" w:name="_GoBack"/>
      <w:bookmarkEnd w:id="11"/>
    </w:p>
    <w:p w14:paraId="04221F64"/>
    <w:p w14:paraId="5B16AB73"/>
    <w:p w14:paraId="19FA9AD1"/>
    <w:p w14:paraId="50945884">
      <w:pPr>
        <w:rPr>
          <w:color w:val="auto"/>
        </w:rPr>
        <w:sectPr>
          <w:footerReference r:id="rId7" w:type="default"/>
          <w:pgSz w:w="11906" w:h="16838"/>
          <w:pgMar w:top="1247" w:right="1247" w:bottom="1247" w:left="1247" w:header="851" w:footer="851" w:gutter="0"/>
          <w:pgBorders>
            <w:top w:val="none" w:sz="0" w:space="0"/>
            <w:left w:val="none" w:sz="0" w:space="0"/>
            <w:bottom w:val="none" w:sz="0" w:space="0"/>
            <w:right w:val="none" w:sz="0" w:space="0"/>
          </w:pgBorders>
          <w:cols w:space="720" w:num="1"/>
          <w:docGrid w:linePitch="312" w:charSpace="0"/>
        </w:sectPr>
      </w:pPr>
      <w:r>
        <w:drawing>
          <wp:inline distT="0" distB="0" distL="114300" distR="114300">
            <wp:extent cx="5940425" cy="8410575"/>
            <wp:effectExtent l="0" t="0" r="3175"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41"/>
                    <a:stretch>
                      <a:fillRect/>
                    </a:stretch>
                  </pic:blipFill>
                  <pic:spPr>
                    <a:xfrm>
                      <a:off x="0" y="0"/>
                      <a:ext cx="5940425" cy="8410575"/>
                    </a:xfrm>
                    <a:prstGeom prst="rect">
                      <a:avLst/>
                    </a:prstGeom>
                    <a:noFill/>
                    <a:ln>
                      <a:noFill/>
                    </a:ln>
                  </pic:spPr>
                </pic:pic>
              </a:graphicData>
            </a:graphic>
          </wp:inline>
        </w:drawing>
      </w:r>
    </w:p>
    <w:p w14:paraId="3D7DEF14">
      <w:pPr>
        <w:pStyle w:val="40"/>
        <w:adjustRightInd w:val="0"/>
        <w:snapToGrid w:val="0"/>
        <w:spacing w:before="0" w:beforeAutospacing="0" w:after="0" w:afterAutospacing="0" w:line="480" w:lineRule="auto"/>
        <w:outlineLvl w:val="0"/>
        <w:rPr>
          <w:rFonts w:ascii="Times New Roman" w:hAnsi="黑体" w:eastAsia="黑体"/>
          <w:snapToGrid w:val="0"/>
          <w:color w:val="auto"/>
          <w:sz w:val="32"/>
          <w:szCs w:val="32"/>
        </w:rPr>
      </w:pPr>
      <w:r>
        <w:pict>
          <v:group id="_x0000_s2053" o:spid="_x0000_s2053" o:spt="203" style="position:absolute;left:0pt;margin-left:121.85pt;margin-top:20.25pt;height:472.9pt;width:550.4pt;z-index:251671552;mso-width-relative:page;mso-height-relative:page;" coordorigin="4138,1900" coordsize="11008,9458">
            <o:lock v:ext="edit"/>
            <v:shape id="_x0000_s2054" o:spid="_x0000_s2054" o:spt="202" type="#_x0000_t202" style="position:absolute;left:4138;top:10731;height:627;width:8259;" filled="f" stroked="f" coordsize="21600,21600">
              <v:path/>
              <v:fill on="f" focussize="0,0"/>
              <v:stroke on="f" joinstyle="miter"/>
              <v:imagedata o:title=""/>
              <o:lock v:ext="edit"/>
              <v:textbox>
                <w:txbxContent>
                  <w:p w14:paraId="609765B6">
                    <w:pPr>
                      <w:jc w:val="center"/>
                      <w:rPr>
                        <w:sz w:val="28"/>
                        <w:szCs w:val="28"/>
                      </w:rPr>
                    </w:pPr>
                    <w:r>
                      <w:rPr>
                        <w:rFonts w:hint="eastAsia" w:ascii="宋体" w:hAnsi="宋体"/>
                        <w:b/>
                        <w:sz w:val="28"/>
                        <w:szCs w:val="28"/>
                        <w:highlight w:val="cyan"/>
                      </w:rPr>
                      <w:t>附图</w:t>
                    </w:r>
                    <w:r>
                      <w:rPr>
                        <w:b/>
                        <w:sz w:val="28"/>
                        <w:szCs w:val="28"/>
                        <w:highlight w:val="cyan"/>
                      </w:rPr>
                      <w:t>1</w:t>
                    </w:r>
                    <w:r>
                      <w:rPr>
                        <w:rFonts w:hint="eastAsia" w:ascii="宋体" w:hAnsi="宋体"/>
                        <w:b/>
                        <w:sz w:val="28"/>
                        <w:szCs w:val="28"/>
                        <w:highlight w:val="cyan"/>
                      </w:rPr>
                      <w:t xml:space="preserve">   </w:t>
                    </w:r>
                    <w:r>
                      <w:rPr>
                        <w:rFonts w:hint="eastAsia"/>
                        <w:sz w:val="28"/>
                        <w:szCs w:val="28"/>
                        <w:highlight w:val="cyan"/>
                      </w:rPr>
                      <w:t xml:space="preserve"> </w:t>
                    </w:r>
                    <w:r>
                      <w:rPr>
                        <w:rFonts w:hAnsi="宋体"/>
                        <w:b/>
                        <w:sz w:val="28"/>
                        <w:szCs w:val="28"/>
                        <w:highlight w:val="cyan"/>
                      </w:rPr>
                      <w:t>项目地理位置及环保目标分布图</w:t>
                    </w:r>
                  </w:p>
                </w:txbxContent>
              </v:textbox>
            </v:shape>
            <v:shape id="图片 5820" o:spid="_x0000_s2055" o:spt="75" type="#_x0000_t75" style="position:absolute;left:14043;top:1900;height:1114;width:1103;" filled="f" o:preferrelative="t" stroked="f" coordsize="21600,21600">
              <v:path/>
              <v:fill on="f" focussize="0,0"/>
              <v:stroke on="f" joinstyle="miter"/>
              <v:imagedata r:id="rId42" o:title=""/>
              <o:lock v:ext="edit" aspectratio="t"/>
            </v:shape>
            <v:shape id="_x0000_s2056" o:spid="_x0000_s2056" o:spt="62" type="#_x0000_t62" style="position:absolute;left:10371;top:8864;height:463;width:1870;" fillcolor="#FFC000" filled="t" coordsize="21600,21600" adj="-9599,-50244">
              <v:path/>
              <v:fill on="t" opacity="13107f" focussize="0,0"/>
              <v:stroke joinstyle="miter"/>
              <v:imagedata o:title=""/>
              <o:lock v:ext="edit"/>
              <v:textbox>
                <w:txbxContent>
                  <w:p w14:paraId="1D4BBA42">
                    <w:pPr>
                      <w:jc w:val="center"/>
                      <w:rPr>
                        <w:b/>
                        <w:sz w:val="24"/>
                      </w:rPr>
                    </w:pPr>
                    <w:r>
                      <w:rPr>
                        <w:rFonts w:hint="eastAsia"/>
                        <w:b/>
                        <w:sz w:val="24"/>
                      </w:rPr>
                      <w:t>项目所在地</w:t>
                    </w:r>
                  </w:p>
                </w:txbxContent>
              </v:textbox>
            </v:shape>
            <v:rect id="_x0000_s2057" o:spid="_x0000_s2057" o:spt="1" style="position:absolute;left:9216;top:7298;height:535;width:319;" filled="f" stroked="t" coordsize="21600,21600">
              <v:path/>
              <v:fill on="f" focussize="0,0"/>
              <v:stroke weight="2pt" color="#FF0000"/>
              <v:imagedata o:title=""/>
              <o:lock v:ext="edit"/>
            </v:rect>
            <v:rect id="_x0000_s2058" o:spid="_x0000_s2058" o:spt="1" style="position:absolute;left:9098;top:7111;height:853;width:546;" filled="f" stroked="t" coordsize="21600,21600">
              <v:path/>
              <v:fill on="f" focussize="0,0"/>
              <v:stroke weight="2pt" color="#C00000" dashstyle="1 1"/>
              <v:imagedata o:title=""/>
              <o:lock v:ext="edit"/>
            </v:rect>
            <v:rect id="_x0000_s2059" o:spid="_x0000_s2059" o:spt="1" style="position:absolute;left:8411;top:6447;height:2335;width:1930;" filled="f" stroked="t" coordsize="21600,21600">
              <v:path/>
              <v:fill on="f" focussize="0,0"/>
              <v:stroke weight="2pt" color="#00B0F0" dashstyle="1 1"/>
              <v:imagedata o:title=""/>
              <o:lock v:ext="edit"/>
            </v:rect>
            <v:shape id="_x0000_s2060" o:spid="_x0000_s2060" o:spt="47" type="#_x0000_t47" style="position:absolute;left:11157;top:7308;height:1037;width:2011;" filled="f" stroked="t" coordsize="21600,21600" adj="-8281,-6624,-1289,3749,-13577,1541,-12148,3395">
              <v:path arrowok="t"/>
              <v:fill on="f" focussize="0,0"/>
              <v:stroke color="#00B0F0" joinstyle="miter"/>
              <v:imagedata o:title=""/>
              <o:lock v:ext="edit"/>
              <v:textbox>
                <w:txbxContent>
                  <w:p w14:paraId="59C9563C">
                    <w:pPr>
                      <w:jc w:val="center"/>
                      <w:rPr>
                        <w:b/>
                        <w:color w:val="7030A0"/>
                      </w:rPr>
                    </w:pPr>
                    <w:r>
                      <w:rPr>
                        <w:b/>
                        <w:color w:val="7030A0"/>
                        <w:highlight w:val="yellow"/>
                      </w:rPr>
                      <w:t>大气环境保护目标</w:t>
                    </w:r>
                    <w:r>
                      <w:rPr>
                        <w:rFonts w:hint="eastAsia"/>
                        <w:b/>
                        <w:color w:val="7030A0"/>
                        <w:highlight w:val="yellow"/>
                      </w:rPr>
                      <w:t>：</w:t>
                    </w:r>
                    <w:r>
                      <w:rPr>
                        <w:b/>
                        <w:color w:val="7030A0"/>
                        <w:highlight w:val="yellow"/>
                      </w:rPr>
                      <w:t>厂界外扩</w:t>
                    </w:r>
                    <w:r>
                      <w:rPr>
                        <w:rFonts w:hint="eastAsia"/>
                        <w:b/>
                        <w:color w:val="7030A0"/>
                        <w:highlight w:val="yellow"/>
                      </w:rPr>
                      <w:t>500m范围内无环保目标</w:t>
                    </w:r>
                  </w:p>
                </w:txbxContent>
              </v:textbox>
            </v:shape>
            <v:shape id="_x0000_s2061" o:spid="_x0000_s2061" o:spt="47" type="#_x0000_t47" style="position:absolute;left:6172;top:8782;height:960;width:2011;" filled="f" stroked="t" coordsize="21600,21600" adj="31009,-18653,22889,,10601,-10328,12030,-8325">
              <v:path arrowok="t"/>
              <v:fill on="f" focussize="0,0"/>
              <v:stroke color="#C00000" joinstyle="miter"/>
              <v:imagedata o:title=""/>
              <o:lock v:ext="edit"/>
              <o:callout minusx="t"/>
              <v:textbox>
                <w:txbxContent>
                  <w:p w14:paraId="647F97F6">
                    <w:pPr>
                      <w:jc w:val="center"/>
                      <w:rPr>
                        <w:b/>
                        <w:color w:val="00B050"/>
                      </w:rPr>
                    </w:pPr>
                    <w:r>
                      <w:rPr>
                        <w:rFonts w:hint="eastAsia"/>
                        <w:b/>
                        <w:color w:val="00B050"/>
                        <w:highlight w:val="yellow"/>
                      </w:rPr>
                      <w:t>声</w:t>
                    </w:r>
                    <w:r>
                      <w:rPr>
                        <w:b/>
                        <w:color w:val="00B050"/>
                        <w:highlight w:val="yellow"/>
                      </w:rPr>
                      <w:t>环境保护目标</w:t>
                    </w:r>
                    <w:r>
                      <w:rPr>
                        <w:rFonts w:hint="eastAsia"/>
                        <w:b/>
                        <w:color w:val="00B050"/>
                        <w:highlight w:val="yellow"/>
                      </w:rPr>
                      <w:t>：</w:t>
                    </w:r>
                    <w:r>
                      <w:rPr>
                        <w:b/>
                        <w:color w:val="00B050"/>
                        <w:highlight w:val="yellow"/>
                      </w:rPr>
                      <w:t>厂界外扩</w:t>
                    </w:r>
                    <w:r>
                      <w:rPr>
                        <w:rFonts w:hint="eastAsia"/>
                        <w:b/>
                        <w:color w:val="00B050"/>
                        <w:highlight w:val="yellow"/>
                      </w:rPr>
                      <w:t>50m范围内无环保目标</w:t>
                    </w:r>
                  </w:p>
                </w:txbxContent>
              </v:textbox>
            </v:shape>
          </v:group>
        </w:pict>
      </w:r>
      <w:r>
        <w:rPr>
          <w:rFonts w:ascii="Times New Roman" w:hAnsi="黑体" w:eastAsia="黑体"/>
          <w:snapToGrid w:val="0"/>
          <w:color w:val="auto"/>
          <w:sz w:val="32"/>
          <w:szCs w:val="32"/>
        </w:rPr>
        <w:t>附图</w:t>
      </w:r>
      <w:r>
        <w:drawing>
          <wp:anchor distT="0" distB="0" distL="114300" distR="114300" simplePos="0" relativeHeight="251659264" behindDoc="1" locked="0" layoutInCell="1" allowOverlap="1">
            <wp:simplePos x="0" y="0"/>
            <wp:positionH relativeFrom="column">
              <wp:posOffset>353695</wp:posOffset>
            </wp:positionH>
            <wp:positionV relativeFrom="paragraph">
              <wp:posOffset>226695</wp:posOffset>
            </wp:positionV>
            <wp:extent cx="8199120" cy="5624195"/>
            <wp:effectExtent l="0" t="0" r="11430" b="14605"/>
            <wp:wrapNone/>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43" cstate="print"/>
                    <a:srcRect/>
                    <a:stretch>
                      <a:fillRect/>
                    </a:stretch>
                  </pic:blipFill>
                  <pic:spPr>
                    <a:xfrm>
                      <a:off x="0" y="0"/>
                      <a:ext cx="8199120" cy="5624195"/>
                    </a:xfrm>
                    <a:prstGeom prst="rect">
                      <a:avLst/>
                    </a:prstGeom>
                    <a:noFill/>
                    <a:ln w="9525">
                      <a:noFill/>
                      <a:miter lim="800000"/>
                      <a:headEnd/>
                      <a:tailEnd/>
                    </a:ln>
                  </pic:spPr>
                </pic:pic>
              </a:graphicData>
            </a:graphic>
          </wp:anchor>
        </w:drawing>
      </w:r>
    </w:p>
    <w:p w14:paraId="307FE478">
      <w:pPr>
        <w:rPr>
          <w:color w:val="auto"/>
        </w:rPr>
      </w:pPr>
    </w:p>
    <w:p w14:paraId="67FA9E7B">
      <w:pPr>
        <w:rPr>
          <w:color w:val="auto"/>
        </w:rPr>
      </w:pPr>
    </w:p>
    <w:p w14:paraId="6268DF9C">
      <w:pPr>
        <w:rPr>
          <w:color w:val="auto"/>
        </w:rPr>
      </w:pPr>
    </w:p>
    <w:p w14:paraId="1D4E4256">
      <w:pPr>
        <w:rPr>
          <w:color w:val="auto"/>
        </w:rPr>
      </w:pPr>
    </w:p>
    <w:p w14:paraId="15868A93">
      <w:pPr>
        <w:rPr>
          <w:color w:val="auto"/>
        </w:rPr>
      </w:pPr>
    </w:p>
    <w:p w14:paraId="504C50E0">
      <w:pPr>
        <w:rPr>
          <w:color w:val="auto"/>
        </w:rPr>
      </w:pPr>
    </w:p>
    <w:p w14:paraId="5C579F93">
      <w:pPr>
        <w:rPr>
          <w:color w:val="auto"/>
        </w:rPr>
      </w:pPr>
    </w:p>
    <w:p w14:paraId="1C45C1AB">
      <w:pPr>
        <w:rPr>
          <w:color w:val="auto"/>
        </w:rPr>
      </w:pPr>
    </w:p>
    <w:p w14:paraId="20A5CA22">
      <w:pPr>
        <w:rPr>
          <w:color w:val="auto"/>
        </w:rPr>
      </w:pPr>
    </w:p>
    <w:p w14:paraId="62C20F3F">
      <w:pPr>
        <w:rPr>
          <w:color w:val="auto"/>
        </w:rPr>
      </w:pPr>
    </w:p>
    <w:p w14:paraId="39E6DD81">
      <w:pPr>
        <w:rPr>
          <w:color w:val="auto"/>
        </w:rPr>
      </w:pPr>
    </w:p>
    <w:p w14:paraId="63CC8050">
      <w:pPr>
        <w:rPr>
          <w:color w:val="auto"/>
        </w:rPr>
      </w:pPr>
    </w:p>
    <w:p w14:paraId="6A09201B">
      <w:pPr>
        <w:rPr>
          <w:color w:val="auto"/>
        </w:rPr>
      </w:pPr>
    </w:p>
    <w:p w14:paraId="2657A454">
      <w:pPr>
        <w:rPr>
          <w:color w:val="auto"/>
        </w:rPr>
      </w:pPr>
    </w:p>
    <w:p w14:paraId="72235AFB">
      <w:pPr>
        <w:rPr>
          <w:color w:val="auto"/>
        </w:rPr>
      </w:pPr>
    </w:p>
    <w:p w14:paraId="60E3952B">
      <w:pPr>
        <w:rPr>
          <w:color w:val="auto"/>
        </w:rPr>
      </w:pPr>
    </w:p>
    <w:p w14:paraId="47E51E31">
      <w:pPr>
        <w:rPr>
          <w:color w:val="auto"/>
        </w:rPr>
      </w:pPr>
    </w:p>
    <w:p w14:paraId="4DBBC49A">
      <w:pPr>
        <w:rPr>
          <w:color w:val="auto"/>
        </w:rPr>
      </w:pPr>
    </w:p>
    <w:p w14:paraId="1B17A1D1">
      <w:pPr>
        <w:rPr>
          <w:color w:val="auto"/>
        </w:rPr>
      </w:pPr>
    </w:p>
    <w:p w14:paraId="0AF98B44">
      <w:pPr>
        <w:rPr>
          <w:color w:val="auto"/>
        </w:rPr>
      </w:pPr>
    </w:p>
    <w:p w14:paraId="4BC57E40">
      <w:pPr>
        <w:rPr>
          <w:color w:val="auto"/>
        </w:rPr>
      </w:pPr>
    </w:p>
    <w:p w14:paraId="462A23BB">
      <w:pPr>
        <w:rPr>
          <w:color w:val="auto"/>
        </w:rPr>
      </w:pPr>
    </w:p>
    <w:p w14:paraId="0EBB38F2">
      <w:pPr>
        <w:rPr>
          <w:color w:val="auto"/>
        </w:rPr>
      </w:pPr>
    </w:p>
    <w:p w14:paraId="0F28D6B5">
      <w:pPr>
        <w:rPr>
          <w:color w:val="auto"/>
        </w:rPr>
      </w:pPr>
    </w:p>
    <w:p w14:paraId="420AD11D">
      <w:pPr>
        <w:rPr>
          <w:color w:val="auto"/>
        </w:rPr>
      </w:pPr>
    </w:p>
    <w:p w14:paraId="03EA791D">
      <w:pPr>
        <w:rPr>
          <w:color w:val="auto"/>
        </w:rPr>
      </w:pPr>
    </w:p>
    <w:p w14:paraId="1E2694A4">
      <w:pPr>
        <w:rPr>
          <w:color w:val="auto"/>
        </w:rPr>
      </w:pPr>
    </w:p>
    <w:p w14:paraId="23A311CB">
      <w:pPr>
        <w:rPr>
          <w:color w:val="auto"/>
        </w:rPr>
      </w:pPr>
    </w:p>
    <w:p w14:paraId="05B79E1F">
      <w:pPr>
        <w:rPr>
          <w:color w:val="auto"/>
        </w:rPr>
      </w:pPr>
    </w:p>
    <w:p w14:paraId="4C8890FF">
      <w:pPr>
        <w:rPr>
          <w:color w:val="auto"/>
        </w:rPr>
      </w:pPr>
    </w:p>
    <w:p w14:paraId="77131786">
      <w:pPr>
        <w:rPr>
          <w:color w:val="auto"/>
        </w:rPr>
      </w:pPr>
    </w:p>
    <w:p w14:paraId="34942F48">
      <w:pPr>
        <w:rPr>
          <w:color w:val="auto"/>
        </w:rPr>
      </w:pPr>
    </w:p>
    <w:p w14:paraId="6A607333">
      <w:pPr>
        <w:rPr>
          <w:color w:val="auto"/>
        </w:rPr>
      </w:pPr>
    </w:p>
    <w:p w14:paraId="783E0471">
      <w:pPr>
        <w:rPr>
          <w:color w:val="auto"/>
        </w:rPr>
        <w:sectPr>
          <w:footerReference r:id="rId8"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1583373D">
      <w:pPr>
        <w:rPr>
          <w:color w:val="auto"/>
        </w:rPr>
      </w:pPr>
      <w:r>
        <w:drawing>
          <wp:anchor distT="0" distB="0" distL="114300" distR="114300" simplePos="0" relativeHeight="251680768" behindDoc="1" locked="0" layoutInCell="1" allowOverlap="1">
            <wp:simplePos x="0" y="0"/>
            <wp:positionH relativeFrom="column">
              <wp:posOffset>0</wp:posOffset>
            </wp:positionH>
            <wp:positionV relativeFrom="paragraph">
              <wp:posOffset>0</wp:posOffset>
            </wp:positionV>
            <wp:extent cx="5603240" cy="7851775"/>
            <wp:effectExtent l="0" t="0" r="16510" b="15875"/>
            <wp:wrapNone/>
            <wp:docPr id="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
                    <pic:cNvPicPr>
                      <a:picLocks noChangeAspect="1"/>
                    </pic:cNvPicPr>
                  </pic:nvPicPr>
                  <pic:blipFill>
                    <a:blip r:embed="rId44"/>
                    <a:stretch>
                      <a:fillRect/>
                    </a:stretch>
                  </pic:blipFill>
                  <pic:spPr>
                    <a:xfrm>
                      <a:off x="0" y="0"/>
                      <a:ext cx="5603240" cy="7851775"/>
                    </a:xfrm>
                    <a:prstGeom prst="rect">
                      <a:avLst/>
                    </a:prstGeom>
                    <a:noFill/>
                    <a:ln>
                      <a:noFill/>
                    </a:ln>
                  </pic:spPr>
                </pic:pic>
              </a:graphicData>
            </a:graphic>
          </wp:anchor>
        </w:drawing>
      </w:r>
    </w:p>
    <w:p w14:paraId="3E725EE3">
      <w:pPr>
        <w:rPr>
          <w:color w:val="auto"/>
        </w:rPr>
      </w:pPr>
    </w:p>
    <w:p w14:paraId="087E1E53">
      <w:pPr>
        <w:rPr>
          <w:color w:val="auto"/>
        </w:rPr>
      </w:pPr>
    </w:p>
    <w:p w14:paraId="06F6F70E">
      <w:pPr>
        <w:rPr>
          <w:color w:val="auto"/>
        </w:rPr>
      </w:pPr>
    </w:p>
    <w:p w14:paraId="137AB617">
      <w:pPr>
        <w:rPr>
          <w:color w:val="auto"/>
        </w:rPr>
      </w:pPr>
    </w:p>
    <w:p w14:paraId="242E5C6E">
      <w:pPr>
        <w:rPr>
          <w:color w:val="auto"/>
        </w:rPr>
      </w:pPr>
    </w:p>
    <w:p w14:paraId="1F010F2A">
      <w:pPr>
        <w:rPr>
          <w:color w:val="auto"/>
        </w:rPr>
      </w:pPr>
    </w:p>
    <w:p w14:paraId="3C152586">
      <w:pPr>
        <w:rPr>
          <w:color w:val="auto"/>
        </w:rPr>
      </w:pPr>
    </w:p>
    <w:p w14:paraId="394867E5">
      <w:pPr>
        <w:rPr>
          <w:color w:val="auto"/>
        </w:rPr>
      </w:pPr>
    </w:p>
    <w:p w14:paraId="334C57A6">
      <w:pPr>
        <w:rPr>
          <w:color w:val="auto"/>
        </w:rPr>
      </w:pPr>
      <w:r>
        <w:rPr>
          <w:sz w:val="21"/>
        </w:rPr>
        <w:pict>
          <v:group id="_x0000_s2400" o:spid="_x0000_s2400" o:spt="203" style="position:absolute;left:0pt;margin-left:-48.85pt;margin-top:7.65pt;height:549.35pt;width:480.85pt;z-index:251670528;mso-width-relative:page;mso-height-relative:page;" coordorigin="7822,623027" coordsize="9617,10987">
            <o:lock v:ext="edit" aspectratio="f"/>
            <v:shape id="_x0000_s2064" o:spid="_x0000_s2064" o:spt="202" type="#_x0000_t202" style="position:absolute;left:7822;top:629095;height:454;width:993;" filled="f" stroked="f" coordsize="21600,21600">
              <v:path/>
              <v:fill on="f" focussize="0,0"/>
              <v:stroke on="f"/>
              <v:imagedata o:title=""/>
              <o:lock v:ext="edit" aspectratio="f"/>
              <v:textbox>
                <w:txbxContent>
                  <w:p w14:paraId="34DD729A">
                    <w:pPr>
                      <w:rPr>
                        <w:rFonts w:hint="default" w:eastAsia="宋体"/>
                        <w:b/>
                        <w:bCs/>
                        <w:lang w:val="en-US" w:eastAsia="zh-CN"/>
                      </w:rPr>
                    </w:pPr>
                    <w:r>
                      <w:rPr>
                        <w:rFonts w:hint="eastAsia"/>
                        <w:b/>
                        <w:bCs/>
                        <w:lang w:val="en-US" w:eastAsia="zh-CN"/>
                      </w:rPr>
                      <w:t>锅炉房</w:t>
                    </w:r>
                  </w:p>
                </w:txbxContent>
              </v:textbox>
            </v:shape>
            <v:rect id="_x0000_s2142" o:spid="_x0000_s2142" o:spt="1" style="position:absolute;left:11260;top:623964;height:186;width:347;" fillcolor="#FFFFFF" filled="t" stroked="t" coordsize="21600,21600">
              <v:path/>
              <v:fill on="t" color2="#FFFFFF" focussize="0,0"/>
              <v:stroke color="#000000"/>
              <v:imagedata o:title=""/>
              <o:lock v:ext="edit" aspectratio="f"/>
            </v:rect>
            <v:line id="_x0000_s2065" o:spid="_x0000_s2065" o:spt="20" style="position:absolute;left:8606;top:628702;flip:y;height:526;width:1316;" fillcolor="#FFFFFF" filled="t" stroked="t" coordsize="21600,21600">
              <v:path arrowok="t"/>
              <v:fill on="t" color2="#FFFFFF" focussize="0,0"/>
              <v:stroke color="#000000"/>
              <v:imagedata o:title=""/>
              <o:lock v:ext="edit" aspectratio="f"/>
            </v:line>
            <v:shape id="_x0000_s2066" o:spid="_x0000_s2066" o:spt="132" type="#_x0000_t132" style="position:absolute;left:9794;top:628079;height:392;width:120;" fillcolor="#FFFFFF" filled="t" stroked="t" coordsize="21600,21600">
              <v:path/>
              <v:fill on="t" color2="#FFFFFF" focussize="0,0"/>
              <v:stroke color="#000000"/>
              <v:imagedata o:title=""/>
              <o:lock v:ext="edit" aspectratio="f"/>
            </v:shape>
            <v:shape id="_x0000_s2062" o:spid="_x0000_s2062" o:spt="202" type="#_x0000_t202" style="position:absolute;left:9365;top:633308;height:707;width:8075;" filled="f" stroked="f" coordsize="21600,21600">
              <v:path/>
              <v:fill on="f" focussize="0,0"/>
              <v:stroke on="f"/>
              <v:imagedata o:title=""/>
              <o:lock v:ext="edit" aspectratio="f"/>
              <v:textbox>
                <w:txbxContent>
                  <w:p w14:paraId="2BA3B922">
                    <w:pPr>
                      <w:jc w:val="center"/>
                      <w:rPr>
                        <w:rFonts w:hint="default" w:eastAsia="宋体"/>
                        <w:b/>
                        <w:sz w:val="28"/>
                        <w:szCs w:val="28"/>
                        <w:lang w:val="en-US" w:eastAsia="zh-CN"/>
                      </w:rPr>
                    </w:pPr>
                    <w:r>
                      <w:rPr>
                        <w:b/>
                        <w:sz w:val="28"/>
                        <w:szCs w:val="28"/>
                      </w:rPr>
                      <w:t>附图</w:t>
                    </w:r>
                    <w:r>
                      <w:rPr>
                        <w:rFonts w:hint="eastAsia"/>
                        <w:b/>
                        <w:sz w:val="28"/>
                        <w:szCs w:val="28"/>
                        <w:lang w:val="en-US" w:eastAsia="zh-CN"/>
                      </w:rPr>
                      <w:t>2    项目平面布置图</w:t>
                    </w:r>
                  </w:p>
                </w:txbxContent>
              </v:textbox>
            </v:shape>
            <v:shape id="_x0000_s2150" o:spid="_x0000_s2150" o:spt="202" type="#_x0000_t202" style="position:absolute;left:13095;top:624792;height:392;width:1548;" filled="f" stroked="f" coordsize="21600,21600">
              <v:path/>
              <v:fill on="f" focussize="0,0"/>
              <v:stroke on="f"/>
              <v:imagedata o:title=""/>
              <o:lock v:ext="edit" aspectratio="f"/>
              <v:textbox>
                <w:txbxContent>
                  <w:p w14:paraId="2F42B589">
                    <w:pPr>
                      <w:rPr>
                        <w:rFonts w:hint="default" w:eastAsia="宋体"/>
                        <w:b/>
                        <w:bCs/>
                        <w:sz w:val="15"/>
                        <w:szCs w:val="15"/>
                        <w:highlight w:val="yellow"/>
                        <w:lang w:val="en-US" w:eastAsia="zh-CN"/>
                      </w:rPr>
                    </w:pPr>
                    <w:r>
                      <w:rPr>
                        <w:rFonts w:hint="eastAsia"/>
                        <w:b/>
                        <w:bCs/>
                        <w:sz w:val="15"/>
                        <w:szCs w:val="15"/>
                        <w:highlight w:val="yellow"/>
                        <w:lang w:val="en-US" w:eastAsia="zh-CN"/>
                      </w:rPr>
                      <w:t>1#除尘器+DA001</w:t>
                    </w:r>
                  </w:p>
                </w:txbxContent>
              </v:textbox>
            </v:shape>
            <v:shape id="_x0000_s2181" o:spid="_x0000_s2181" o:spt="132" type="#_x0000_t132" style="position:absolute;left:12990;top:624744;height:392;width:120;" fillcolor="#FFFFFF" filled="t" stroked="t" coordsize="21600,21600">
              <v:path/>
              <v:fill on="t" color2="#FFFFFF" focussize="0,0"/>
              <v:stroke color="#000000"/>
              <v:imagedata o:title=""/>
              <o:lock v:ext="edit" aspectratio="f"/>
            </v:shape>
            <v:shape id="_x0000_s2182" o:spid="_x0000_s2182" o:spt="202" type="#_x0000_t202" style="position:absolute;left:10453;top:624700;height:392;width:1548;" filled="f" stroked="f" coordsize="21600,21600">
              <v:path/>
              <v:fill on="f" focussize="0,0"/>
              <v:stroke on="f"/>
              <v:imagedata o:title=""/>
              <o:lock v:ext="edit" aspectratio="f"/>
              <v:textbox>
                <w:txbxContent>
                  <w:p w14:paraId="4037FF8A">
                    <w:pPr>
                      <w:rPr>
                        <w:rFonts w:hint="default" w:eastAsia="宋体"/>
                        <w:b/>
                        <w:bCs/>
                        <w:sz w:val="15"/>
                        <w:szCs w:val="15"/>
                        <w:highlight w:val="yellow"/>
                        <w:lang w:val="en-US" w:eastAsia="zh-CN"/>
                      </w:rPr>
                    </w:pPr>
                    <w:r>
                      <w:rPr>
                        <w:rFonts w:hint="eastAsia"/>
                        <w:b/>
                        <w:bCs/>
                        <w:sz w:val="15"/>
                        <w:szCs w:val="15"/>
                        <w:highlight w:val="yellow"/>
                        <w:lang w:val="en-US" w:eastAsia="zh-CN"/>
                      </w:rPr>
                      <w:t>2#除尘器+DA002</w:t>
                    </w:r>
                  </w:p>
                </w:txbxContent>
              </v:textbox>
            </v:shape>
            <v:shape id="_x0000_s2201" o:spid="_x0000_s2201" o:spt="202" type="#_x0000_t202" style="position:absolute;left:10755;top:624884;height:392;width:2089;" filled="f" stroked="f" coordsize="21600,21600">
              <v:path/>
              <v:fill on="f" focussize="0,0"/>
              <v:stroke on="f"/>
              <v:imagedata o:title=""/>
              <o:lock v:ext="edit" aspectratio="f"/>
              <v:textbox>
                <w:txbxContent>
                  <w:p w14:paraId="5DB83ACE">
                    <w:pPr>
                      <w:rPr>
                        <w:rFonts w:hint="default" w:eastAsia="宋体"/>
                        <w:b/>
                        <w:bCs/>
                        <w:sz w:val="15"/>
                        <w:szCs w:val="15"/>
                        <w:highlight w:val="yellow"/>
                        <w:lang w:val="en-US" w:eastAsia="zh-CN"/>
                      </w:rPr>
                    </w:pPr>
                    <w:r>
                      <w:rPr>
                        <w:rFonts w:hint="eastAsia"/>
                        <w:b/>
                        <w:bCs/>
                        <w:sz w:val="15"/>
                        <w:szCs w:val="15"/>
                        <w:highlight w:val="yellow"/>
                        <w:lang w:val="en-US" w:eastAsia="zh-CN"/>
                      </w:rPr>
                      <w:t>有机废气处理装置DA003</w:t>
                    </w:r>
                  </w:p>
                </w:txbxContent>
              </v:textbox>
            </v:shape>
            <v:shape id="_x0000_s2202" o:spid="_x0000_s2202" o:spt="132" type="#_x0000_t132" style="position:absolute;left:11606;top:624386;height:392;width:120;" fillcolor="#FFFFFF" filled="t" stroked="t" coordsize="21600,21600">
              <v:path/>
              <v:fill on="t" color2="#FFFFFF" focussize="0,0"/>
              <v:stroke color="#000000"/>
              <v:imagedata o:title=""/>
              <o:lock v:ext="edit" aspectratio="f"/>
            </v:shape>
            <v:shape id="_x0000_s2203" o:spid="_x0000_s2203" o:spt="132" type="#_x0000_t132" style="position:absolute;left:12275;top:624386;height:392;width:120;" fillcolor="#FFFFFF" filled="t" stroked="t" coordsize="21600,21600">
              <v:path/>
              <v:fill on="t" color2="#FFFFFF" focussize="0,0"/>
              <v:stroke color="#000000"/>
              <v:imagedata o:title=""/>
              <o:lock v:ext="edit" aspectratio="f"/>
            </v:shape>
            <v:shape id="_x0000_s2204" o:spid="_x0000_s2204" o:spt="132" type="#_x0000_t132" style="position:absolute;left:11698;top:623036;height:392;width:120;" fillcolor="#FFFFFF" filled="t" stroked="t" coordsize="21600,21600">
              <v:path/>
              <v:fill on="t" color2="#FFFFFF" focussize="0,0"/>
              <v:stroke color="#000000"/>
              <v:imagedata o:title=""/>
              <o:lock v:ext="edit" aspectratio="f"/>
            </v:shape>
            <v:shape id="_x0000_s2205" o:spid="_x0000_s2205" o:spt="202" type="#_x0000_t202" style="position:absolute;left:11077;top:623027;height:392;width:821;" filled="f" stroked="f" coordsize="21600,21600">
              <v:path/>
              <v:fill on="f" focussize="0,0"/>
              <v:stroke on="f"/>
              <v:imagedata o:title=""/>
              <o:lock v:ext="edit" aspectratio="f"/>
              <v:textbox>
                <w:txbxContent>
                  <w:p w14:paraId="4102CB17">
                    <w:pPr>
                      <w:rPr>
                        <w:rFonts w:hint="default" w:eastAsia="宋体"/>
                        <w:b/>
                        <w:bCs/>
                        <w:sz w:val="15"/>
                        <w:szCs w:val="15"/>
                        <w:highlight w:val="yellow"/>
                        <w:lang w:val="en-US" w:eastAsia="zh-CN"/>
                      </w:rPr>
                    </w:pPr>
                    <w:r>
                      <w:rPr>
                        <w:rFonts w:hint="eastAsia"/>
                        <w:b/>
                        <w:bCs/>
                        <w:sz w:val="15"/>
                        <w:szCs w:val="15"/>
                        <w:highlight w:val="yellow"/>
                        <w:lang w:val="en-US" w:eastAsia="zh-CN"/>
                      </w:rPr>
                      <w:t>DA005</w:t>
                    </w:r>
                  </w:p>
                </w:txbxContent>
              </v:textbox>
            </v:shape>
            <v:shape id="_x0000_s2206" o:spid="_x0000_s2206" o:spt="202" type="#_x0000_t202" style="position:absolute;left:10522;top:624158;height:392;width:1548;" filled="f" stroked="f" coordsize="21600,21600">
              <v:path/>
              <v:fill on="f" focussize="0,0"/>
              <v:stroke on="f"/>
              <v:imagedata o:title=""/>
              <o:lock v:ext="edit" aspectratio="f"/>
              <v:textbox>
                <w:txbxContent>
                  <w:p w14:paraId="21C87129">
                    <w:pPr>
                      <w:jc w:val="center"/>
                      <w:rPr>
                        <w:rFonts w:hint="default" w:eastAsia="宋体"/>
                        <w:b/>
                        <w:bCs/>
                        <w:sz w:val="15"/>
                        <w:szCs w:val="15"/>
                        <w:highlight w:val="yellow"/>
                        <w:lang w:val="en-US" w:eastAsia="zh-CN"/>
                      </w:rPr>
                    </w:pPr>
                    <w:r>
                      <w:rPr>
                        <w:rFonts w:hint="eastAsia"/>
                        <w:b/>
                        <w:bCs/>
                        <w:sz w:val="15"/>
                        <w:szCs w:val="15"/>
                        <w:highlight w:val="yellow"/>
                        <w:lang w:val="en-US" w:eastAsia="zh-CN"/>
                      </w:rPr>
                      <w:t>沉淀水池30m</w:t>
                    </w:r>
                    <w:r>
                      <w:rPr>
                        <w:rFonts w:hint="eastAsia"/>
                        <w:b/>
                        <w:bCs/>
                        <w:sz w:val="15"/>
                        <w:szCs w:val="15"/>
                        <w:highlight w:val="yellow"/>
                        <w:vertAlign w:val="superscript"/>
                        <w:lang w:val="en-US" w:eastAsia="zh-CN"/>
                      </w:rPr>
                      <w:t>3</w:t>
                    </w:r>
                  </w:p>
                </w:txbxContent>
              </v:textbox>
            </v:shape>
            <v:rect id="_x0000_s2207" o:spid="_x0000_s2207" o:spt="1" style="position:absolute;left:15136;top:629307;height:186;width:347;" fillcolor="#FFFFFF" filled="t" stroked="t" coordsize="21600,21600">
              <v:path/>
              <v:fill on="t" color2="#FFFFFF" focussize="0,0"/>
              <v:stroke color="#000000" joinstyle="miter"/>
              <v:imagedata o:title=""/>
              <o:lock v:ext="edit" aspectratio="f"/>
            </v:rect>
            <v:shape id="_x0000_s2208" o:spid="_x0000_s2208" o:spt="202" type="#_x0000_t202" style="position:absolute;left:14398;top:629501;height:392;width:1548;" filled="f" stroked="f" coordsize="21600,21600">
              <v:path/>
              <v:fill on="f" focussize="0,0"/>
              <v:stroke on="f"/>
              <v:imagedata o:title=""/>
              <o:lock v:ext="edit" aspectratio="f"/>
              <v:textbox>
                <w:txbxContent>
                  <w:p w14:paraId="3FD0EE4A">
                    <w:pPr>
                      <w:jc w:val="center"/>
                      <w:rPr>
                        <w:rFonts w:hint="default" w:eastAsia="宋体"/>
                        <w:b/>
                        <w:bCs/>
                        <w:sz w:val="15"/>
                        <w:szCs w:val="15"/>
                        <w:highlight w:val="yellow"/>
                        <w:lang w:val="en-US" w:eastAsia="zh-CN"/>
                      </w:rPr>
                    </w:pPr>
                    <w:r>
                      <w:rPr>
                        <w:rFonts w:hint="eastAsia"/>
                        <w:b/>
                        <w:bCs/>
                        <w:sz w:val="15"/>
                        <w:szCs w:val="15"/>
                        <w:highlight w:val="yellow"/>
                        <w:lang w:val="en-US" w:eastAsia="zh-CN"/>
                      </w:rPr>
                      <w:t>化粪池50m</w:t>
                    </w:r>
                    <w:r>
                      <w:rPr>
                        <w:rFonts w:hint="eastAsia"/>
                        <w:b/>
                        <w:bCs/>
                        <w:sz w:val="15"/>
                        <w:szCs w:val="15"/>
                        <w:highlight w:val="yellow"/>
                        <w:vertAlign w:val="superscript"/>
                        <w:lang w:val="en-US" w:eastAsia="zh-CN"/>
                      </w:rPr>
                      <w:t>3</w:t>
                    </w:r>
                  </w:p>
                </w:txbxContent>
              </v:textbox>
            </v:shape>
            <v:rect id="_x0000_s2209" o:spid="_x0000_s2209" o:spt="1" style="position:absolute;left:9967;top:629480;height:186;width:347;" fillcolor="#FFFFFF" filled="t" stroked="t" coordsize="21600,21600">
              <v:path/>
              <v:fill on="t" color2="#FFFFFF" focussize="0,0"/>
              <v:stroke color="#000000" joinstyle="miter"/>
              <v:imagedata o:title=""/>
              <o:lock v:ext="edit" aspectratio="f"/>
            </v:rect>
            <v:shape id="_x0000_s2210" o:spid="_x0000_s2210" o:spt="202" type="#_x0000_t202" style="position:absolute;left:9229;top:629674;height:455;width:1548;" filled="f" stroked="f" coordsize="21600,21600">
              <v:path/>
              <v:fill on="f" focussize="0,0"/>
              <v:stroke on="f"/>
              <v:imagedata o:title=""/>
              <o:lock v:ext="edit" aspectratio="f"/>
              <v:textbox>
                <w:txbxContent>
                  <w:p w14:paraId="3D2683AB">
                    <w:pPr>
                      <w:jc w:val="center"/>
                      <w:rPr>
                        <w:rFonts w:hint="default" w:eastAsia="宋体"/>
                        <w:b/>
                        <w:bCs/>
                        <w:sz w:val="15"/>
                        <w:szCs w:val="15"/>
                        <w:highlight w:val="yellow"/>
                        <w:lang w:val="en-US" w:eastAsia="zh-CN"/>
                      </w:rPr>
                    </w:pPr>
                    <w:r>
                      <w:rPr>
                        <w:rFonts w:hint="eastAsia"/>
                        <w:b/>
                        <w:bCs/>
                        <w:sz w:val="15"/>
                        <w:szCs w:val="15"/>
                        <w:highlight w:val="yellow"/>
                        <w:lang w:val="en-US" w:eastAsia="zh-CN"/>
                      </w:rPr>
                      <w:t>初期雨水收集池100m</w:t>
                    </w:r>
                    <w:r>
                      <w:rPr>
                        <w:rFonts w:hint="eastAsia"/>
                        <w:b/>
                        <w:bCs/>
                        <w:sz w:val="15"/>
                        <w:szCs w:val="15"/>
                        <w:highlight w:val="yellow"/>
                        <w:vertAlign w:val="superscript"/>
                        <w:lang w:val="en-US" w:eastAsia="zh-CN"/>
                      </w:rPr>
                      <w:t>3</w:t>
                    </w:r>
                  </w:p>
                </w:txbxContent>
              </v:textbox>
            </v:shape>
            <v:shape id="_x0000_s2211" o:spid="_x0000_s2211" o:spt="202" type="#_x0000_t202" style="position:absolute;left:9741;top:628250;height:392;width:821;" filled="f" stroked="f" coordsize="21600,21600">
              <v:path/>
              <v:fill on="f" focussize="0,0"/>
              <v:stroke on="f"/>
              <v:imagedata o:title=""/>
              <o:lock v:ext="edit" aspectratio="f"/>
              <v:textbox>
                <w:txbxContent>
                  <w:p w14:paraId="29A508E0">
                    <w:pPr>
                      <w:rPr>
                        <w:rFonts w:hint="default" w:eastAsia="宋体"/>
                        <w:b/>
                        <w:bCs/>
                        <w:sz w:val="15"/>
                        <w:szCs w:val="15"/>
                        <w:highlight w:val="yellow"/>
                        <w:lang w:val="en-US" w:eastAsia="zh-CN"/>
                      </w:rPr>
                    </w:pPr>
                    <w:r>
                      <w:rPr>
                        <w:rFonts w:hint="eastAsia"/>
                        <w:b/>
                        <w:bCs/>
                        <w:sz w:val="15"/>
                        <w:szCs w:val="15"/>
                        <w:highlight w:val="yellow"/>
                        <w:lang w:val="en-US" w:eastAsia="zh-CN"/>
                      </w:rPr>
                      <w:t>DA004</w:t>
                    </w:r>
                  </w:p>
                </w:txbxContent>
              </v:textbox>
            </v:shape>
            <v:rect id="_x0000_s2398" o:spid="_x0000_s2398" o:spt="1" style="position:absolute;left:9983;top:627413;height:186;width:347;" fillcolor="#FFFFFF" filled="t" stroked="t" coordsize="21600,21600">
              <v:path/>
              <v:fill on="t" color2="#FFFFFF" focussize="0,0"/>
              <v:stroke color="#000000" joinstyle="miter"/>
              <v:imagedata o:title=""/>
              <o:lock v:ext="edit" aspectratio="f"/>
            </v:rect>
            <v:shape id="_x0000_s2399" o:spid="_x0000_s2399" o:spt="202" type="#_x0000_t202" style="position:absolute;left:9429;top:627541;height:572;width:1548;" filled="f" stroked="f" coordsize="21600,21600">
              <v:path/>
              <v:fill on="f" focussize="0,0"/>
              <v:stroke on="f"/>
              <v:imagedata o:title=""/>
              <o:lock v:ext="edit" aspectratio="f"/>
              <v:textbox>
                <w:txbxContent>
                  <w:p w14:paraId="6A0ACB36">
                    <w:pPr>
                      <w:jc w:val="center"/>
                      <w:rPr>
                        <w:rFonts w:hint="default" w:eastAsia="宋体"/>
                        <w:b/>
                        <w:bCs/>
                        <w:sz w:val="15"/>
                        <w:szCs w:val="15"/>
                        <w:highlight w:val="yellow"/>
                        <w:lang w:val="en-US" w:eastAsia="zh-CN"/>
                      </w:rPr>
                    </w:pPr>
                    <w:r>
                      <w:rPr>
                        <w:rFonts w:hint="eastAsia"/>
                        <w:b/>
                        <w:bCs/>
                        <w:sz w:val="15"/>
                        <w:szCs w:val="15"/>
                        <w:highlight w:val="yellow"/>
                        <w:lang w:val="en-US" w:eastAsia="zh-CN"/>
                      </w:rPr>
                      <w:t>危险废物贮存库20m</w:t>
                    </w:r>
                    <w:r>
                      <w:rPr>
                        <w:rFonts w:hint="eastAsia"/>
                        <w:b/>
                        <w:bCs/>
                        <w:sz w:val="15"/>
                        <w:szCs w:val="15"/>
                        <w:highlight w:val="yellow"/>
                        <w:vertAlign w:val="superscript"/>
                        <w:lang w:val="en-US" w:eastAsia="zh-CN"/>
                      </w:rPr>
                      <w:t>2</w:t>
                    </w:r>
                  </w:p>
                </w:txbxContent>
              </v:textbox>
            </v:shape>
          </v:group>
        </w:pict>
      </w:r>
    </w:p>
    <w:p w14:paraId="1F06E0E8">
      <w:pPr>
        <w:rPr>
          <w:color w:val="auto"/>
        </w:rPr>
      </w:pPr>
    </w:p>
    <w:p w14:paraId="200D155F">
      <w:pPr>
        <w:rPr>
          <w:color w:val="auto"/>
        </w:rPr>
      </w:pPr>
    </w:p>
    <w:p w14:paraId="21C62F31">
      <w:pPr>
        <w:rPr>
          <w:color w:val="auto"/>
        </w:rPr>
      </w:pPr>
    </w:p>
    <w:p w14:paraId="56B69909">
      <w:pPr>
        <w:rPr>
          <w:color w:val="auto"/>
        </w:rPr>
      </w:pPr>
    </w:p>
    <w:p w14:paraId="184A1671">
      <w:pPr>
        <w:rPr>
          <w:color w:val="auto"/>
        </w:rPr>
      </w:pPr>
    </w:p>
    <w:p w14:paraId="02A0A3A1">
      <w:pPr>
        <w:rPr>
          <w:color w:val="auto"/>
        </w:rPr>
      </w:pPr>
    </w:p>
    <w:p w14:paraId="0E70F478">
      <w:pPr>
        <w:rPr>
          <w:color w:val="auto"/>
        </w:rPr>
      </w:pPr>
    </w:p>
    <w:p w14:paraId="3D8C026B">
      <w:pPr>
        <w:rPr>
          <w:color w:val="auto"/>
        </w:rPr>
      </w:pPr>
    </w:p>
    <w:p w14:paraId="7750C09C">
      <w:pPr>
        <w:rPr>
          <w:color w:val="auto"/>
        </w:rPr>
      </w:pPr>
    </w:p>
    <w:p w14:paraId="2E3F1D97">
      <w:pPr>
        <w:rPr>
          <w:color w:val="auto"/>
        </w:rPr>
      </w:pPr>
    </w:p>
    <w:p w14:paraId="49689E16">
      <w:pPr>
        <w:rPr>
          <w:color w:val="auto"/>
        </w:rPr>
      </w:pPr>
    </w:p>
    <w:p w14:paraId="525F16E0">
      <w:pPr>
        <w:rPr>
          <w:color w:val="auto"/>
        </w:rPr>
      </w:pPr>
    </w:p>
    <w:p w14:paraId="0EDB2161">
      <w:pPr>
        <w:rPr>
          <w:color w:val="auto"/>
        </w:rPr>
      </w:pPr>
    </w:p>
    <w:p w14:paraId="54E68EDE">
      <w:pPr>
        <w:rPr>
          <w:color w:val="auto"/>
        </w:rPr>
      </w:pPr>
    </w:p>
    <w:p w14:paraId="565EB078">
      <w:pPr>
        <w:rPr>
          <w:color w:val="auto"/>
        </w:rPr>
      </w:pPr>
    </w:p>
    <w:p w14:paraId="0F3B22A3">
      <w:pPr>
        <w:rPr>
          <w:color w:val="auto"/>
        </w:rPr>
      </w:pPr>
    </w:p>
    <w:p w14:paraId="0098CDCB">
      <w:pPr>
        <w:rPr>
          <w:color w:val="auto"/>
        </w:rPr>
      </w:pPr>
    </w:p>
    <w:p w14:paraId="1AD091A2">
      <w:pPr>
        <w:rPr>
          <w:color w:val="auto"/>
        </w:rPr>
      </w:pPr>
    </w:p>
    <w:p w14:paraId="0566A9CE">
      <w:pPr>
        <w:rPr>
          <w:color w:val="auto"/>
        </w:rPr>
      </w:pPr>
    </w:p>
    <w:p w14:paraId="46048809">
      <w:pPr>
        <w:rPr>
          <w:color w:val="auto"/>
        </w:rPr>
      </w:pPr>
    </w:p>
    <w:p w14:paraId="2BF9E019">
      <w:pPr>
        <w:rPr>
          <w:color w:val="auto"/>
        </w:rPr>
      </w:pPr>
    </w:p>
    <w:p w14:paraId="3D619A87">
      <w:pPr>
        <w:rPr>
          <w:color w:val="auto"/>
        </w:rPr>
      </w:pPr>
    </w:p>
    <w:p w14:paraId="7A3F60A5">
      <w:pPr>
        <w:rPr>
          <w:color w:val="auto"/>
        </w:rPr>
      </w:pPr>
    </w:p>
    <w:p w14:paraId="2E4460DF">
      <w:pPr>
        <w:rPr>
          <w:color w:val="auto"/>
        </w:rPr>
      </w:pPr>
    </w:p>
    <w:p w14:paraId="42EFE6FD">
      <w:pPr>
        <w:rPr>
          <w:color w:val="auto"/>
        </w:rPr>
      </w:pPr>
    </w:p>
    <w:p w14:paraId="4BE5E8BB">
      <w:pPr>
        <w:rPr>
          <w:color w:val="auto"/>
        </w:rPr>
      </w:pPr>
    </w:p>
    <w:p w14:paraId="0AE512FA">
      <w:pPr>
        <w:rPr>
          <w:color w:val="auto"/>
        </w:rPr>
      </w:pPr>
    </w:p>
    <w:p w14:paraId="0E93350A">
      <w:pPr>
        <w:rPr>
          <w:color w:val="auto"/>
        </w:rPr>
      </w:pPr>
    </w:p>
    <w:p w14:paraId="21A68FF6">
      <w:pPr>
        <w:rPr>
          <w:color w:val="auto"/>
        </w:rPr>
      </w:pPr>
    </w:p>
    <w:p w14:paraId="57A27BA7">
      <w:pPr>
        <w:rPr>
          <w:color w:val="auto"/>
        </w:rPr>
      </w:pPr>
    </w:p>
    <w:p w14:paraId="723C85CE">
      <w:pPr>
        <w:rPr>
          <w:color w:val="auto"/>
        </w:rPr>
      </w:pPr>
    </w:p>
    <w:p w14:paraId="0C61A2A2">
      <w:pPr>
        <w:rPr>
          <w:color w:val="auto"/>
        </w:rPr>
      </w:pPr>
    </w:p>
    <w:p w14:paraId="1A5D1B8B">
      <w:pPr>
        <w:rPr>
          <w:color w:val="auto"/>
        </w:rPr>
      </w:pPr>
    </w:p>
    <w:p w14:paraId="0A316C2C">
      <w:pPr>
        <w:rPr>
          <w:color w:val="auto"/>
        </w:rPr>
      </w:pPr>
    </w:p>
    <w:p w14:paraId="4C470532">
      <w:pPr>
        <w:rPr>
          <w:color w:val="auto"/>
        </w:rPr>
      </w:pPr>
    </w:p>
    <w:p w14:paraId="4684A130">
      <w:pPr>
        <w:rPr>
          <w:color w:val="auto"/>
        </w:rPr>
      </w:pPr>
    </w:p>
    <w:p w14:paraId="346473AD">
      <w:pPr>
        <w:rPr>
          <w:color w:val="auto"/>
        </w:rPr>
      </w:pPr>
    </w:p>
    <w:p w14:paraId="59DC987A">
      <w:pPr>
        <w:rPr>
          <w:color w:val="auto"/>
        </w:rPr>
      </w:pPr>
    </w:p>
    <w:p w14:paraId="5A7F9AA2">
      <w:pPr>
        <w:rPr>
          <w:color w:val="auto"/>
        </w:rPr>
      </w:pPr>
    </w:p>
    <w:p w14:paraId="186290BC">
      <w:pPr>
        <w:rPr>
          <w:color w:val="auto"/>
        </w:rPr>
      </w:pPr>
    </w:p>
    <w:p w14:paraId="4E891217">
      <w:pPr>
        <w:rPr>
          <w:color w:val="auto"/>
        </w:rPr>
      </w:pPr>
    </w:p>
    <w:p w14:paraId="35FDBE7B">
      <w:pPr>
        <w:rPr>
          <w:color w:val="auto"/>
        </w:rPr>
      </w:pPr>
    </w:p>
    <w:p w14:paraId="02AB7F5C">
      <w:pPr>
        <w:rPr>
          <w:color w:val="auto"/>
        </w:rPr>
      </w:pPr>
    </w:p>
    <w:p w14:paraId="2647EE67">
      <w:pPr>
        <w:rPr>
          <w:color w:val="auto"/>
        </w:rPr>
      </w:pPr>
    </w:p>
    <w:p w14:paraId="1CDC1D33">
      <w:pPr>
        <w:rPr>
          <w:color w:val="auto"/>
        </w:rPr>
      </w:pPr>
    </w:p>
    <w:p w14:paraId="2E8D603E">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F3D42C0">
      <w:pPr>
        <w:rPr>
          <w:color w:val="auto"/>
        </w:rPr>
      </w:pPr>
      <w:r>
        <w:pict>
          <v:shape id="_x0000_s2214" o:spid="_x0000_s2214" o:spt="202" type="#_x0000_t202" style="position:absolute;left:0pt;margin-left:100.55pt;margin-top:-7.55pt;height:39.5pt;width:66.25pt;z-index:251674624;mso-width-relative:page;mso-height-relative:page;" filled="f" stroked="f" coordsize="21600,21600">
            <v:path/>
            <v:fill on="f" focussize="0,0"/>
            <v:stroke on="f" joinstyle="miter"/>
            <v:imagedata o:title=""/>
            <o:lock v:ext="edit"/>
            <v:textbox>
              <w:txbxContent>
                <w:p w14:paraId="11B5B8E2">
                  <w:pPr>
                    <w:rPr>
                      <w:b/>
                      <w:sz w:val="36"/>
                      <w:szCs w:val="36"/>
                    </w:rPr>
                  </w:pPr>
                  <w:r>
                    <w:rPr>
                      <w:b/>
                      <w:sz w:val="36"/>
                      <w:szCs w:val="36"/>
                    </w:rPr>
                    <w:t>附图</w:t>
                  </w:r>
                  <w:r>
                    <w:rPr>
                      <w:rFonts w:hint="eastAsia"/>
                      <w:b/>
                      <w:sz w:val="36"/>
                      <w:szCs w:val="36"/>
                    </w:rPr>
                    <w:t>3</w:t>
                  </w:r>
                </w:p>
              </w:txbxContent>
            </v:textbox>
          </v:shape>
        </w:pict>
      </w:r>
      <w:r>
        <w:drawing>
          <wp:anchor distT="0" distB="0" distL="114300" distR="114300" simplePos="0" relativeHeight="251672576" behindDoc="1" locked="0" layoutInCell="1" allowOverlap="1">
            <wp:simplePos x="0" y="0"/>
            <wp:positionH relativeFrom="column">
              <wp:posOffset>184150</wp:posOffset>
            </wp:positionH>
            <wp:positionV relativeFrom="paragraph">
              <wp:posOffset>-63500</wp:posOffset>
            </wp:positionV>
            <wp:extent cx="7654925" cy="5607685"/>
            <wp:effectExtent l="0" t="0" r="3175" b="12065"/>
            <wp:wrapNone/>
            <wp:docPr id="54"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5"/>
                    <pic:cNvPicPr>
                      <a:picLocks noChangeAspect="1"/>
                    </pic:cNvPicPr>
                  </pic:nvPicPr>
                  <pic:blipFill>
                    <a:blip r:embed="rId45"/>
                    <a:stretch>
                      <a:fillRect/>
                    </a:stretch>
                  </pic:blipFill>
                  <pic:spPr>
                    <a:xfrm>
                      <a:off x="0" y="0"/>
                      <a:ext cx="7654925" cy="5607685"/>
                    </a:xfrm>
                    <a:prstGeom prst="rect">
                      <a:avLst/>
                    </a:prstGeom>
                    <a:noFill/>
                    <a:ln>
                      <a:noFill/>
                    </a:ln>
                  </pic:spPr>
                </pic:pic>
              </a:graphicData>
            </a:graphic>
          </wp:anchor>
        </w:drawing>
      </w:r>
    </w:p>
    <w:p w14:paraId="389EC038">
      <w:pPr>
        <w:rPr>
          <w:color w:val="auto"/>
        </w:rPr>
      </w:pPr>
    </w:p>
    <w:p w14:paraId="6CA9829F">
      <w:pPr>
        <w:rPr>
          <w:color w:val="auto"/>
        </w:rPr>
      </w:pPr>
    </w:p>
    <w:p w14:paraId="0BEC2D6F">
      <w:pPr>
        <w:rPr>
          <w:color w:val="auto"/>
        </w:rPr>
      </w:pPr>
    </w:p>
    <w:p w14:paraId="0E49B3F0">
      <w:pPr>
        <w:rPr>
          <w:color w:val="auto"/>
        </w:rPr>
      </w:pPr>
    </w:p>
    <w:p w14:paraId="2CF04901">
      <w:pPr>
        <w:rPr>
          <w:color w:val="auto"/>
        </w:rPr>
      </w:pPr>
    </w:p>
    <w:p w14:paraId="2BB0FAEA">
      <w:pPr>
        <w:rPr>
          <w:color w:val="auto"/>
        </w:rPr>
      </w:pPr>
    </w:p>
    <w:p w14:paraId="177052A0">
      <w:pPr>
        <w:rPr>
          <w:color w:val="auto"/>
        </w:rPr>
      </w:pPr>
      <w:r>
        <w:pict>
          <v:group id="_x0000_s2215" o:spid="_x0000_s2215" o:spt="203" style="position:absolute;left:0pt;margin-left:148.25pt;margin-top:5.3pt;height:97.25pt;width:94.95pt;z-index:251675648;mso-width-relative:page;mso-height-relative:page;" coordorigin="3378,3627" coordsize="1899,1945">
            <o:lock v:ext="edit"/>
            <v:rect id="_x0000_s2216" o:spid="_x0000_s2216" o:spt="1" style="position:absolute;left:5249;top:5544;height:28;width:28;" filled="f" stroked="t" coordsize="21600,21600">
              <v:path/>
              <v:fill on="f" focussize="0,0"/>
              <v:stroke color="#FF0000"/>
              <v:imagedata o:title=""/>
              <o:lock v:ext="edit"/>
            </v:rect>
            <v:shape id="_x0000_s2217" o:spid="_x0000_s2217" o:spt="61" type="#_x0000_t61" style="position:absolute;left:3378;top:3627;height:416;width:1339;" coordsize="21600,21600" adj="30472,100160">
              <v:path/>
              <v:fill focussize="0,0"/>
              <v:stroke joinstyle="miter"/>
              <v:imagedata o:title=""/>
              <o:lock v:ext="edit"/>
              <v:textbox>
                <w:txbxContent>
                  <w:p w14:paraId="32BB0CF2">
                    <w:pPr>
                      <w:jc w:val="center"/>
                    </w:pPr>
                    <w:r>
                      <w:t>项目位置</w:t>
                    </w:r>
                  </w:p>
                </w:txbxContent>
              </v:textbox>
            </v:shape>
          </v:group>
        </w:pict>
      </w:r>
    </w:p>
    <w:p w14:paraId="38E46A0B">
      <w:pPr>
        <w:rPr>
          <w:color w:val="auto"/>
        </w:rPr>
      </w:pPr>
    </w:p>
    <w:p w14:paraId="02E6489A">
      <w:pPr>
        <w:rPr>
          <w:color w:val="auto"/>
        </w:rPr>
      </w:pPr>
    </w:p>
    <w:p w14:paraId="33DF1ECE">
      <w:pPr>
        <w:rPr>
          <w:color w:val="auto"/>
        </w:rPr>
      </w:pPr>
    </w:p>
    <w:p w14:paraId="1A6BACD5">
      <w:pPr>
        <w:rPr>
          <w:color w:val="auto"/>
        </w:rPr>
      </w:pPr>
    </w:p>
    <w:p w14:paraId="361B361F">
      <w:pPr>
        <w:rPr>
          <w:color w:val="auto"/>
        </w:rPr>
      </w:pPr>
    </w:p>
    <w:p w14:paraId="4B2F1F9C">
      <w:pPr>
        <w:rPr>
          <w:color w:val="auto"/>
        </w:rPr>
      </w:pPr>
    </w:p>
    <w:p w14:paraId="49004140">
      <w:pPr>
        <w:rPr>
          <w:color w:val="auto"/>
        </w:rPr>
      </w:pPr>
    </w:p>
    <w:p w14:paraId="46AF43B6">
      <w:pPr>
        <w:rPr>
          <w:color w:val="auto"/>
        </w:rPr>
      </w:pPr>
    </w:p>
    <w:p w14:paraId="6AFC81C7">
      <w:pPr>
        <w:rPr>
          <w:color w:val="auto"/>
        </w:rPr>
      </w:pPr>
    </w:p>
    <w:p w14:paraId="7622070B">
      <w:pPr>
        <w:rPr>
          <w:color w:val="auto"/>
        </w:rPr>
      </w:pPr>
    </w:p>
    <w:p w14:paraId="6A7BE49E">
      <w:pPr>
        <w:rPr>
          <w:color w:val="auto"/>
        </w:rPr>
      </w:pPr>
    </w:p>
    <w:p w14:paraId="15555F4B">
      <w:pPr>
        <w:rPr>
          <w:color w:val="auto"/>
        </w:rPr>
      </w:pPr>
    </w:p>
    <w:p w14:paraId="35DF63EE">
      <w:pPr>
        <w:rPr>
          <w:color w:val="auto"/>
        </w:rPr>
      </w:pPr>
    </w:p>
    <w:p w14:paraId="59E60430">
      <w:pPr>
        <w:rPr>
          <w:color w:val="auto"/>
        </w:rPr>
      </w:pPr>
    </w:p>
    <w:p w14:paraId="00634209">
      <w:pPr>
        <w:rPr>
          <w:color w:val="auto"/>
        </w:rPr>
      </w:pPr>
    </w:p>
    <w:p w14:paraId="20E4D216">
      <w:pPr>
        <w:rPr>
          <w:color w:val="auto"/>
        </w:rPr>
      </w:pPr>
    </w:p>
    <w:p w14:paraId="3D7CE693">
      <w:pPr>
        <w:rPr>
          <w:color w:val="auto"/>
        </w:rPr>
      </w:pPr>
    </w:p>
    <w:p w14:paraId="0D953B36">
      <w:pPr>
        <w:rPr>
          <w:color w:val="auto"/>
        </w:rPr>
      </w:pPr>
    </w:p>
    <w:p w14:paraId="0DB8192B">
      <w:pPr>
        <w:rPr>
          <w:color w:val="auto"/>
        </w:rPr>
      </w:pPr>
    </w:p>
    <w:p w14:paraId="2A877DF1">
      <w:pPr>
        <w:rPr>
          <w:color w:val="auto"/>
        </w:rPr>
      </w:pPr>
    </w:p>
    <w:p w14:paraId="41FB08F3">
      <w:pPr>
        <w:rPr>
          <w:color w:val="auto"/>
        </w:rPr>
      </w:pPr>
    </w:p>
    <w:p w14:paraId="01C46DCF">
      <w:pPr>
        <w:rPr>
          <w:color w:val="auto"/>
        </w:rPr>
      </w:pPr>
    </w:p>
    <w:p w14:paraId="591B2360">
      <w:pPr>
        <w:rPr>
          <w:color w:val="auto"/>
        </w:rPr>
      </w:pPr>
    </w:p>
    <w:p w14:paraId="0E94AE18">
      <w:pPr>
        <w:rPr>
          <w:color w:val="auto"/>
        </w:rPr>
      </w:pPr>
    </w:p>
    <w:p w14:paraId="60FFF265">
      <w:pPr>
        <w:rPr>
          <w:color w:val="auto"/>
        </w:rPr>
      </w:pPr>
    </w:p>
    <w:p w14:paraId="63D73973">
      <w:pPr>
        <w:rPr>
          <w:color w:val="auto"/>
        </w:rPr>
      </w:pPr>
    </w:p>
    <w:p w14:paraId="08EEBA48">
      <w:pPr>
        <w:rPr>
          <w:color w:val="auto"/>
        </w:rPr>
      </w:pPr>
    </w:p>
    <w:p w14:paraId="48A598B8">
      <w:pPr>
        <w:rPr>
          <w:color w:val="auto"/>
        </w:rPr>
      </w:pPr>
    </w:p>
    <w:p w14:paraId="5760227D">
      <w:pPr>
        <w:rPr>
          <w:color w:val="auto"/>
        </w:rPr>
      </w:pPr>
      <w:r>
        <w:drawing>
          <wp:anchor distT="0" distB="0" distL="0" distR="0" simplePos="0" relativeHeight="251679744" behindDoc="1" locked="0" layoutInCell="1" allowOverlap="1">
            <wp:simplePos x="0" y="0"/>
            <wp:positionH relativeFrom="column">
              <wp:posOffset>95250</wp:posOffset>
            </wp:positionH>
            <wp:positionV relativeFrom="paragraph">
              <wp:posOffset>-217170</wp:posOffset>
            </wp:positionV>
            <wp:extent cx="7644765" cy="5403850"/>
            <wp:effectExtent l="0" t="0" r="13335" b="6350"/>
            <wp:wrapNone/>
            <wp:docPr id="55" name="图片 149" descr="03 装备制造基地 - 空间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9" descr="03 装备制造基地 - 空间结构图"/>
                    <pic:cNvPicPr>
                      <a:picLocks noChangeAspect="1" noChangeArrowheads="1"/>
                    </pic:cNvPicPr>
                  </pic:nvPicPr>
                  <pic:blipFill>
                    <a:blip r:embed="rId46" cstate="print"/>
                    <a:srcRect/>
                    <a:stretch>
                      <a:fillRect/>
                    </a:stretch>
                  </pic:blipFill>
                  <pic:spPr>
                    <a:xfrm>
                      <a:off x="0" y="0"/>
                      <a:ext cx="7647054" cy="5405149"/>
                    </a:xfrm>
                    <a:prstGeom prst="rect">
                      <a:avLst/>
                    </a:prstGeom>
                    <a:noFill/>
                    <a:ln w="9525" cmpd="sng">
                      <a:noFill/>
                      <a:miter lim="800000"/>
                      <a:headEnd/>
                      <a:tailEnd/>
                    </a:ln>
                  </pic:spPr>
                </pic:pic>
              </a:graphicData>
            </a:graphic>
          </wp:anchor>
        </w:drawing>
      </w:r>
    </w:p>
    <w:p w14:paraId="2CE374C3">
      <w:pPr>
        <w:rPr>
          <w:rFonts w:hint="eastAsia"/>
          <w:b/>
          <w:bCs/>
          <w:sz w:val="24"/>
        </w:rPr>
      </w:pPr>
    </w:p>
    <w:p w14:paraId="23727EB1">
      <w:pPr>
        <w:rPr>
          <w:rFonts w:hint="eastAsia"/>
          <w:b/>
          <w:bCs/>
          <w:sz w:val="24"/>
        </w:rPr>
      </w:pPr>
    </w:p>
    <w:p w14:paraId="0E50B529">
      <w:pPr>
        <w:rPr>
          <w:rFonts w:hint="eastAsia"/>
          <w:b/>
          <w:bCs/>
          <w:sz w:val="24"/>
        </w:rPr>
      </w:pPr>
    </w:p>
    <w:p w14:paraId="087D9B2B">
      <w:pPr>
        <w:rPr>
          <w:rFonts w:hint="eastAsia"/>
          <w:b/>
          <w:bCs/>
          <w:sz w:val="24"/>
        </w:rPr>
      </w:pPr>
    </w:p>
    <w:p w14:paraId="6F59B6DF">
      <w:pPr>
        <w:rPr>
          <w:rFonts w:hint="eastAsia"/>
          <w:b/>
          <w:bCs/>
          <w:sz w:val="24"/>
        </w:rPr>
      </w:pPr>
    </w:p>
    <w:p w14:paraId="3F1D4377">
      <w:pPr>
        <w:rPr>
          <w:rFonts w:hint="eastAsia"/>
          <w:b/>
          <w:bCs/>
          <w:sz w:val="24"/>
        </w:rPr>
      </w:pPr>
    </w:p>
    <w:p w14:paraId="18E5F2AC">
      <w:pPr>
        <w:rPr>
          <w:rFonts w:hint="eastAsia"/>
          <w:b/>
          <w:bCs/>
          <w:sz w:val="24"/>
        </w:rPr>
      </w:pPr>
    </w:p>
    <w:p w14:paraId="428F0D40">
      <w:pPr>
        <w:rPr>
          <w:rFonts w:hint="eastAsia"/>
          <w:b/>
          <w:bCs/>
          <w:sz w:val="24"/>
        </w:rPr>
      </w:pPr>
    </w:p>
    <w:p w14:paraId="5D892B00">
      <w:pPr>
        <w:rPr>
          <w:rFonts w:hint="eastAsia"/>
          <w:b/>
          <w:bCs/>
          <w:sz w:val="24"/>
        </w:rPr>
      </w:pPr>
    </w:p>
    <w:p w14:paraId="1E558FF2">
      <w:pPr>
        <w:rPr>
          <w:rFonts w:hint="eastAsia"/>
          <w:b/>
          <w:bCs/>
          <w:sz w:val="24"/>
        </w:rPr>
      </w:pPr>
    </w:p>
    <w:p w14:paraId="30CF6B2B">
      <w:pPr>
        <w:rPr>
          <w:rFonts w:hint="eastAsia"/>
          <w:b/>
          <w:bCs/>
          <w:sz w:val="24"/>
        </w:rPr>
      </w:pPr>
    </w:p>
    <w:p w14:paraId="54DEA9D0">
      <w:pPr>
        <w:rPr>
          <w:rFonts w:hint="eastAsia"/>
          <w:b/>
          <w:bCs/>
          <w:sz w:val="24"/>
        </w:rPr>
      </w:pPr>
    </w:p>
    <w:p w14:paraId="18CB8E7B">
      <w:pPr>
        <w:rPr>
          <w:rFonts w:hint="eastAsia"/>
          <w:b/>
          <w:bCs/>
          <w:sz w:val="24"/>
        </w:rPr>
      </w:pPr>
    </w:p>
    <w:p w14:paraId="3CD4B924">
      <w:pPr>
        <w:rPr>
          <w:rFonts w:hint="eastAsia"/>
          <w:b/>
          <w:bCs/>
          <w:sz w:val="24"/>
        </w:rPr>
      </w:pPr>
    </w:p>
    <w:p w14:paraId="00358F2C">
      <w:pPr>
        <w:rPr>
          <w:rFonts w:hint="eastAsia"/>
          <w:b/>
          <w:bCs/>
          <w:sz w:val="24"/>
        </w:rPr>
      </w:pPr>
    </w:p>
    <w:p w14:paraId="3A0CDFF2">
      <w:pPr>
        <w:rPr>
          <w:rFonts w:hint="eastAsia"/>
          <w:b/>
          <w:bCs/>
          <w:sz w:val="24"/>
        </w:rPr>
      </w:pPr>
    </w:p>
    <w:p w14:paraId="77EC8BE3">
      <w:pPr>
        <w:rPr>
          <w:rFonts w:hint="eastAsia"/>
          <w:b/>
          <w:bCs/>
          <w:sz w:val="24"/>
        </w:rPr>
      </w:pPr>
    </w:p>
    <w:p w14:paraId="450B07F4">
      <w:pPr>
        <w:rPr>
          <w:rFonts w:hint="eastAsia"/>
          <w:b/>
          <w:bCs/>
          <w:sz w:val="24"/>
        </w:rPr>
      </w:pPr>
    </w:p>
    <w:p w14:paraId="195DF6DB">
      <w:pPr>
        <w:rPr>
          <w:rFonts w:hint="eastAsia"/>
          <w:b/>
          <w:bCs/>
          <w:sz w:val="24"/>
        </w:rPr>
      </w:pPr>
    </w:p>
    <w:p w14:paraId="15FAEB6F">
      <w:pPr>
        <w:rPr>
          <w:rFonts w:hint="eastAsia"/>
          <w:b/>
          <w:bCs/>
          <w:sz w:val="24"/>
        </w:rPr>
      </w:pPr>
      <w:r>
        <w:pict>
          <v:group id="_x0000_s2218" o:spid="_x0000_s2218" o:spt="203" style="position:absolute;left:0pt;margin-left:126.95pt;margin-top:2.35pt;height:68.05pt;width:129.75pt;z-index:251676672;mso-width-relative:page;mso-height-relative:page;" coordorigin="4847,7368" coordsize="2595,1361">
            <o:lock v:ext="edit"/>
            <v:shape id="_x0000_s2219" o:spid="_x0000_s2219" o:spt="202" type="#_x0000_t202" style="position:absolute;left:7269;top:7368;height:301;width:173;" filled="f" stroked="t" coordsize="21600,21600">
              <v:path/>
              <v:fill on="f" focussize="0,0"/>
              <v:stroke color="#FF0000" joinstyle="miter"/>
              <v:imagedata o:title=""/>
              <o:lock v:ext="edit"/>
              <v:textbox>
                <w:txbxContent>
                  <w:p w14:paraId="0DBEAC5F"/>
                </w:txbxContent>
              </v:textbox>
            </v:shape>
            <v:shape id="_x0000_s2220" o:spid="_x0000_s2220" o:spt="61" type="#_x0000_t61" style="position:absolute;left:4847;top:8207;height:522;width:1580;" filled="f" coordsize="21600,21600" adj="31785,-24166">
              <v:path/>
              <v:fill on="f" focussize="0,0"/>
              <v:stroke joinstyle="miter"/>
              <v:imagedata o:title=""/>
              <o:lock v:ext="edit"/>
              <v:textbox>
                <w:txbxContent>
                  <w:p w14:paraId="6B039050">
                    <w:pPr>
                      <w:jc w:val="center"/>
                    </w:pPr>
                    <w:r>
                      <w:t>项目位置</w:t>
                    </w:r>
                  </w:p>
                </w:txbxContent>
              </v:textbox>
            </v:shape>
          </v:group>
        </w:pict>
      </w:r>
    </w:p>
    <w:p w14:paraId="1854755B">
      <w:pPr>
        <w:rPr>
          <w:rFonts w:hint="eastAsia"/>
          <w:b/>
          <w:bCs/>
          <w:sz w:val="24"/>
        </w:rPr>
      </w:pPr>
    </w:p>
    <w:p w14:paraId="084088EA">
      <w:pPr>
        <w:rPr>
          <w:rFonts w:hint="eastAsia"/>
          <w:b/>
          <w:bCs/>
          <w:sz w:val="24"/>
        </w:rPr>
      </w:pPr>
    </w:p>
    <w:p w14:paraId="7AC806E2">
      <w:pPr>
        <w:rPr>
          <w:rFonts w:hint="eastAsia"/>
          <w:b/>
          <w:bCs/>
          <w:sz w:val="24"/>
        </w:rPr>
      </w:pPr>
    </w:p>
    <w:p w14:paraId="38B26B5C">
      <w:pPr>
        <w:rPr>
          <w:rFonts w:hint="eastAsia"/>
          <w:b/>
          <w:bCs/>
          <w:sz w:val="24"/>
        </w:rPr>
      </w:pPr>
    </w:p>
    <w:p w14:paraId="14093D8E">
      <w:pPr>
        <w:rPr>
          <w:rFonts w:hint="eastAsia"/>
          <w:b/>
          <w:bCs/>
          <w:sz w:val="24"/>
        </w:rPr>
      </w:pPr>
    </w:p>
    <w:p w14:paraId="2C25823F">
      <w:pPr>
        <w:rPr>
          <w:rFonts w:hint="eastAsia"/>
          <w:b/>
          <w:bCs/>
          <w:sz w:val="24"/>
        </w:rPr>
      </w:pPr>
    </w:p>
    <w:p w14:paraId="3D80E7E2">
      <w:pPr>
        <w:rPr>
          <w:rFonts w:hint="eastAsia"/>
          <w:b/>
          <w:bCs/>
          <w:sz w:val="24"/>
        </w:rPr>
      </w:pPr>
    </w:p>
    <w:p w14:paraId="69595776">
      <w:pPr>
        <w:rPr>
          <w:rFonts w:hint="eastAsia"/>
          <w:b/>
          <w:bCs/>
          <w:sz w:val="24"/>
        </w:rPr>
      </w:pPr>
    </w:p>
    <w:p w14:paraId="68661142">
      <w:pPr>
        <w:rPr>
          <w:rFonts w:hint="eastAsia"/>
          <w:b/>
          <w:bCs/>
          <w:sz w:val="24"/>
        </w:rPr>
      </w:pPr>
    </w:p>
    <w:p w14:paraId="62C9BBAE">
      <w:pPr>
        <w:rPr>
          <w:rFonts w:hint="eastAsia"/>
          <w:b/>
          <w:bCs/>
          <w:sz w:val="24"/>
        </w:rPr>
      </w:pPr>
    </w:p>
    <w:p w14:paraId="76AA526A">
      <w:pPr>
        <w:jc w:val="center"/>
        <w:rPr>
          <w:rFonts w:hint="eastAsia" w:ascii="宋体" w:hAnsi="宋体" w:cs="宋体"/>
          <w:b/>
          <w:color w:val="000000"/>
          <w:kern w:val="0"/>
          <w:sz w:val="24"/>
        </w:rPr>
      </w:pPr>
      <w:r>
        <w:rPr>
          <w:rFonts w:hint="eastAsia"/>
          <w:b/>
          <w:bCs/>
          <w:sz w:val="24"/>
        </w:rPr>
        <w:t>附图</w:t>
      </w:r>
      <w:r>
        <w:rPr>
          <w:rFonts w:hint="eastAsia"/>
          <w:b/>
          <w:bCs/>
          <w:sz w:val="24"/>
          <w:lang w:val="en-US" w:eastAsia="zh-CN"/>
        </w:rPr>
        <w:t>4</w:t>
      </w:r>
      <w:r>
        <w:rPr>
          <w:rFonts w:hint="eastAsia"/>
          <w:b/>
          <w:bCs/>
          <w:sz w:val="24"/>
        </w:rPr>
        <w:t xml:space="preserve">    </w:t>
      </w:r>
      <w:r>
        <w:rPr>
          <w:rFonts w:hint="eastAsia" w:ascii="宋体" w:hAnsi="宋体" w:cs="宋体"/>
          <w:b/>
          <w:color w:val="000000"/>
          <w:kern w:val="0"/>
          <w:sz w:val="24"/>
        </w:rPr>
        <w:t>大同经济技术开发区起步区装备制造业基地总体规划图</w:t>
      </w:r>
    </w:p>
    <w:p w14:paraId="134BC7FD">
      <w:pPr>
        <w:jc w:val="center"/>
        <w:rPr>
          <w:rFonts w:hint="eastAsia" w:ascii="宋体" w:hAnsi="宋体" w:cs="宋体"/>
          <w:b/>
          <w:color w:val="000000"/>
          <w:kern w:val="0"/>
          <w:sz w:val="24"/>
        </w:rPr>
      </w:pPr>
      <w:r>
        <w:rPr>
          <w:rFonts w:hint="eastAsia"/>
        </w:rPr>
        <w:drawing>
          <wp:anchor distT="0" distB="0" distL="0" distR="0" simplePos="0" relativeHeight="251673600" behindDoc="1" locked="0" layoutInCell="1" allowOverlap="1">
            <wp:simplePos x="0" y="0"/>
            <wp:positionH relativeFrom="column">
              <wp:posOffset>605790</wp:posOffset>
            </wp:positionH>
            <wp:positionV relativeFrom="paragraph">
              <wp:posOffset>-156210</wp:posOffset>
            </wp:positionV>
            <wp:extent cx="7031355" cy="5186680"/>
            <wp:effectExtent l="0" t="0" r="17145" b="13970"/>
            <wp:wrapNone/>
            <wp:docPr id="57" name="图片 79" descr="168352942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9" descr="1683529428248"/>
                    <pic:cNvPicPr>
                      <a:picLocks noChangeAspect="1" noChangeArrowheads="1"/>
                    </pic:cNvPicPr>
                  </pic:nvPicPr>
                  <pic:blipFill>
                    <a:blip r:embed="rId47" cstate="print"/>
                    <a:srcRect/>
                    <a:stretch>
                      <a:fillRect/>
                    </a:stretch>
                  </pic:blipFill>
                  <pic:spPr>
                    <a:xfrm>
                      <a:off x="0" y="0"/>
                      <a:ext cx="7035004" cy="5189225"/>
                    </a:xfrm>
                    <a:prstGeom prst="rect">
                      <a:avLst/>
                    </a:prstGeom>
                    <a:noFill/>
                    <a:ln w="9525" cmpd="sng">
                      <a:noFill/>
                      <a:miter lim="800000"/>
                      <a:headEnd/>
                      <a:tailEnd/>
                    </a:ln>
                  </pic:spPr>
                </pic:pic>
              </a:graphicData>
            </a:graphic>
          </wp:anchor>
        </w:drawing>
      </w:r>
    </w:p>
    <w:p w14:paraId="1B12DA75">
      <w:pPr>
        <w:jc w:val="center"/>
        <w:rPr>
          <w:rFonts w:hint="eastAsia"/>
        </w:rPr>
      </w:pPr>
    </w:p>
    <w:p w14:paraId="301750A5">
      <w:pPr>
        <w:rPr>
          <w:rFonts w:hint="eastAsia"/>
          <w:b/>
          <w:bCs/>
          <w:sz w:val="24"/>
        </w:rPr>
      </w:pPr>
    </w:p>
    <w:p w14:paraId="63472C59">
      <w:pPr>
        <w:jc w:val="center"/>
        <w:rPr>
          <w:rFonts w:hint="eastAsia"/>
          <w:b/>
          <w:bCs/>
          <w:sz w:val="24"/>
        </w:rPr>
      </w:pPr>
    </w:p>
    <w:p w14:paraId="193CCAB8">
      <w:pPr>
        <w:jc w:val="center"/>
        <w:rPr>
          <w:rFonts w:hint="eastAsia"/>
          <w:b/>
          <w:bCs/>
          <w:sz w:val="24"/>
        </w:rPr>
      </w:pPr>
    </w:p>
    <w:p w14:paraId="4E42870E">
      <w:pPr>
        <w:jc w:val="center"/>
        <w:rPr>
          <w:rFonts w:hint="eastAsia"/>
          <w:b/>
          <w:bCs/>
          <w:sz w:val="24"/>
        </w:rPr>
      </w:pPr>
    </w:p>
    <w:p w14:paraId="2DAE39D5">
      <w:pPr>
        <w:jc w:val="center"/>
        <w:rPr>
          <w:rFonts w:hint="eastAsia"/>
          <w:b/>
          <w:bCs/>
          <w:sz w:val="24"/>
        </w:rPr>
      </w:pPr>
    </w:p>
    <w:p w14:paraId="4BE54EB2">
      <w:pPr>
        <w:jc w:val="center"/>
        <w:rPr>
          <w:rFonts w:hint="eastAsia"/>
          <w:b/>
          <w:bCs/>
          <w:sz w:val="24"/>
        </w:rPr>
      </w:pPr>
    </w:p>
    <w:p w14:paraId="228B411A">
      <w:pPr>
        <w:jc w:val="center"/>
        <w:rPr>
          <w:rFonts w:hint="eastAsia"/>
          <w:b/>
          <w:bCs/>
          <w:sz w:val="24"/>
        </w:rPr>
      </w:pPr>
    </w:p>
    <w:p w14:paraId="39E1FA20">
      <w:pPr>
        <w:jc w:val="center"/>
        <w:rPr>
          <w:rFonts w:hint="eastAsia"/>
          <w:b/>
          <w:bCs/>
          <w:sz w:val="24"/>
        </w:rPr>
      </w:pPr>
    </w:p>
    <w:p w14:paraId="7EB29D58">
      <w:pPr>
        <w:jc w:val="center"/>
        <w:rPr>
          <w:rFonts w:hint="eastAsia"/>
          <w:b/>
          <w:bCs/>
          <w:sz w:val="24"/>
        </w:rPr>
      </w:pPr>
    </w:p>
    <w:p w14:paraId="120FBD13">
      <w:pPr>
        <w:jc w:val="center"/>
        <w:rPr>
          <w:rFonts w:hint="eastAsia"/>
          <w:b/>
          <w:bCs/>
          <w:sz w:val="24"/>
        </w:rPr>
      </w:pPr>
    </w:p>
    <w:p w14:paraId="5475F9DD">
      <w:pPr>
        <w:jc w:val="center"/>
        <w:rPr>
          <w:rFonts w:hint="eastAsia"/>
          <w:b/>
          <w:bCs/>
          <w:sz w:val="24"/>
        </w:rPr>
      </w:pPr>
    </w:p>
    <w:p w14:paraId="5767D97A">
      <w:pPr>
        <w:jc w:val="center"/>
        <w:rPr>
          <w:rFonts w:hint="eastAsia"/>
          <w:b/>
          <w:bCs/>
          <w:sz w:val="24"/>
        </w:rPr>
      </w:pPr>
    </w:p>
    <w:p w14:paraId="2B268C3D">
      <w:pPr>
        <w:jc w:val="center"/>
        <w:rPr>
          <w:rFonts w:hint="eastAsia"/>
          <w:b/>
          <w:bCs/>
          <w:sz w:val="24"/>
        </w:rPr>
      </w:pPr>
    </w:p>
    <w:p w14:paraId="5C4B00CB">
      <w:pPr>
        <w:jc w:val="center"/>
        <w:rPr>
          <w:rFonts w:hint="eastAsia"/>
          <w:b/>
          <w:bCs/>
          <w:sz w:val="24"/>
        </w:rPr>
      </w:pPr>
    </w:p>
    <w:p w14:paraId="64798F98">
      <w:pPr>
        <w:jc w:val="center"/>
        <w:rPr>
          <w:rFonts w:hint="eastAsia"/>
          <w:b/>
          <w:bCs/>
          <w:sz w:val="24"/>
        </w:rPr>
      </w:pPr>
    </w:p>
    <w:p w14:paraId="6F851333">
      <w:pPr>
        <w:jc w:val="center"/>
        <w:rPr>
          <w:rFonts w:hint="eastAsia"/>
          <w:b/>
          <w:bCs/>
          <w:sz w:val="24"/>
        </w:rPr>
      </w:pPr>
    </w:p>
    <w:p w14:paraId="7BEBCD8D">
      <w:pPr>
        <w:jc w:val="center"/>
        <w:rPr>
          <w:rFonts w:hint="eastAsia"/>
          <w:b/>
          <w:bCs/>
          <w:sz w:val="24"/>
        </w:rPr>
      </w:pPr>
    </w:p>
    <w:p w14:paraId="4698C305">
      <w:pPr>
        <w:jc w:val="center"/>
        <w:rPr>
          <w:rFonts w:hint="eastAsia"/>
          <w:b/>
          <w:bCs/>
          <w:sz w:val="24"/>
        </w:rPr>
      </w:pPr>
    </w:p>
    <w:p w14:paraId="703E59AB">
      <w:pPr>
        <w:jc w:val="center"/>
        <w:rPr>
          <w:rFonts w:hint="eastAsia"/>
          <w:b/>
          <w:bCs/>
          <w:sz w:val="24"/>
        </w:rPr>
      </w:pPr>
    </w:p>
    <w:p w14:paraId="17B21C4C">
      <w:pPr>
        <w:jc w:val="center"/>
        <w:rPr>
          <w:rFonts w:hint="eastAsia"/>
          <w:b/>
          <w:bCs/>
          <w:sz w:val="24"/>
        </w:rPr>
      </w:pPr>
    </w:p>
    <w:p w14:paraId="097B82F8">
      <w:pPr>
        <w:jc w:val="center"/>
        <w:rPr>
          <w:rFonts w:hint="eastAsia"/>
          <w:b/>
          <w:bCs/>
          <w:sz w:val="24"/>
        </w:rPr>
      </w:pPr>
      <w:r>
        <w:pict>
          <v:group id="_x0000_s2221" o:spid="_x0000_s2221" o:spt="203" style="position:absolute;left:0pt;margin-left:111.8pt;margin-top:2.05pt;height:68.05pt;width:129.75pt;z-index:251677696;mso-width-relative:page;mso-height-relative:page;" coordorigin="4847,7368" coordsize="2595,1361">
            <o:lock v:ext="edit"/>
            <v:shape id="_x0000_s2222" o:spid="_x0000_s2222" o:spt="202" type="#_x0000_t202" style="position:absolute;left:7269;top:7368;height:301;width:173;" filled="f" stroked="t" coordsize="21600,21600">
              <v:path/>
              <v:fill on="f" focussize="0,0"/>
              <v:stroke color="#FF0000" joinstyle="miter"/>
              <v:imagedata o:title=""/>
              <o:lock v:ext="edit"/>
              <v:textbox>
                <w:txbxContent>
                  <w:p w14:paraId="626B820B"/>
                </w:txbxContent>
              </v:textbox>
            </v:shape>
            <v:shape id="_x0000_s2223" o:spid="_x0000_s2223" o:spt="61" type="#_x0000_t61" style="position:absolute;left:4847;top:8207;height:522;width:1580;" filled="f" coordsize="21600,21600" adj="31785,-24166">
              <v:path/>
              <v:fill on="f" focussize="0,0"/>
              <v:stroke joinstyle="miter"/>
              <v:imagedata o:title=""/>
              <o:lock v:ext="edit"/>
              <v:textbox>
                <w:txbxContent>
                  <w:p w14:paraId="2E66A352">
                    <w:pPr>
                      <w:jc w:val="center"/>
                    </w:pPr>
                    <w:r>
                      <w:t>项目位置</w:t>
                    </w:r>
                  </w:p>
                </w:txbxContent>
              </v:textbox>
            </v:shape>
          </v:group>
        </w:pict>
      </w:r>
    </w:p>
    <w:p w14:paraId="684A51C2">
      <w:pPr>
        <w:jc w:val="center"/>
        <w:rPr>
          <w:rFonts w:hint="eastAsia"/>
          <w:b/>
          <w:bCs/>
          <w:sz w:val="24"/>
        </w:rPr>
      </w:pPr>
    </w:p>
    <w:p w14:paraId="0D33D0A7">
      <w:pPr>
        <w:jc w:val="center"/>
        <w:rPr>
          <w:rFonts w:hint="eastAsia"/>
          <w:b/>
          <w:bCs/>
          <w:sz w:val="24"/>
        </w:rPr>
      </w:pPr>
    </w:p>
    <w:p w14:paraId="7B184BEA">
      <w:pPr>
        <w:jc w:val="center"/>
        <w:rPr>
          <w:rFonts w:hint="eastAsia"/>
          <w:b/>
          <w:bCs/>
          <w:sz w:val="24"/>
        </w:rPr>
      </w:pPr>
    </w:p>
    <w:p w14:paraId="3F00697C">
      <w:pPr>
        <w:jc w:val="center"/>
        <w:rPr>
          <w:rFonts w:hint="eastAsia"/>
          <w:b/>
          <w:bCs/>
          <w:sz w:val="24"/>
        </w:rPr>
      </w:pPr>
    </w:p>
    <w:p w14:paraId="044003B5">
      <w:pPr>
        <w:jc w:val="center"/>
        <w:rPr>
          <w:rFonts w:hint="eastAsia"/>
          <w:b/>
          <w:bCs/>
          <w:sz w:val="24"/>
        </w:rPr>
      </w:pPr>
    </w:p>
    <w:p w14:paraId="01D128D8">
      <w:pPr>
        <w:jc w:val="center"/>
        <w:rPr>
          <w:rFonts w:hint="eastAsia"/>
          <w:b/>
          <w:bCs/>
          <w:sz w:val="24"/>
        </w:rPr>
      </w:pPr>
    </w:p>
    <w:p w14:paraId="2E5F046C">
      <w:pPr>
        <w:jc w:val="center"/>
        <w:rPr>
          <w:rFonts w:hint="eastAsia"/>
          <w:b/>
          <w:bCs/>
          <w:sz w:val="24"/>
        </w:rPr>
      </w:pPr>
    </w:p>
    <w:p w14:paraId="609FDF0E">
      <w:pPr>
        <w:jc w:val="center"/>
        <w:rPr>
          <w:rFonts w:hint="eastAsia" w:ascii="宋体" w:hAnsi="宋体" w:cs="宋体"/>
          <w:b/>
          <w:color w:val="000000"/>
          <w:kern w:val="0"/>
          <w:sz w:val="24"/>
          <w:lang w:val="en-US" w:eastAsia="zh-CN"/>
        </w:rPr>
      </w:pPr>
      <w:r>
        <w:rPr>
          <w:rFonts w:hint="eastAsia"/>
          <w:b/>
          <w:bCs/>
          <w:sz w:val="24"/>
        </w:rPr>
        <w:t>附图</w:t>
      </w:r>
      <w:r>
        <w:rPr>
          <w:rFonts w:hint="eastAsia"/>
          <w:b/>
          <w:bCs/>
          <w:sz w:val="24"/>
          <w:lang w:val="en-US" w:eastAsia="zh-CN"/>
        </w:rPr>
        <w:t>5</w:t>
      </w:r>
      <w:r>
        <w:rPr>
          <w:rFonts w:hint="eastAsia"/>
          <w:b/>
          <w:bCs/>
          <w:sz w:val="24"/>
        </w:rPr>
        <w:t xml:space="preserve"> </w:t>
      </w:r>
      <w:r>
        <w:rPr>
          <w:rFonts w:hint="eastAsia"/>
          <w:b/>
          <w:bCs/>
          <w:sz w:val="24"/>
          <w:lang w:val="en-US" w:eastAsia="zh-CN"/>
        </w:rPr>
        <w:t xml:space="preserve">     </w:t>
      </w:r>
      <w:r>
        <w:rPr>
          <w:rFonts w:hint="eastAsia" w:ascii="宋体" w:hAnsi="宋体" w:cs="宋体"/>
          <w:b/>
          <w:color w:val="000000"/>
          <w:kern w:val="0"/>
          <w:sz w:val="24"/>
        </w:rPr>
        <w:t>大同经济技术开发区起步区装备制造业基地用地规划</w:t>
      </w:r>
      <w:r>
        <w:rPr>
          <w:rFonts w:hint="eastAsia" w:ascii="宋体" w:hAnsi="宋体" w:cs="宋体"/>
          <w:b/>
          <w:color w:val="000000"/>
          <w:kern w:val="0"/>
          <w:sz w:val="24"/>
          <w:lang w:val="en-US" w:eastAsia="zh-CN"/>
        </w:rPr>
        <w:t>图</w:t>
      </w:r>
    </w:p>
    <w:p w14:paraId="1F359CC8">
      <w:pPr>
        <w:jc w:val="center"/>
        <w:rPr>
          <w:rFonts w:hint="eastAsia" w:ascii="宋体" w:hAnsi="宋体" w:cs="宋体"/>
          <w:b/>
          <w:color w:val="000000"/>
          <w:kern w:val="0"/>
          <w:sz w:val="24"/>
          <w:lang w:val="en-US" w:eastAsia="zh-CN"/>
        </w:rPr>
      </w:pPr>
      <w:r>
        <w:rPr>
          <w:rFonts w:hint="eastAsia"/>
        </w:rPr>
        <w:drawing>
          <wp:inline distT="0" distB="0" distL="0" distR="0">
            <wp:extent cx="8337550" cy="5589905"/>
            <wp:effectExtent l="0" t="0" r="6350" b="10795"/>
            <wp:docPr id="58" name="图片 72" descr="ed4c04da8913ad3ef7bdb4fe1f0cd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72" descr="ed4c04da8913ad3ef7bdb4fe1f0cdc3"/>
                    <pic:cNvPicPr>
                      <a:picLocks noChangeAspect="1" noChangeArrowheads="1"/>
                    </pic:cNvPicPr>
                  </pic:nvPicPr>
                  <pic:blipFill>
                    <a:blip r:embed="rId48" cstate="print"/>
                    <a:srcRect/>
                    <a:stretch>
                      <a:fillRect/>
                    </a:stretch>
                  </pic:blipFill>
                  <pic:spPr>
                    <a:xfrm>
                      <a:off x="0" y="0"/>
                      <a:ext cx="8342650" cy="5593163"/>
                    </a:xfrm>
                    <a:prstGeom prst="rect">
                      <a:avLst/>
                    </a:prstGeom>
                    <a:noFill/>
                    <a:ln w="9525" cmpd="sng">
                      <a:noFill/>
                      <a:miter lim="800000"/>
                      <a:headEnd/>
                      <a:tailEnd/>
                    </a:ln>
                  </pic:spPr>
                </pic:pic>
              </a:graphicData>
            </a:graphic>
          </wp:inline>
        </w:drawing>
      </w:r>
    </w:p>
    <w:p w14:paraId="1D411CB0">
      <w:pPr>
        <w:jc w:val="center"/>
        <w:rPr>
          <w:rFonts w:hint="eastAsia" w:ascii="宋体" w:hAnsi="宋体" w:cs="宋体"/>
          <w:b/>
          <w:color w:val="000000"/>
          <w:kern w:val="0"/>
          <w:sz w:val="24"/>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pict>
          <v:group id="_x0000_s2224" o:spid="_x0000_s2224" o:spt="203" style="position:absolute;left:0pt;margin-left:10.4pt;margin-top:-424.5pt;height:333.7pt;width:288.55pt;z-index:251678720;mso-width-relative:page;mso-height-relative:page;" coordorigin="1909,1861" coordsize="5771,6674">
            <o:lock v:ext="edit"/>
            <v:shape id="_x0000_s2225" o:spid="_x0000_s2225" o:spt="202" type="#_x0000_t202" style="position:absolute;left:1909;top:1861;height:457;width:1018;" coordsize="21600,21600">
              <v:path/>
              <v:fill focussize="0,0"/>
              <v:stroke joinstyle="miter"/>
              <v:imagedata o:title=""/>
              <o:lock v:ext="edit"/>
              <v:textbox>
                <w:txbxContent>
                  <w:p w14:paraId="704B08B1">
                    <w:pPr>
                      <w:jc w:val="center"/>
                      <w:rPr>
                        <w:rFonts w:hint="eastAsia" w:eastAsia="宋体"/>
                        <w:b/>
                        <w:lang w:val="en-US" w:eastAsia="zh-CN"/>
                      </w:rPr>
                    </w:pPr>
                    <w:r>
                      <w:rPr>
                        <w:b/>
                      </w:rPr>
                      <w:t>附图</w:t>
                    </w:r>
                    <w:r>
                      <w:rPr>
                        <w:rFonts w:hint="eastAsia"/>
                        <w:b/>
                        <w:lang w:val="en-US" w:eastAsia="zh-CN"/>
                      </w:rPr>
                      <w:t>6</w:t>
                    </w:r>
                  </w:p>
                </w:txbxContent>
              </v:textbox>
            </v:shape>
            <v:shape id="_x0000_s2226" o:spid="_x0000_s2226" o:spt="32" type="#_x0000_t32" style="position:absolute;left:6275;top:6181;flip:x;height:1312;width:1405;" o:connectortype="straight" filled="f" coordsize="21600,21600">
              <v:path arrowok="t"/>
              <v:fill on="f" focussize="0,0"/>
              <v:stroke endarrow="block"/>
              <v:imagedata o:title=""/>
              <o:lock v:ext="edit"/>
            </v:shape>
            <v:shape id="_x0000_s2227" o:spid="_x0000_s2227" o:spt="202" type="#_x0000_t202" style="position:absolute;left:4554;top:7493;height:1042;width:1873;" coordsize="21600,21600">
              <v:path/>
              <v:fill focussize="0,0"/>
              <v:stroke joinstyle="miter"/>
              <v:imagedata o:title=""/>
              <o:lock v:ext="edit"/>
              <v:textbox>
                <w:txbxContent>
                  <w:p w14:paraId="360FC551">
                    <w:pPr>
                      <w:jc w:val="center"/>
                    </w:pPr>
                    <w:r>
                      <w:t>本项目厂址位于保护区西南侧边界外</w:t>
                    </w:r>
                    <w:r>
                      <w:rPr>
                        <w:rFonts w:hint="eastAsia"/>
                        <w:lang w:val="en-US" w:eastAsia="zh-CN"/>
                      </w:rPr>
                      <w:t>3.5</w:t>
                    </w:r>
                    <w:r>
                      <w:rPr>
                        <w:rFonts w:hint="eastAsia"/>
                      </w:rPr>
                      <w:t>km处</w:t>
                    </w:r>
                  </w:p>
                </w:txbxContent>
              </v:textbox>
            </v:shape>
          </v:group>
        </w:pict>
      </w:r>
    </w:p>
    <w:p w14:paraId="245E959B">
      <w:pPr>
        <w:rPr>
          <w:color w:val="auto"/>
        </w:rPr>
        <w:sectPr>
          <w:pgSz w:w="11906" w:h="16838"/>
          <w:pgMar w:top="1701" w:right="1531" w:bottom="1701" w:left="1531" w:header="851" w:footer="850" w:gutter="0"/>
          <w:pgBorders>
            <w:top w:val="none" w:sz="0" w:space="0"/>
            <w:left w:val="none" w:sz="0" w:space="0"/>
            <w:bottom w:val="none" w:sz="0" w:space="0"/>
            <w:right w:val="none" w:sz="0" w:space="0"/>
          </w:pgBorders>
          <w:cols w:space="0" w:num="1"/>
          <w:rtlGutter w:val="0"/>
          <w:docGrid w:linePitch="312" w:charSpace="0"/>
        </w:sectPr>
      </w:pPr>
      <w:r>
        <w:rPr>
          <w:sz w:val="21"/>
        </w:rPr>
        <w:pict>
          <v:group id="_x0000_s2397" o:spid="_x0000_s2397" o:spt="203" style="position:absolute;left:0pt;margin-left:-45.15pt;margin-top:-17.7pt;height:680.2pt;width:547.8pt;z-index:251669504;mso-width-relative:page;mso-height-relative:page;" coordorigin="18660,642400" coordsize="10956,13604">
            <o:lock v:ext="edit" aspectratio="f"/>
            <v:rect id="_x0000_s2228" o:spid="_x0000_s2228" o:spt="1" style="position:absolute;left:20043;top:642975;height:12129;width:7843;" fillcolor="#FFFFFF" filled="t" stroked="t" coordsize="21600,21600">
              <v:path/>
              <v:fill on="t" color2="#FFFFFF" focussize="0,0"/>
              <v:stroke color="#000000"/>
              <v:imagedata o:title=""/>
              <o:lock v:ext="edit" aspectratio="f"/>
            </v:rect>
            <v:shape id="_x0000_s2133" o:spid="_x0000_s2133" o:spt="202" type="#_x0000_t202" style="position:absolute;left:19855;top:655554;height:451;width:7215;" fillcolor="#FFFFFF" filled="t" stroked="f" coordsize="21600,21600">
              <v:path/>
              <v:fill on="t" color2="#FFFFFF" focussize="0,0"/>
              <v:stroke on="f"/>
              <v:imagedata o:title=""/>
              <o:lock v:ext="edit" aspectratio="f"/>
              <v:textbox>
                <w:txbxContent>
                  <w:p w14:paraId="5449F5B6">
                    <w:pPr>
                      <w:jc w:val="center"/>
                      <w:rPr>
                        <w:rFonts w:hint="default" w:eastAsia="宋体"/>
                        <w:b/>
                        <w:sz w:val="28"/>
                        <w:szCs w:val="28"/>
                        <w:lang w:val="en-US" w:eastAsia="zh-CN"/>
                      </w:rPr>
                    </w:pPr>
                    <w:r>
                      <w:rPr>
                        <w:b/>
                        <w:sz w:val="28"/>
                        <w:szCs w:val="28"/>
                      </w:rPr>
                      <w:t>附图</w:t>
                    </w:r>
                    <w:r>
                      <w:rPr>
                        <w:rFonts w:hint="eastAsia"/>
                        <w:b/>
                        <w:sz w:val="28"/>
                        <w:szCs w:val="28"/>
                        <w:lang w:val="en-US" w:eastAsia="zh-CN"/>
                      </w:rPr>
                      <w:t>7    项目防渗分区示意图（1：1000）</w:t>
                    </w:r>
                  </w:p>
                </w:txbxContent>
              </v:textbox>
            </v:shape>
            <v:rect id="_x0000_s2234" o:spid="_x0000_s2234" o:spt="1" style="position:absolute;left:20686;top:643918;height:1715;width:2807;" fillcolor="#FFFFFF" filled="t" stroked="t" coordsize="21600,21600">
              <v:path/>
              <v:fill on="t" color2="#FFFFFF" focussize="0,0"/>
              <v:stroke color="#000000"/>
              <v:imagedata o:title=""/>
              <o:lock v:ext="edit" aspectratio="f"/>
            </v:rect>
            <v:shape id="_x0000_s2229" o:spid="_x0000_s2229" o:spt="3" type="#_x0000_t3" style="position:absolute;left:19015;top:642890;height:771;width:664;" fillcolor="#FFFFFF" filled="t" stroked="t" coordsize="21600,21600">
              <v:path/>
              <v:fill on="t" color2="#FFFFFF" focussize="0,0"/>
              <v:stroke color="#000000"/>
              <v:imagedata o:title=""/>
              <o:lock v:ext="edit" aspectratio="f"/>
            </v:shape>
            <v:shape id="_x0000_s2230" o:spid="_x0000_s2230" o:spt="5" type="#_x0000_t5" style="position:absolute;left:19293;top:642954;height:729;width:150;" fillcolor="#000000" filled="t" stroked="t" coordsize="21600,21600" adj="10800">
              <v:path/>
              <v:fill on="t" color2="#FFFFFF" focussize="0,0"/>
              <v:stroke color="#000000"/>
              <v:imagedata o:title=""/>
              <o:lock v:ext="edit" aspectratio="f"/>
            </v:shape>
            <v:shape id="_x0000_s2231" o:spid="_x0000_s2231" o:spt="202" type="#_x0000_t202" style="position:absolute;left:18660;top:642400;height:507;width:1309;" fillcolor="#FFFFFF" filled="t" stroked="f" coordsize="21600,21600">
              <v:path/>
              <v:fill on="t" color2="#FFFFFF" focussize="0,0"/>
              <v:stroke on="f"/>
              <v:imagedata o:title=""/>
              <o:lock v:ext="edit" aspectratio="f"/>
              <v:textbox>
                <w:txbxContent>
                  <w:p w14:paraId="4D427505">
                    <w:pPr>
                      <w:jc w:val="center"/>
                      <w:rPr>
                        <w:rFonts w:hint="eastAsia" w:eastAsia="宋体"/>
                        <w:b/>
                        <w:sz w:val="28"/>
                        <w:szCs w:val="28"/>
                        <w:lang w:val="en-US" w:eastAsia="zh-CN"/>
                      </w:rPr>
                    </w:pPr>
                    <w:r>
                      <w:rPr>
                        <w:rFonts w:hint="eastAsia"/>
                        <w:b/>
                        <w:sz w:val="28"/>
                        <w:szCs w:val="28"/>
                        <w:lang w:val="en-US" w:eastAsia="zh-CN"/>
                      </w:rPr>
                      <w:t>N</w:t>
                    </w:r>
                  </w:p>
                </w:txbxContent>
              </v:textbox>
            </v:shape>
            <v:rect id="_x0000_s2235" o:spid="_x0000_s2235" o:spt="1" style="position:absolute;left:24308;top:643939;height:1715;width:2807;" fillcolor="#FFFFFF" filled="t" stroked="t" coordsize="21600,21600">
              <v:path/>
              <v:fill on="t" color2="#FFFFFF" focussize="0,0"/>
              <v:stroke color="#000000" joinstyle="miter"/>
              <v:imagedata o:title=""/>
              <o:lock v:ext="edit" aspectratio="f"/>
            </v:rect>
            <v:rect id="_x0000_s2237" o:spid="_x0000_s2237" o:spt="1" style="position:absolute;left:20708;top:646297;height:1715;width:2807;" fillcolor="#FFFFFF" filled="t" stroked="t" coordsize="21600,21600">
              <v:path/>
              <v:fill on="t" color2="#FFFFFF" focussize="0,0"/>
              <v:stroke color="#000000" joinstyle="miter"/>
              <v:imagedata o:title=""/>
              <o:lock v:ext="edit" aspectratio="f"/>
            </v:rect>
            <v:rect id="_x0000_s2236" o:spid="_x0000_s2236" o:spt="1" style="position:absolute;left:24330;top:646318;height:1715;width:2807;" fillcolor="#FFFFFF" filled="t" stroked="t" coordsize="21600,21600">
              <v:path/>
              <v:fill on="t" color2="#FFFFFF" focussize="0,0"/>
              <v:stroke color="#000000" joinstyle="miter"/>
              <v:imagedata o:title=""/>
              <o:lock v:ext="edit" aspectratio="f"/>
            </v:rect>
            <v:rect id="_x0000_s2238" o:spid="_x0000_s2238" o:spt="1" style="position:absolute;left:20686;top:648761;height:2529;width:2807;" fillcolor="#FFFFFF" filled="t" stroked="t" coordsize="21600,21600">
              <v:path/>
              <v:fill on="t" color2="#FFFFFF" focussize="0,0"/>
              <v:stroke color="#000000" joinstyle="miter"/>
              <v:imagedata o:title=""/>
              <o:lock v:ext="edit" aspectratio="f"/>
            </v:rect>
            <v:rect id="_x0000_s2239" o:spid="_x0000_s2239" o:spt="1" style="position:absolute;left:24308;top:648782;height:2529;width:2807;" fillcolor="#FFFFFF" filled="t" stroked="t" coordsize="21600,21600">
              <v:path/>
              <v:fill on="t" color2="#FFFFFF" focussize="0,0"/>
              <v:stroke color="#000000" joinstyle="miter"/>
              <v:imagedata o:title=""/>
              <o:lock v:ext="edit" aspectratio="f"/>
            </v:rect>
            <v:rect id="_x0000_s2329" o:spid="_x0000_s2329" o:spt="1" style="position:absolute;left:20707;top:652018;height:2315;width:2807;" fillcolor="#FFFFFF" filled="t" stroked="t" coordsize="21600,21600">
              <v:path/>
              <v:fill on="t" color2="#FFFFFF" focussize="0,0"/>
              <v:stroke color="#000000" joinstyle="miter" dashstyle="1 1" endcap="round"/>
              <v:imagedata o:title=""/>
              <o:lock v:ext="edit" aspectratio="f"/>
            </v:rect>
            <v:rect id="_x0000_s2293" o:spid="_x0000_s2293" o:spt="1" style="position:absolute;left:24329;top:652039;height:2315;width:2807;" fillcolor="#FFFFFF" filled="t" stroked="t" coordsize="21600,21600">
              <v:path/>
              <v:fill on="t" color2="#FFFFFF" focussize="0,0"/>
              <v:stroke color="#000000" joinstyle="miter" dashstyle="1 1" endcap="round"/>
              <v:imagedata o:title=""/>
              <o:lock v:ext="edit" aspectratio="f"/>
            </v:rect>
            <v:rect id="_x0000_s2331" o:spid="_x0000_s2331" o:spt="1" style="position:absolute;left:20729;top:652425;height:471;width:708;" fillcolor="#FFFFFF" filled="t" stroked="t" coordsize="21600,21600">
              <v:path/>
              <v:fill on="t" color2="#FFFFFF" focussize="0,0"/>
              <v:stroke color="#000000" joinstyle="miter"/>
              <v:imagedata o:title=""/>
              <o:lock v:ext="edit" aspectratio="f"/>
            </v:rect>
            <v:rect id="_x0000_s2333" o:spid="_x0000_s2333" o:spt="1" style="position:absolute;left:20729;top:653004;height:471;width:708;" fillcolor="#FFFFFF" filled="t" stroked="t" coordsize="21600,21600">
              <v:path/>
              <v:fill on="t" color2="#FFFFFF" focussize="0,0"/>
              <v:stroke color="#000000" joinstyle="miter"/>
              <v:imagedata o:title=""/>
              <o:lock v:ext="edit" aspectratio="f"/>
            </v:rect>
            <v:rect id="_x0000_s2334" o:spid="_x0000_s2334" o:spt="1" style="position:absolute;left:20708;top:653583;height:471;width:708;" fillcolor="#B7DEE8" filled="t" stroked="t" coordsize="21600,21600">
              <v:path/>
              <v:fill on="t" color2="#FFFFFF" opacity="26214f" focussize="0,0"/>
              <v:stroke color="#000000" joinstyle="miter"/>
              <v:imagedata o:title=""/>
              <o:lock v:ext="edit" aspectratio="f"/>
            </v:rect>
            <v:shape id="_x0000_s2335" o:spid="_x0000_s2335" o:spt="202" type="#_x0000_t202" style="position:absolute;left:20502;top:653671;height:421;width:2145;" filled="f" stroked="f" coordsize="21600,21600">
              <v:path/>
              <v:fill on="f" focussize="0,0"/>
              <v:stroke on="f"/>
              <v:imagedata o:title=""/>
              <o:lock v:ext="edit" aspectratio="f"/>
              <v:textbox>
                <w:txbxContent>
                  <w:p w14:paraId="3BBF2E83">
                    <w:pPr>
                      <w:jc w:val="center"/>
                      <w:rPr>
                        <w:rFonts w:hint="default" w:eastAsia="宋体"/>
                        <w:b w:val="0"/>
                        <w:bCs/>
                        <w:sz w:val="15"/>
                        <w:szCs w:val="15"/>
                        <w:lang w:val="en-US" w:eastAsia="zh-CN"/>
                      </w:rPr>
                    </w:pPr>
                    <w:r>
                      <w:rPr>
                        <w:rFonts w:hint="eastAsia"/>
                        <w:b w:val="0"/>
                        <w:bCs/>
                        <w:sz w:val="15"/>
                        <w:szCs w:val="15"/>
                        <w:lang w:val="en-US" w:eastAsia="zh-CN"/>
                      </w:rPr>
                      <w:t>初期雨水收集池100m</w:t>
                    </w:r>
                    <w:r>
                      <w:rPr>
                        <w:rFonts w:hint="eastAsia"/>
                        <w:b w:val="0"/>
                        <w:bCs/>
                        <w:sz w:val="15"/>
                        <w:szCs w:val="15"/>
                        <w:vertAlign w:val="superscript"/>
                        <w:lang w:val="en-US" w:eastAsia="zh-CN"/>
                      </w:rPr>
                      <w:t>3</w:t>
                    </w:r>
                  </w:p>
                </w:txbxContent>
              </v:textbox>
            </v:shape>
            <v:rect id="_x0000_s2336" o:spid="_x0000_s2336" o:spt="1" style="position:absolute;left:24533;top:652452;height:716;width:2317;" fillcolor="#FFFFFF" filled="t" stroked="t" coordsize="21600,21600">
              <v:path/>
              <v:fill on="t" color2="#FFFFFF" focussize="0,0"/>
              <v:stroke color="#000000" joinstyle="miter"/>
              <v:imagedata o:title=""/>
              <o:lock v:ext="edit" aspectratio="f"/>
            </v:rect>
            <v:rect id="_x0000_s2380" o:spid="_x0000_s2380" o:spt="1" style="position:absolute;left:27902;top:654675;height:308;width:654;" fillcolor="#FFFFFF" filled="t" stroked="t" coordsize="21600,21600">
              <v:path/>
              <v:fill on="t" color2="#FFFFFF" focussize="0,0"/>
              <v:stroke color="#000000" joinstyle="miter"/>
              <v:imagedata o:title=""/>
              <o:lock v:ext="edit" aspectratio="f"/>
            </v:rect>
            <v:shape id="_x0000_s2337" o:spid="_x0000_s2337" o:spt="202" type="#_x0000_t202" style="position:absolute;left:24702;top:652566;height:448;width:1846;" filled="f" stroked="f" coordsize="21600,21600">
              <v:path/>
              <v:fill on="f" focussize="0,0"/>
              <v:stroke on="f"/>
              <v:imagedata o:title=""/>
              <o:lock v:ext="edit" aspectratio="f"/>
              <v:textbox>
                <w:txbxContent>
                  <w:p w14:paraId="74CB8B8B">
                    <w:pPr>
                      <w:jc w:val="center"/>
                      <w:rPr>
                        <w:rFonts w:hint="default" w:eastAsia="宋体"/>
                        <w:b w:val="0"/>
                        <w:bCs/>
                        <w:sz w:val="15"/>
                        <w:szCs w:val="15"/>
                        <w:lang w:val="en-US" w:eastAsia="zh-CN"/>
                      </w:rPr>
                    </w:pPr>
                    <w:r>
                      <w:rPr>
                        <w:rFonts w:hint="eastAsia"/>
                        <w:b w:val="0"/>
                        <w:bCs/>
                        <w:sz w:val="15"/>
                        <w:szCs w:val="15"/>
                        <w:lang w:val="en-US" w:eastAsia="zh-CN"/>
                      </w:rPr>
                      <w:t>综合楼</w:t>
                    </w:r>
                  </w:p>
                </w:txbxContent>
              </v:textbox>
            </v:shape>
            <v:rect id="_x0000_s2338" o:spid="_x0000_s2338" o:spt="1" style="position:absolute;left:20715;top:651019;height:267;width:422;" fillcolor="#984807" filled="t" stroked="t" coordsize="21600,21600">
              <v:path/>
              <v:fill on="t" color2="#FFFFFF" opacity="13107f" focussize="0,0"/>
              <v:stroke color="#000000" joinstyle="miter"/>
              <v:imagedata o:title=""/>
              <o:lock v:ext="edit" aspectratio="f"/>
            </v:rect>
            <v:shape id="_x0000_s2368" o:spid="_x0000_s2368" o:spt="202" type="#_x0000_t202" style="position:absolute;left:20216;top:651203;height:421;width:2145;" filled="f" stroked="f" coordsize="21600,21600">
              <v:path/>
              <v:fill on="f" focussize="0,0"/>
              <v:stroke on="f"/>
              <v:imagedata o:title=""/>
              <o:lock v:ext="edit" aspectratio="f"/>
              <v:textbox>
                <w:txbxContent>
                  <w:p w14:paraId="7522DF51">
                    <w:pPr>
                      <w:jc w:val="center"/>
                      <w:rPr>
                        <w:rFonts w:hint="default" w:eastAsia="宋体"/>
                        <w:b w:val="0"/>
                        <w:bCs/>
                        <w:sz w:val="15"/>
                        <w:szCs w:val="15"/>
                        <w:lang w:val="en-US" w:eastAsia="zh-CN"/>
                      </w:rPr>
                    </w:pPr>
                    <w:r>
                      <w:rPr>
                        <w:rFonts w:hint="eastAsia"/>
                        <w:b w:val="0"/>
                        <w:bCs/>
                        <w:sz w:val="15"/>
                        <w:szCs w:val="15"/>
                        <w:lang w:val="en-US" w:eastAsia="zh-CN"/>
                      </w:rPr>
                      <w:t>危险废物贮存库20m</w:t>
                    </w:r>
                    <w:r>
                      <w:rPr>
                        <w:rFonts w:hint="eastAsia"/>
                        <w:b w:val="0"/>
                        <w:bCs/>
                        <w:sz w:val="15"/>
                        <w:szCs w:val="15"/>
                        <w:vertAlign w:val="superscript"/>
                        <w:lang w:val="en-US" w:eastAsia="zh-CN"/>
                      </w:rPr>
                      <w:t>3</w:t>
                    </w:r>
                  </w:p>
                </w:txbxContent>
              </v:textbox>
            </v:shape>
            <v:rect id="_x0000_s2379" o:spid="_x0000_s2379" o:spt="1" style="position:absolute;left:27888;top:654184;height:308;width:654;" fillcolor="#B7DEE8" filled="t" stroked="t" coordsize="21600,21600">
              <v:path/>
              <v:fill on="t" color2="#FFFFFF" opacity="26214f" focussize="0,0"/>
              <v:stroke color="#000000" joinstyle="miter"/>
              <v:imagedata o:title=""/>
              <o:lock v:ext="edit" aspectratio="f"/>
            </v:rect>
            <v:rect id="_x0000_s2381" o:spid="_x0000_s2381" o:spt="1" style="position:absolute;left:27888;top:653693;height:308;width:654;" fillcolor="#984807" filled="t" stroked="t" coordsize="21600,21600">
              <v:path/>
              <v:fill on="t" color2="#FFFFFF" opacity="13107f" focussize="0,0"/>
              <v:stroke color="#000000" joinstyle="miter"/>
              <v:imagedata o:title=""/>
              <o:lock v:ext="edit" aspectratio="f"/>
            </v:rect>
            <v:shape id="_x0000_s2383" o:spid="_x0000_s2383" o:spt="202" type="#_x0000_t202" style="position:absolute;left:28411;top:653657;height:435;width:1164;" filled="f" stroked="f" coordsize="21600,21600">
              <v:path/>
              <v:fill on="f" focussize="0,0"/>
              <v:stroke on="f"/>
              <v:imagedata o:title=""/>
              <o:lock v:ext="edit" aspectratio="f"/>
              <v:textbox>
                <w:txbxContent>
                  <w:p w14:paraId="34CA08C3">
                    <w:pPr>
                      <w:jc w:val="center"/>
                      <w:rPr>
                        <w:rFonts w:hint="default" w:eastAsia="宋体"/>
                        <w:b w:val="0"/>
                        <w:bCs/>
                        <w:sz w:val="21"/>
                        <w:szCs w:val="21"/>
                        <w:lang w:val="en-US" w:eastAsia="zh-CN"/>
                      </w:rPr>
                    </w:pPr>
                    <w:r>
                      <w:rPr>
                        <w:rFonts w:hint="eastAsia"/>
                        <w:b w:val="0"/>
                        <w:bCs/>
                        <w:sz w:val="21"/>
                        <w:szCs w:val="21"/>
                        <w:lang w:val="en-US" w:eastAsia="zh-CN"/>
                      </w:rPr>
                      <w:t>重点防渗</w:t>
                    </w:r>
                  </w:p>
                </w:txbxContent>
              </v:textbox>
            </v:shape>
            <v:shape id="_x0000_s2382" o:spid="_x0000_s2382" o:spt="202" type="#_x0000_t202" style="position:absolute;left:28029;top:653180;height:435;width:1164;" filled="f" stroked="f" coordsize="21600,21600">
              <v:path/>
              <v:fill on="f" focussize="0,0"/>
              <v:stroke on="f"/>
              <v:imagedata o:title=""/>
              <o:lock v:ext="edit" aspectratio="f"/>
              <v:textbox>
                <w:txbxContent>
                  <w:p w14:paraId="300EAD94">
                    <w:pPr>
                      <w:jc w:val="center"/>
                      <w:rPr>
                        <w:rFonts w:hint="default" w:eastAsia="宋体"/>
                        <w:b w:val="0"/>
                        <w:bCs/>
                        <w:sz w:val="21"/>
                        <w:szCs w:val="21"/>
                        <w:lang w:val="en-US" w:eastAsia="zh-CN"/>
                      </w:rPr>
                    </w:pPr>
                    <w:r>
                      <w:rPr>
                        <w:rFonts w:hint="eastAsia"/>
                        <w:b w:val="0"/>
                        <w:bCs/>
                        <w:sz w:val="21"/>
                        <w:szCs w:val="21"/>
                        <w:lang w:val="en-US" w:eastAsia="zh-CN"/>
                      </w:rPr>
                      <w:t>图例</w:t>
                    </w:r>
                  </w:p>
                </w:txbxContent>
              </v:textbox>
            </v:shape>
            <v:shape id="_x0000_s2384" o:spid="_x0000_s2384" o:spt="202" type="#_x0000_t202" style="position:absolute;left:28452;top:654121;height:435;width:1164;" filled="f" stroked="f" coordsize="21600,21600">
              <v:path/>
              <v:fill on="f" focussize="0,0"/>
              <v:stroke on="f"/>
              <v:imagedata o:title=""/>
              <o:lock v:ext="edit" aspectratio="f"/>
              <v:textbox>
                <w:txbxContent>
                  <w:p w14:paraId="300AEDE3">
                    <w:pPr>
                      <w:jc w:val="center"/>
                      <w:rPr>
                        <w:rFonts w:hint="default" w:eastAsia="宋体"/>
                        <w:b w:val="0"/>
                        <w:bCs/>
                        <w:sz w:val="21"/>
                        <w:szCs w:val="21"/>
                        <w:lang w:val="en-US" w:eastAsia="zh-CN"/>
                      </w:rPr>
                    </w:pPr>
                    <w:r>
                      <w:rPr>
                        <w:rFonts w:hint="eastAsia"/>
                        <w:b w:val="0"/>
                        <w:bCs/>
                        <w:sz w:val="21"/>
                        <w:szCs w:val="21"/>
                        <w:lang w:val="en-US" w:eastAsia="zh-CN"/>
                      </w:rPr>
                      <w:t>一般防渗</w:t>
                    </w:r>
                  </w:p>
                </w:txbxContent>
              </v:textbox>
            </v:shape>
            <v:shape id="_x0000_s2385" o:spid="_x0000_s2385" o:spt="202" type="#_x0000_t202" style="position:absolute;left:28425;top:654681;height:435;width:1164;" filled="f" stroked="f" coordsize="21600,21600">
              <v:path/>
              <v:fill on="f" focussize="0,0"/>
              <v:stroke on="f"/>
              <v:imagedata o:title=""/>
              <o:lock v:ext="edit" aspectratio="f"/>
              <v:textbox>
                <w:txbxContent>
                  <w:p w14:paraId="5BB1A749">
                    <w:pPr>
                      <w:jc w:val="center"/>
                      <w:rPr>
                        <w:rFonts w:hint="default" w:eastAsia="宋体"/>
                        <w:b w:val="0"/>
                        <w:bCs/>
                        <w:sz w:val="21"/>
                        <w:szCs w:val="21"/>
                        <w:lang w:val="en-US" w:eastAsia="zh-CN"/>
                      </w:rPr>
                    </w:pPr>
                    <w:r>
                      <w:rPr>
                        <w:rFonts w:hint="eastAsia"/>
                        <w:b w:val="0"/>
                        <w:bCs/>
                        <w:sz w:val="21"/>
                        <w:szCs w:val="21"/>
                        <w:lang w:val="en-US" w:eastAsia="zh-CN"/>
                      </w:rPr>
                      <w:t>简单防渗</w:t>
                    </w:r>
                  </w:p>
                </w:txbxContent>
              </v:textbox>
            </v:shape>
            <v:shape id="_x0000_s2386" o:spid="_x0000_s2386" o:spt="202" type="#_x0000_t202" style="position:absolute;left:24798;top:649879;height:448;width:1846;" filled="f" stroked="f" coordsize="21600,21600">
              <v:path/>
              <v:fill on="f" focussize="0,0"/>
              <v:stroke on="f"/>
              <v:imagedata o:title=""/>
              <o:lock v:ext="edit" aspectratio="f"/>
              <v:textbox>
                <w:txbxContent>
                  <w:p w14:paraId="72150B99">
                    <w:pPr>
                      <w:jc w:val="center"/>
                      <w:rPr>
                        <w:rFonts w:hint="default" w:eastAsia="宋体"/>
                        <w:b w:val="0"/>
                        <w:bCs/>
                        <w:sz w:val="15"/>
                        <w:szCs w:val="15"/>
                        <w:lang w:val="en-US" w:eastAsia="zh-CN"/>
                      </w:rPr>
                    </w:pPr>
                    <w:r>
                      <w:rPr>
                        <w:rFonts w:hint="eastAsia"/>
                        <w:b w:val="0"/>
                        <w:bCs/>
                        <w:sz w:val="15"/>
                        <w:szCs w:val="15"/>
                        <w:lang w:val="en-US" w:eastAsia="zh-CN"/>
                      </w:rPr>
                      <w:t>五车间</w:t>
                    </w:r>
                  </w:p>
                </w:txbxContent>
              </v:textbox>
            </v:shape>
            <v:shape id="_x0000_s2387" o:spid="_x0000_s2387" o:spt="202" type="#_x0000_t202" style="position:absolute;left:21171;top:649674;height:448;width:1846;" filled="f" stroked="f" coordsize="21600,21600">
              <v:path/>
              <v:fill on="f" focussize="0,0"/>
              <v:stroke on="f"/>
              <v:imagedata o:title=""/>
              <o:lock v:ext="edit" aspectratio="f"/>
              <v:textbox>
                <w:txbxContent>
                  <w:p w14:paraId="4F024BC0">
                    <w:pPr>
                      <w:jc w:val="center"/>
                      <w:rPr>
                        <w:rFonts w:hint="default" w:eastAsia="宋体"/>
                        <w:b w:val="0"/>
                        <w:bCs/>
                        <w:sz w:val="15"/>
                        <w:szCs w:val="15"/>
                        <w:lang w:val="en-US" w:eastAsia="zh-CN"/>
                      </w:rPr>
                    </w:pPr>
                    <w:r>
                      <w:rPr>
                        <w:rFonts w:hint="eastAsia"/>
                        <w:b w:val="0"/>
                        <w:bCs/>
                        <w:sz w:val="15"/>
                        <w:szCs w:val="15"/>
                        <w:lang w:val="en-US" w:eastAsia="zh-CN"/>
                      </w:rPr>
                      <w:t>仓库</w:t>
                    </w:r>
                  </w:p>
                </w:txbxContent>
              </v:textbox>
            </v:shape>
            <v:shape id="_x0000_s2388" o:spid="_x0000_s2388" o:spt="202" type="#_x0000_t202" style="position:absolute;left:24798;top:646879;height:448;width:1846;" filled="f" stroked="f" coordsize="21600,21600">
              <v:path/>
              <v:fill on="f" focussize="0,0"/>
              <v:stroke on="f"/>
              <v:imagedata o:title=""/>
              <o:lock v:ext="edit" aspectratio="f"/>
              <v:textbox>
                <w:txbxContent>
                  <w:p w14:paraId="748999D9">
                    <w:pPr>
                      <w:jc w:val="center"/>
                      <w:rPr>
                        <w:rFonts w:hint="default" w:eastAsia="宋体"/>
                        <w:b w:val="0"/>
                        <w:bCs/>
                        <w:sz w:val="15"/>
                        <w:szCs w:val="15"/>
                        <w:lang w:val="en-US" w:eastAsia="zh-CN"/>
                      </w:rPr>
                    </w:pPr>
                    <w:r>
                      <w:rPr>
                        <w:rFonts w:hint="eastAsia"/>
                        <w:b w:val="0"/>
                        <w:bCs/>
                        <w:sz w:val="15"/>
                        <w:szCs w:val="15"/>
                        <w:lang w:val="en-US" w:eastAsia="zh-CN"/>
                      </w:rPr>
                      <w:t>四车间</w:t>
                    </w:r>
                  </w:p>
                </w:txbxContent>
              </v:textbox>
            </v:shape>
            <v:shape id="_x0000_s2389" o:spid="_x0000_s2389" o:spt="202" type="#_x0000_t202" style="position:absolute;left:21239;top:646893;height:448;width:1846;" filled="f" stroked="f" coordsize="21600,21600">
              <v:path/>
              <v:fill on="f" focussize="0,0"/>
              <v:stroke on="f"/>
              <v:imagedata o:title=""/>
              <o:lock v:ext="edit" aspectratio="f"/>
              <v:textbox>
                <w:txbxContent>
                  <w:p w14:paraId="1EBE73E5">
                    <w:pPr>
                      <w:jc w:val="center"/>
                      <w:rPr>
                        <w:rFonts w:hint="default" w:eastAsia="宋体"/>
                        <w:b w:val="0"/>
                        <w:bCs/>
                        <w:sz w:val="15"/>
                        <w:szCs w:val="15"/>
                        <w:lang w:val="en-US" w:eastAsia="zh-CN"/>
                      </w:rPr>
                    </w:pPr>
                    <w:r>
                      <w:rPr>
                        <w:rFonts w:hint="eastAsia"/>
                        <w:b w:val="0"/>
                        <w:bCs/>
                        <w:sz w:val="15"/>
                        <w:szCs w:val="15"/>
                        <w:lang w:val="en-US" w:eastAsia="zh-CN"/>
                      </w:rPr>
                      <w:t>三车间</w:t>
                    </w:r>
                  </w:p>
                </w:txbxContent>
              </v:textbox>
            </v:shape>
            <v:shape id="_x0000_s2391" o:spid="_x0000_s2391" o:spt="202" type="#_x0000_t202" style="position:absolute;left:24743;top:644548;height:448;width:1846;" filled="f" stroked="f" coordsize="21600,21600">
              <v:path/>
              <v:fill on="f" focussize="0,0"/>
              <v:stroke on="f"/>
              <v:imagedata o:title=""/>
              <o:lock v:ext="edit" aspectratio="f"/>
              <v:textbox>
                <w:txbxContent>
                  <w:p w14:paraId="7D99137B">
                    <w:pPr>
                      <w:jc w:val="center"/>
                      <w:rPr>
                        <w:rFonts w:hint="default" w:eastAsia="宋体"/>
                        <w:b w:val="0"/>
                        <w:bCs/>
                        <w:sz w:val="15"/>
                        <w:szCs w:val="15"/>
                        <w:lang w:val="en-US" w:eastAsia="zh-CN"/>
                      </w:rPr>
                    </w:pPr>
                    <w:r>
                      <w:rPr>
                        <w:rFonts w:hint="eastAsia"/>
                        <w:b w:val="0"/>
                        <w:bCs/>
                        <w:sz w:val="15"/>
                        <w:szCs w:val="15"/>
                        <w:lang w:val="en-US" w:eastAsia="zh-CN"/>
                      </w:rPr>
                      <w:t>二车间</w:t>
                    </w:r>
                  </w:p>
                </w:txbxContent>
              </v:textbox>
            </v:shape>
            <v:shape id="_x0000_s2390" o:spid="_x0000_s2390" o:spt="202" type="#_x0000_t202" style="position:absolute;left:21157;top:644534;height:448;width:1846;" filled="f" stroked="f" coordsize="21600,21600">
              <v:path/>
              <v:fill on="f" focussize="0,0"/>
              <v:stroke on="f"/>
              <v:imagedata o:title=""/>
              <o:lock v:ext="edit" aspectratio="f"/>
              <v:textbox>
                <w:txbxContent>
                  <w:p w14:paraId="36BE343C">
                    <w:pPr>
                      <w:jc w:val="center"/>
                      <w:rPr>
                        <w:rFonts w:hint="default" w:eastAsia="宋体"/>
                        <w:b w:val="0"/>
                        <w:bCs/>
                        <w:sz w:val="15"/>
                        <w:szCs w:val="15"/>
                        <w:lang w:val="en-US" w:eastAsia="zh-CN"/>
                      </w:rPr>
                    </w:pPr>
                    <w:r>
                      <w:rPr>
                        <w:rFonts w:hint="eastAsia"/>
                        <w:b w:val="0"/>
                        <w:bCs/>
                        <w:sz w:val="15"/>
                        <w:szCs w:val="15"/>
                        <w:lang w:val="en-US" w:eastAsia="zh-CN"/>
                      </w:rPr>
                      <w:t>一车间</w:t>
                    </w:r>
                  </w:p>
                </w:txbxContent>
              </v:textbox>
            </v:shape>
            <v:shape id="_x0000_s2393" o:spid="_x0000_s2393" o:spt="202" type="#_x0000_t202" style="position:absolute;left:21143;top:645217;height:421;width:2145;" filled="f" stroked="f" coordsize="21600,21600">
              <v:path/>
              <v:fill on="f" focussize="0,0"/>
              <v:stroke on="f"/>
              <v:imagedata o:title=""/>
              <o:lock v:ext="edit" aspectratio="f"/>
              <v:textbox>
                <w:txbxContent>
                  <w:p w14:paraId="1CD27F00">
                    <w:pPr>
                      <w:jc w:val="center"/>
                      <w:rPr>
                        <w:rFonts w:hint="default" w:eastAsia="宋体"/>
                        <w:b w:val="0"/>
                        <w:bCs/>
                        <w:sz w:val="15"/>
                        <w:szCs w:val="15"/>
                        <w:lang w:val="en-US" w:eastAsia="zh-CN"/>
                      </w:rPr>
                    </w:pPr>
                    <w:r>
                      <w:rPr>
                        <w:rFonts w:hint="eastAsia"/>
                        <w:b w:val="0"/>
                        <w:bCs/>
                        <w:sz w:val="15"/>
                        <w:szCs w:val="15"/>
                        <w:lang w:val="en-US" w:eastAsia="zh-CN"/>
                      </w:rPr>
                      <w:t>沉淀池30m</w:t>
                    </w:r>
                    <w:r>
                      <w:rPr>
                        <w:rFonts w:hint="eastAsia"/>
                        <w:b w:val="0"/>
                        <w:bCs/>
                        <w:sz w:val="15"/>
                        <w:szCs w:val="15"/>
                        <w:vertAlign w:val="superscript"/>
                        <w:lang w:val="en-US" w:eastAsia="zh-CN"/>
                      </w:rPr>
                      <w:t>3</w:t>
                    </w:r>
                  </w:p>
                </w:txbxContent>
              </v:textbox>
            </v:shape>
            <v:rect id="_x0000_s2392" o:spid="_x0000_s2392" o:spt="1" style="position:absolute;left:21887;top:644869;height:267;width:422;" fillcolor="#B7DEE8" filled="t" stroked="t" coordsize="21600,21600">
              <v:path/>
              <v:fill on="t" color2="#FFFFFF" opacity="26214f" focussize="0,0"/>
              <v:stroke color="#000000" joinstyle="miter"/>
              <v:imagedata o:title=""/>
              <o:lock v:ext="edit" aspectratio="f"/>
            </v:rect>
            <v:shape id="_x0000_s2394" o:spid="_x0000_s2394" o:spt="202" type="#_x0000_t202" style="position:absolute;left:25793;top:653986;height:421;width:2145;" filled="f" stroked="f" coordsize="21600,21600">
              <v:path/>
              <v:fill on="f" focussize="0,0"/>
              <v:stroke on="f"/>
              <v:imagedata o:title=""/>
              <o:lock v:ext="edit" aspectratio="f"/>
              <v:textbox>
                <w:txbxContent>
                  <w:p w14:paraId="34897198">
                    <w:pPr>
                      <w:jc w:val="center"/>
                      <w:rPr>
                        <w:rFonts w:hint="default" w:eastAsia="宋体"/>
                        <w:b w:val="0"/>
                        <w:bCs/>
                        <w:sz w:val="15"/>
                        <w:szCs w:val="15"/>
                        <w:lang w:val="en-US" w:eastAsia="zh-CN"/>
                      </w:rPr>
                    </w:pPr>
                    <w:r>
                      <w:rPr>
                        <w:rFonts w:hint="eastAsia"/>
                        <w:b w:val="0"/>
                        <w:bCs/>
                        <w:sz w:val="15"/>
                        <w:szCs w:val="15"/>
                        <w:lang w:val="en-US" w:eastAsia="zh-CN"/>
                      </w:rPr>
                      <w:t>化粪池50m</w:t>
                    </w:r>
                    <w:r>
                      <w:rPr>
                        <w:rFonts w:hint="eastAsia"/>
                        <w:b w:val="0"/>
                        <w:bCs/>
                        <w:sz w:val="15"/>
                        <w:szCs w:val="15"/>
                        <w:vertAlign w:val="superscript"/>
                        <w:lang w:val="en-US" w:eastAsia="zh-CN"/>
                      </w:rPr>
                      <w:t>3</w:t>
                    </w:r>
                  </w:p>
                </w:txbxContent>
              </v:textbox>
            </v:shape>
            <v:rect id="_x0000_s2395" o:spid="_x0000_s2395" o:spt="1" style="position:absolute;left:26537;top:653638;height:267;width:422;" fillcolor="#B7DEE8" filled="t" stroked="t" coordsize="21600,21600">
              <v:path/>
              <v:fill on="t" color2="#FFFFFF" opacity="26214f" focussize="0,0"/>
              <v:stroke color="#000000" joinstyle="miter"/>
              <v:imagedata o:title=""/>
              <o:lock v:ext="edit" aspectratio="f"/>
            </v:rect>
            <v:shape id="_x0000_s2396" o:spid="_x0000_s2396" o:spt="202" type="#_x0000_t202" style="position:absolute;left:21502;top:652650;height:448;width:1846;" filled="f" stroked="f" coordsize="21600,21600">
              <v:path/>
              <v:fill on="f" focussize="0,0"/>
              <v:stroke on="f"/>
              <v:imagedata o:title=""/>
              <o:lock v:ext="edit" aspectratio="f"/>
              <v:textbox>
                <w:txbxContent>
                  <w:p w14:paraId="0A3B0A3B">
                    <w:pPr>
                      <w:jc w:val="center"/>
                      <w:rPr>
                        <w:rFonts w:hint="default" w:eastAsia="宋体"/>
                        <w:b w:val="0"/>
                        <w:bCs/>
                        <w:sz w:val="15"/>
                        <w:szCs w:val="15"/>
                        <w:lang w:val="en-US" w:eastAsia="zh-CN"/>
                      </w:rPr>
                    </w:pPr>
                    <w:r>
                      <w:rPr>
                        <w:rFonts w:hint="eastAsia"/>
                        <w:b w:val="0"/>
                        <w:bCs/>
                        <w:sz w:val="15"/>
                        <w:szCs w:val="15"/>
                        <w:lang w:val="en-US" w:eastAsia="zh-CN"/>
                      </w:rPr>
                      <w:t>绿化带</w:t>
                    </w:r>
                  </w:p>
                </w:txbxContent>
              </v:textbox>
            </v:shape>
          </v:group>
        </w:pict>
      </w:r>
    </w:p>
    <w:p w14:paraId="3CB6E8ED">
      <w:pPr>
        <w:pStyle w:val="40"/>
        <w:adjustRightInd w:val="0"/>
        <w:snapToGrid w:val="0"/>
        <w:spacing w:before="0" w:beforeAutospacing="0" w:after="0" w:afterAutospacing="0" w:line="440" w:lineRule="exact"/>
        <w:outlineLvl w:val="0"/>
        <w:rPr>
          <w:rFonts w:ascii="Times New Roman" w:hAnsi="Times New Roman" w:eastAsia="黑体"/>
          <w:sz w:val="32"/>
          <w:szCs w:val="32"/>
        </w:rPr>
      </w:pPr>
      <w:r>
        <w:rPr>
          <w:rFonts w:ascii="黑体" w:hAnsi="黑体" w:eastAsia="黑体"/>
          <w:color w:val="auto"/>
          <w:sz w:val="32"/>
          <w:szCs w:val="32"/>
        </w:rPr>
        <w:t>附件</w:t>
      </w:r>
    </w:p>
    <w:p w14:paraId="3E5954C6">
      <w:pPr>
        <w:jc w:val="left"/>
        <w:rPr>
          <w:rFonts w:ascii="黑体" w:hAnsi="黑体" w:eastAsia="黑体"/>
          <w:color w:val="auto"/>
          <w:sz w:val="32"/>
          <w:szCs w:val="32"/>
        </w:rPr>
      </w:pPr>
      <w:r>
        <w:rPr>
          <w:rFonts w:eastAsia="黑体"/>
          <w:sz w:val="32"/>
          <w:szCs w:val="32"/>
        </w:rPr>
        <w:drawing>
          <wp:inline distT="0" distB="0" distL="114300" distR="114300">
            <wp:extent cx="5875020" cy="8116570"/>
            <wp:effectExtent l="0" t="0" r="11430" b="17780"/>
            <wp:docPr id="60" name="图片 4" descr="微信图片_2023061208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descr="微信图片_20230612082153"/>
                    <pic:cNvPicPr>
                      <a:picLocks noChangeAspect="1"/>
                    </pic:cNvPicPr>
                  </pic:nvPicPr>
                  <pic:blipFill>
                    <a:blip r:embed="rId49"/>
                    <a:stretch>
                      <a:fillRect/>
                    </a:stretch>
                  </pic:blipFill>
                  <pic:spPr>
                    <a:xfrm>
                      <a:off x="0" y="0"/>
                      <a:ext cx="5875020" cy="8116570"/>
                    </a:xfrm>
                    <a:prstGeom prst="rect">
                      <a:avLst/>
                    </a:prstGeom>
                    <a:noFill/>
                    <a:ln>
                      <a:noFill/>
                    </a:ln>
                  </pic:spPr>
                </pic:pic>
              </a:graphicData>
            </a:graphic>
          </wp:inline>
        </w:drawing>
      </w:r>
      <w:r>
        <w:rPr>
          <w:rFonts w:eastAsia="黑体"/>
          <w:sz w:val="32"/>
          <w:szCs w:val="32"/>
        </w:rPr>
        <w:drawing>
          <wp:inline distT="0" distB="0" distL="114300" distR="114300">
            <wp:extent cx="5979795" cy="8229600"/>
            <wp:effectExtent l="0" t="0" r="1905" b="0"/>
            <wp:docPr id="62" name="图片 5" descr="微信图片_2023061208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 descr="微信图片_20230612082030"/>
                    <pic:cNvPicPr>
                      <a:picLocks noChangeAspect="1"/>
                    </pic:cNvPicPr>
                  </pic:nvPicPr>
                  <pic:blipFill>
                    <a:blip r:embed="rId50"/>
                    <a:stretch>
                      <a:fillRect/>
                    </a:stretch>
                  </pic:blipFill>
                  <pic:spPr>
                    <a:xfrm>
                      <a:off x="0" y="0"/>
                      <a:ext cx="5979795" cy="8229600"/>
                    </a:xfrm>
                    <a:prstGeom prst="rect">
                      <a:avLst/>
                    </a:prstGeom>
                    <a:noFill/>
                    <a:ln>
                      <a:noFill/>
                    </a:ln>
                  </pic:spPr>
                </pic:pic>
              </a:graphicData>
            </a:graphic>
          </wp:inline>
        </w:drawing>
      </w:r>
      <w:r>
        <w:rPr>
          <w:rFonts w:eastAsia="黑体"/>
          <w:sz w:val="32"/>
          <w:szCs w:val="32"/>
        </w:rPr>
        <w:drawing>
          <wp:inline distT="0" distB="0" distL="114300" distR="114300">
            <wp:extent cx="5607685" cy="7760335"/>
            <wp:effectExtent l="0" t="0" r="12065" b="12065"/>
            <wp:docPr id="61" name="图片 6" descr="微信图片_2023061208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 descr="微信图片_20230612085905"/>
                    <pic:cNvPicPr>
                      <a:picLocks noChangeAspect="1"/>
                    </pic:cNvPicPr>
                  </pic:nvPicPr>
                  <pic:blipFill>
                    <a:blip r:embed="rId51"/>
                    <a:stretch>
                      <a:fillRect/>
                    </a:stretch>
                  </pic:blipFill>
                  <pic:spPr>
                    <a:xfrm>
                      <a:off x="0" y="0"/>
                      <a:ext cx="5607685" cy="7760335"/>
                    </a:xfrm>
                    <a:prstGeom prst="rect">
                      <a:avLst/>
                    </a:prstGeom>
                    <a:noFill/>
                    <a:ln>
                      <a:noFill/>
                    </a:ln>
                  </pic:spPr>
                </pic:pic>
              </a:graphicData>
            </a:graphic>
          </wp:inline>
        </w:drawing>
      </w:r>
      <w:r>
        <w:rPr>
          <w:rFonts w:eastAsia="黑体"/>
          <w:sz w:val="32"/>
          <w:szCs w:val="32"/>
        </w:rPr>
        <w:drawing>
          <wp:inline distT="0" distB="0" distL="114300" distR="114300">
            <wp:extent cx="5607685" cy="8294370"/>
            <wp:effectExtent l="0" t="0" r="12065" b="11430"/>
            <wp:docPr id="65" name="图片 7" descr="微信图片_2023061209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descr="微信图片_20230612090218"/>
                    <pic:cNvPicPr>
                      <a:picLocks noChangeAspect="1"/>
                    </pic:cNvPicPr>
                  </pic:nvPicPr>
                  <pic:blipFill>
                    <a:blip r:embed="rId52"/>
                    <a:stretch>
                      <a:fillRect/>
                    </a:stretch>
                  </pic:blipFill>
                  <pic:spPr>
                    <a:xfrm>
                      <a:off x="0" y="0"/>
                      <a:ext cx="5607685" cy="8294370"/>
                    </a:xfrm>
                    <a:prstGeom prst="rect">
                      <a:avLst/>
                    </a:prstGeom>
                    <a:noFill/>
                    <a:ln>
                      <a:noFill/>
                    </a:ln>
                  </pic:spPr>
                </pic:pic>
              </a:graphicData>
            </a:graphic>
          </wp:inline>
        </w:drawing>
      </w:r>
      <w:r>
        <w:rPr>
          <w:rFonts w:eastAsia="黑体"/>
          <w:sz w:val="32"/>
          <w:szCs w:val="32"/>
        </w:rPr>
        <w:drawing>
          <wp:inline distT="0" distB="0" distL="114300" distR="114300">
            <wp:extent cx="5575300" cy="8521065"/>
            <wp:effectExtent l="0" t="0" r="6350" b="13335"/>
            <wp:docPr id="64" name="图片 8" descr="微信图片_2023061209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8" descr="微信图片_20230612090203"/>
                    <pic:cNvPicPr>
                      <a:picLocks noChangeAspect="1"/>
                    </pic:cNvPicPr>
                  </pic:nvPicPr>
                  <pic:blipFill>
                    <a:blip r:embed="rId53"/>
                    <a:stretch>
                      <a:fillRect/>
                    </a:stretch>
                  </pic:blipFill>
                  <pic:spPr>
                    <a:xfrm>
                      <a:off x="0" y="0"/>
                      <a:ext cx="5575300" cy="8521065"/>
                    </a:xfrm>
                    <a:prstGeom prst="rect">
                      <a:avLst/>
                    </a:prstGeom>
                    <a:noFill/>
                    <a:ln>
                      <a:noFill/>
                    </a:ln>
                  </pic:spPr>
                </pic:pic>
              </a:graphicData>
            </a:graphic>
          </wp:inline>
        </w:drawing>
      </w:r>
      <w:r>
        <w:rPr>
          <w:rFonts w:eastAsia="黑体"/>
          <w:sz w:val="32"/>
          <w:szCs w:val="32"/>
        </w:rPr>
        <w:drawing>
          <wp:inline distT="0" distB="0" distL="0" distR="0">
            <wp:extent cx="5491480" cy="8509635"/>
            <wp:effectExtent l="0" t="0" r="13970" b="5715"/>
            <wp:docPr id="59" name="图片 59" descr="C:\Users\Administrator\AppData\Local\Microsoft\Windows\INetCache\Content.Word\微信图片_2023061209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Administrator\AppData\Local\Microsoft\Windows\INetCache\Content.Word\微信图片_20230612090310.jpg"/>
                    <pic:cNvPicPr>
                      <a:picLocks noChangeAspect="1" noChangeArrowheads="1"/>
                    </pic:cNvPicPr>
                  </pic:nvPicPr>
                  <pic:blipFill>
                    <a:blip r:embed="rId54" cstate="print"/>
                    <a:srcRect/>
                    <a:stretch>
                      <a:fillRect/>
                    </a:stretch>
                  </pic:blipFill>
                  <pic:spPr>
                    <a:xfrm>
                      <a:off x="0" y="0"/>
                      <a:ext cx="5499684" cy="8522335"/>
                    </a:xfrm>
                    <a:prstGeom prst="rect">
                      <a:avLst/>
                    </a:prstGeom>
                    <a:noFill/>
                    <a:ln w="9525">
                      <a:noFill/>
                      <a:miter lim="800000"/>
                      <a:headEnd/>
                      <a:tailEnd/>
                    </a:ln>
                  </pic:spPr>
                </pic:pic>
              </a:graphicData>
            </a:graphic>
          </wp:inline>
        </w:drawing>
      </w:r>
    </w:p>
    <w:p w14:paraId="28276BAE">
      <w:pPr>
        <w:jc w:val="left"/>
        <w:rPr>
          <w:color w:val="auto"/>
        </w:rPr>
      </w:pPr>
      <w:r>
        <w:drawing>
          <wp:inline distT="0" distB="0" distL="114300" distR="114300">
            <wp:extent cx="5612765" cy="8097520"/>
            <wp:effectExtent l="0" t="0" r="6985" b="1778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55"/>
                    <a:stretch>
                      <a:fillRect/>
                    </a:stretch>
                  </pic:blipFill>
                  <pic:spPr>
                    <a:xfrm>
                      <a:off x="0" y="0"/>
                      <a:ext cx="5612765" cy="8097520"/>
                    </a:xfrm>
                    <a:prstGeom prst="rect">
                      <a:avLst/>
                    </a:prstGeom>
                    <a:noFill/>
                    <a:ln>
                      <a:noFill/>
                    </a:ln>
                  </pic:spPr>
                </pic:pic>
              </a:graphicData>
            </a:graphic>
          </wp:inline>
        </w:drawing>
      </w:r>
      <w:r>
        <w:drawing>
          <wp:inline distT="0" distB="0" distL="114300" distR="114300">
            <wp:extent cx="5534025" cy="8124825"/>
            <wp:effectExtent l="0" t="0" r="9525" b="952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56"/>
                    <a:stretch>
                      <a:fillRect/>
                    </a:stretch>
                  </pic:blipFill>
                  <pic:spPr>
                    <a:xfrm>
                      <a:off x="0" y="0"/>
                      <a:ext cx="5534025" cy="8124825"/>
                    </a:xfrm>
                    <a:prstGeom prst="rect">
                      <a:avLst/>
                    </a:prstGeom>
                    <a:noFill/>
                    <a:ln>
                      <a:noFill/>
                    </a:ln>
                  </pic:spPr>
                </pic:pic>
              </a:graphicData>
            </a:graphic>
          </wp:inline>
        </w:drawing>
      </w:r>
      <w:r>
        <w:drawing>
          <wp:inline distT="0" distB="0" distL="114300" distR="114300">
            <wp:extent cx="5457825" cy="7781925"/>
            <wp:effectExtent l="0" t="0" r="9525" b="952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57"/>
                    <a:stretch>
                      <a:fillRect/>
                    </a:stretch>
                  </pic:blipFill>
                  <pic:spPr>
                    <a:xfrm>
                      <a:off x="0" y="0"/>
                      <a:ext cx="5457825" cy="7781925"/>
                    </a:xfrm>
                    <a:prstGeom prst="rect">
                      <a:avLst/>
                    </a:prstGeom>
                    <a:noFill/>
                    <a:ln>
                      <a:noFill/>
                    </a:ln>
                  </pic:spPr>
                </pic:pic>
              </a:graphicData>
            </a:graphic>
          </wp:inline>
        </w:drawing>
      </w:r>
      <w:r>
        <w:drawing>
          <wp:inline distT="0" distB="0" distL="114300" distR="114300">
            <wp:extent cx="5562600" cy="7896225"/>
            <wp:effectExtent l="0" t="0" r="0" b="952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58"/>
                    <a:stretch>
                      <a:fillRect/>
                    </a:stretch>
                  </pic:blipFill>
                  <pic:spPr>
                    <a:xfrm>
                      <a:off x="0" y="0"/>
                      <a:ext cx="5562600" cy="7896225"/>
                    </a:xfrm>
                    <a:prstGeom prst="rect">
                      <a:avLst/>
                    </a:prstGeom>
                    <a:noFill/>
                    <a:ln>
                      <a:noFill/>
                    </a:ln>
                  </pic:spPr>
                </pic:pic>
              </a:graphicData>
            </a:graphic>
          </wp:inline>
        </w:drawing>
      </w:r>
      <w:r>
        <w:drawing>
          <wp:inline distT="0" distB="0" distL="114300" distR="114300">
            <wp:extent cx="5524500" cy="8001000"/>
            <wp:effectExtent l="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59"/>
                    <a:stretch>
                      <a:fillRect/>
                    </a:stretch>
                  </pic:blipFill>
                  <pic:spPr>
                    <a:xfrm>
                      <a:off x="0" y="0"/>
                      <a:ext cx="5524500" cy="8001000"/>
                    </a:xfrm>
                    <a:prstGeom prst="rect">
                      <a:avLst/>
                    </a:prstGeom>
                    <a:noFill/>
                    <a:ln>
                      <a:noFill/>
                    </a:ln>
                  </pic:spPr>
                </pic:pic>
              </a:graphicData>
            </a:graphic>
          </wp:inline>
        </w:drawing>
      </w:r>
      <w:r>
        <w:drawing>
          <wp:inline distT="0" distB="0" distL="114300" distR="114300">
            <wp:extent cx="5391150" cy="7953375"/>
            <wp:effectExtent l="0" t="0" r="0"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60"/>
                    <a:stretch>
                      <a:fillRect/>
                    </a:stretch>
                  </pic:blipFill>
                  <pic:spPr>
                    <a:xfrm>
                      <a:off x="0" y="0"/>
                      <a:ext cx="5391150" cy="7953375"/>
                    </a:xfrm>
                    <a:prstGeom prst="rect">
                      <a:avLst/>
                    </a:prstGeom>
                    <a:noFill/>
                    <a:ln>
                      <a:noFill/>
                    </a:ln>
                  </pic:spPr>
                </pic:pic>
              </a:graphicData>
            </a:graphic>
          </wp:inline>
        </w:drawing>
      </w:r>
    </w:p>
    <w:p w14:paraId="3D351202">
      <w:pPr>
        <w:jc w:val="left"/>
        <w:rPr>
          <w:color w:val="auto"/>
        </w:rPr>
      </w:pPr>
    </w:p>
    <w:p w14:paraId="50F0F4E7">
      <w:pPr>
        <w:jc w:val="left"/>
        <w:rPr>
          <w:color w:val="auto"/>
        </w:rPr>
      </w:pPr>
    </w:p>
    <w:p w14:paraId="5AFF3B72">
      <w:pPr>
        <w:jc w:val="left"/>
        <w:rPr>
          <w:color w:val="auto"/>
        </w:rPr>
      </w:pPr>
    </w:p>
    <w:p w14:paraId="7722064C">
      <w:pPr>
        <w:jc w:val="left"/>
        <w:rPr>
          <w:color w:val="auto"/>
        </w:rPr>
      </w:pPr>
    </w:p>
    <w:p w14:paraId="0F2B311B">
      <w:pPr>
        <w:jc w:val="left"/>
        <w:rPr>
          <w:rFonts w:hint="eastAsia" w:ascii="黑体" w:hAnsi="黑体" w:eastAsia="宋体"/>
          <w:color w:val="auto"/>
          <w:sz w:val="32"/>
          <w:szCs w:val="32"/>
          <w:lang w:eastAsia="zh-CN"/>
        </w:rPr>
      </w:pPr>
      <w:r>
        <w:drawing>
          <wp:inline distT="0" distB="0" distL="114300" distR="114300">
            <wp:extent cx="5561965" cy="7948930"/>
            <wp:effectExtent l="0" t="0" r="635" b="1397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61"/>
                    <a:stretch>
                      <a:fillRect/>
                    </a:stretch>
                  </pic:blipFill>
                  <pic:spPr>
                    <a:xfrm>
                      <a:off x="0" y="0"/>
                      <a:ext cx="5561965" cy="7948930"/>
                    </a:xfrm>
                    <a:prstGeom prst="rect">
                      <a:avLst/>
                    </a:prstGeom>
                    <a:noFill/>
                    <a:ln>
                      <a:noFill/>
                    </a:ln>
                  </pic:spPr>
                </pic:pic>
              </a:graphicData>
            </a:graphic>
          </wp:inline>
        </w:drawing>
      </w:r>
      <w:r>
        <w:drawing>
          <wp:inline distT="0" distB="0" distL="114300" distR="114300">
            <wp:extent cx="5208270" cy="7327900"/>
            <wp:effectExtent l="0" t="0" r="11430" b="6350"/>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62"/>
                    <a:stretch>
                      <a:fillRect/>
                    </a:stretch>
                  </pic:blipFill>
                  <pic:spPr>
                    <a:xfrm>
                      <a:off x="0" y="0"/>
                      <a:ext cx="5208270" cy="7327900"/>
                    </a:xfrm>
                    <a:prstGeom prst="rect">
                      <a:avLst/>
                    </a:prstGeom>
                    <a:noFill/>
                    <a:ln>
                      <a:noFill/>
                    </a:ln>
                  </pic:spPr>
                </pic:pic>
              </a:graphicData>
            </a:graphic>
          </wp:inline>
        </w:drawing>
      </w:r>
      <w:r>
        <w:drawing>
          <wp:inline distT="0" distB="0" distL="114300" distR="114300">
            <wp:extent cx="5129530" cy="1085850"/>
            <wp:effectExtent l="0" t="0" r="13970" b="0"/>
            <wp:docPr id="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
                    <pic:cNvPicPr>
                      <a:picLocks noChangeAspect="1"/>
                    </pic:cNvPicPr>
                  </pic:nvPicPr>
                  <pic:blipFill>
                    <a:blip r:embed="rId63"/>
                    <a:stretch>
                      <a:fillRect/>
                    </a:stretch>
                  </pic:blipFill>
                  <pic:spPr>
                    <a:xfrm>
                      <a:off x="0" y="0"/>
                      <a:ext cx="5129530" cy="1085850"/>
                    </a:xfrm>
                    <a:prstGeom prst="rect">
                      <a:avLst/>
                    </a:prstGeom>
                    <a:noFill/>
                    <a:ln>
                      <a:noFill/>
                    </a:ln>
                  </pic:spPr>
                </pic:pic>
              </a:graphicData>
            </a:graphic>
          </wp:inline>
        </w:drawing>
      </w:r>
      <w:r>
        <w:drawing>
          <wp:inline distT="0" distB="0" distL="114300" distR="114300">
            <wp:extent cx="5788660" cy="8306435"/>
            <wp:effectExtent l="0" t="0" r="2540" b="18415"/>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64"/>
                    <a:stretch>
                      <a:fillRect/>
                    </a:stretch>
                  </pic:blipFill>
                  <pic:spPr>
                    <a:xfrm>
                      <a:off x="0" y="0"/>
                      <a:ext cx="5788660" cy="8306435"/>
                    </a:xfrm>
                    <a:prstGeom prst="rect">
                      <a:avLst/>
                    </a:prstGeom>
                    <a:noFill/>
                    <a:ln>
                      <a:noFill/>
                    </a:ln>
                  </pic:spPr>
                </pic:pic>
              </a:graphicData>
            </a:graphic>
          </wp:inline>
        </w:drawing>
      </w:r>
      <w:r>
        <w:drawing>
          <wp:inline distT="0" distB="0" distL="114300" distR="114300">
            <wp:extent cx="5716905" cy="8191500"/>
            <wp:effectExtent l="0" t="0" r="17145" b="0"/>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65"/>
                    <a:stretch>
                      <a:fillRect/>
                    </a:stretch>
                  </pic:blipFill>
                  <pic:spPr>
                    <a:xfrm>
                      <a:off x="0" y="0"/>
                      <a:ext cx="5716905" cy="8191500"/>
                    </a:xfrm>
                    <a:prstGeom prst="rect">
                      <a:avLst/>
                    </a:prstGeom>
                    <a:noFill/>
                    <a:ln>
                      <a:noFill/>
                    </a:ln>
                  </pic:spPr>
                </pic:pic>
              </a:graphicData>
            </a:graphic>
          </wp:inline>
        </w:drawing>
      </w:r>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仿宋_GB2312)">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Times New Roman Regular">
    <w:altName w:val="Times New Roman"/>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86"/>
    <w:family w:val="script"/>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00000" w:csb1="00000000"/>
  </w:font>
  <w:font w:name="宋体-简">
    <w:altName w:val="宋体"/>
    <w:panose1 w:val="00000000000000000000"/>
    <w:charset w:val="00"/>
    <w:family w:val="auto"/>
    <w:pitch w:val="default"/>
    <w:sig w:usb0="00000000" w:usb1="00000000" w:usb2="00000000" w:usb3="00000000" w:csb0="0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68676">
    <w:pPr>
      <w:pStyle w:val="29"/>
      <w:framePr w:wrap="around" w:vAnchor="text" w:hAnchor="margin" w:xAlign="outside" w:y="1"/>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Style w:val="52"/>
        <w:rFonts w:ascii="宋体" w:hAnsi="宋体"/>
        <w:sz w:val="26"/>
        <w:szCs w:val="26"/>
      </w:rPr>
      <w:fldChar w:fldCharType="begin"/>
    </w:r>
    <w:r>
      <w:rPr>
        <w:rStyle w:val="52"/>
        <w:rFonts w:ascii="宋体" w:hAnsi="宋体"/>
        <w:sz w:val="26"/>
        <w:szCs w:val="26"/>
      </w:rPr>
      <w:instrText xml:space="preserve">PAGE  </w:instrText>
    </w:r>
    <w:r>
      <w:rPr>
        <w:rStyle w:val="52"/>
        <w:rFonts w:ascii="宋体" w:hAnsi="宋体"/>
        <w:sz w:val="26"/>
        <w:szCs w:val="26"/>
      </w:rPr>
      <w:fldChar w:fldCharType="separate"/>
    </w:r>
    <w:r>
      <w:rPr>
        <w:rStyle w:val="52"/>
        <w:rFonts w:ascii="宋体" w:hAnsi="宋体"/>
        <w:sz w:val="26"/>
        <w:szCs w:val="26"/>
      </w:rPr>
      <w:t>1</w:t>
    </w:r>
    <w:r>
      <w:rPr>
        <w:rStyle w:val="52"/>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p w14:paraId="6916EFD6">
    <w:pPr>
      <w:pStyle w:val="2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4DF10">
    <w:pPr>
      <w:pStyle w:val="29"/>
      <w:framePr w:wrap="around" w:vAnchor="text" w:hAnchor="margin" w:xAlign="outside" w:y="1"/>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Style w:val="52"/>
        <w:rFonts w:ascii="宋体" w:hAnsi="宋体"/>
        <w:sz w:val="26"/>
        <w:szCs w:val="26"/>
      </w:rPr>
      <w:fldChar w:fldCharType="begin"/>
    </w:r>
    <w:r>
      <w:rPr>
        <w:rStyle w:val="52"/>
        <w:rFonts w:ascii="宋体" w:hAnsi="宋体"/>
        <w:sz w:val="26"/>
        <w:szCs w:val="26"/>
      </w:rPr>
      <w:instrText xml:space="preserve">PAGE  </w:instrText>
    </w:r>
    <w:r>
      <w:rPr>
        <w:rStyle w:val="52"/>
        <w:rFonts w:ascii="宋体" w:hAnsi="宋体"/>
        <w:sz w:val="26"/>
        <w:szCs w:val="26"/>
      </w:rPr>
      <w:fldChar w:fldCharType="separate"/>
    </w:r>
    <w:r>
      <w:rPr>
        <w:rStyle w:val="52"/>
        <w:rFonts w:ascii="宋体" w:hAnsi="宋体"/>
        <w:sz w:val="26"/>
        <w:szCs w:val="26"/>
      </w:rPr>
      <w:t>52</w:t>
    </w:r>
    <w:r>
      <w:rPr>
        <w:rStyle w:val="52"/>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p w14:paraId="6B771F0B">
    <w:pPr>
      <w:pStyle w:val="29"/>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FB6C4">
    <w:pPr>
      <w:pStyle w:val="29"/>
      <w:framePr w:wrap="around" w:vAnchor="text" w:hAnchor="margin" w:xAlign="center" w:y="1"/>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Style w:val="52"/>
        <w:rFonts w:ascii="宋体" w:hAnsi="宋体"/>
        <w:sz w:val="26"/>
        <w:szCs w:val="26"/>
      </w:rPr>
      <w:fldChar w:fldCharType="begin"/>
    </w:r>
    <w:r>
      <w:rPr>
        <w:rStyle w:val="52"/>
        <w:rFonts w:ascii="宋体" w:hAnsi="宋体"/>
        <w:sz w:val="26"/>
        <w:szCs w:val="26"/>
      </w:rPr>
      <w:instrText xml:space="preserve">PAGE  </w:instrText>
    </w:r>
    <w:r>
      <w:rPr>
        <w:rStyle w:val="52"/>
        <w:rFonts w:ascii="宋体" w:hAnsi="宋体"/>
        <w:sz w:val="26"/>
        <w:szCs w:val="26"/>
      </w:rPr>
      <w:fldChar w:fldCharType="separate"/>
    </w:r>
    <w:r>
      <w:rPr>
        <w:rStyle w:val="52"/>
        <w:rFonts w:ascii="宋体" w:hAnsi="宋体"/>
        <w:sz w:val="26"/>
        <w:szCs w:val="26"/>
      </w:rPr>
      <w:t>55</w:t>
    </w:r>
    <w:r>
      <w:rPr>
        <w:rStyle w:val="52"/>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p w14:paraId="096B8930">
    <w:pPr>
      <w:pStyle w:val="2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F6CFB">
    <w:pPr>
      <w:pStyle w:val="29"/>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6B4CF">
    <w:pPr>
      <w:pStyle w:val="29"/>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8A2E7">
    <w:pPr>
      <w:pStyle w:val="2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97A848"/>
    <w:multiLevelType w:val="singleLevel"/>
    <w:tmpl w:val="CD97A848"/>
    <w:lvl w:ilvl="0" w:tentative="0">
      <w:start w:val="1"/>
      <w:numFmt w:val="chineseCounting"/>
      <w:suff w:val="nothing"/>
      <w:lvlText w:val="%1、"/>
      <w:lvlJc w:val="left"/>
      <w:rPr>
        <w:rFonts w:hint="eastAsia"/>
      </w:rPr>
    </w:lvl>
  </w:abstractNum>
  <w:abstractNum w:abstractNumId="1">
    <w:nsid w:val="0468A7E9"/>
    <w:multiLevelType w:val="singleLevel"/>
    <w:tmpl w:val="0468A7E9"/>
    <w:lvl w:ilvl="0" w:tentative="0">
      <w:start w:val="1"/>
      <w:numFmt w:val="decimal"/>
      <w:suff w:val="nothing"/>
      <w:lvlText w:val="%1、"/>
      <w:lvlJc w:val="left"/>
    </w:lvl>
  </w:abstractNum>
  <w:abstractNum w:abstractNumId="2">
    <w:nsid w:val="74C4C989"/>
    <w:multiLevelType w:val="singleLevel"/>
    <w:tmpl w:val="74C4C989"/>
    <w:lvl w:ilvl="0" w:tentative="0">
      <w:start w:val="3"/>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14947"/>
    <w:rsid w:val="0000365D"/>
    <w:rsid w:val="00004CE1"/>
    <w:rsid w:val="000060B3"/>
    <w:rsid w:val="00007AB8"/>
    <w:rsid w:val="00017946"/>
    <w:rsid w:val="00033F55"/>
    <w:rsid w:val="00035626"/>
    <w:rsid w:val="000371D7"/>
    <w:rsid w:val="0004364B"/>
    <w:rsid w:val="00061B1F"/>
    <w:rsid w:val="00065EEC"/>
    <w:rsid w:val="000733C4"/>
    <w:rsid w:val="00074783"/>
    <w:rsid w:val="00076828"/>
    <w:rsid w:val="0008070B"/>
    <w:rsid w:val="000810AC"/>
    <w:rsid w:val="00081332"/>
    <w:rsid w:val="00081A02"/>
    <w:rsid w:val="00082231"/>
    <w:rsid w:val="00092D38"/>
    <w:rsid w:val="0009377B"/>
    <w:rsid w:val="000A20C9"/>
    <w:rsid w:val="000A31EB"/>
    <w:rsid w:val="000A6098"/>
    <w:rsid w:val="000B058F"/>
    <w:rsid w:val="000B2A66"/>
    <w:rsid w:val="000B4467"/>
    <w:rsid w:val="000B4DB9"/>
    <w:rsid w:val="000C09AC"/>
    <w:rsid w:val="000C1D7A"/>
    <w:rsid w:val="000C2F6D"/>
    <w:rsid w:val="000C3C5A"/>
    <w:rsid w:val="000C767F"/>
    <w:rsid w:val="000D5A44"/>
    <w:rsid w:val="000E3ED2"/>
    <w:rsid w:val="000E52C9"/>
    <w:rsid w:val="000E653C"/>
    <w:rsid w:val="000E7067"/>
    <w:rsid w:val="00103808"/>
    <w:rsid w:val="00105035"/>
    <w:rsid w:val="001107B7"/>
    <w:rsid w:val="00112204"/>
    <w:rsid w:val="00122572"/>
    <w:rsid w:val="001245FF"/>
    <w:rsid w:val="00131F42"/>
    <w:rsid w:val="001357F1"/>
    <w:rsid w:val="00136E27"/>
    <w:rsid w:val="00137240"/>
    <w:rsid w:val="00137782"/>
    <w:rsid w:val="00140FA8"/>
    <w:rsid w:val="001412AD"/>
    <w:rsid w:val="00141B89"/>
    <w:rsid w:val="00142FEB"/>
    <w:rsid w:val="00143A2D"/>
    <w:rsid w:val="00145A41"/>
    <w:rsid w:val="00147707"/>
    <w:rsid w:val="00147C99"/>
    <w:rsid w:val="00151675"/>
    <w:rsid w:val="00154642"/>
    <w:rsid w:val="00157435"/>
    <w:rsid w:val="0017504D"/>
    <w:rsid w:val="0017671A"/>
    <w:rsid w:val="00177422"/>
    <w:rsid w:val="00181BF2"/>
    <w:rsid w:val="00183240"/>
    <w:rsid w:val="00184590"/>
    <w:rsid w:val="001870D1"/>
    <w:rsid w:val="0018781E"/>
    <w:rsid w:val="00190E15"/>
    <w:rsid w:val="0019262D"/>
    <w:rsid w:val="001A1B35"/>
    <w:rsid w:val="001A48A2"/>
    <w:rsid w:val="001A6F61"/>
    <w:rsid w:val="001B39F0"/>
    <w:rsid w:val="001B72B8"/>
    <w:rsid w:val="001C1F2B"/>
    <w:rsid w:val="001C69B3"/>
    <w:rsid w:val="001D5595"/>
    <w:rsid w:val="001D698C"/>
    <w:rsid w:val="001D7874"/>
    <w:rsid w:val="001D7F22"/>
    <w:rsid w:val="001E47D0"/>
    <w:rsid w:val="001E72E5"/>
    <w:rsid w:val="001F0403"/>
    <w:rsid w:val="001F0F17"/>
    <w:rsid w:val="001F3347"/>
    <w:rsid w:val="001F5031"/>
    <w:rsid w:val="001F69E4"/>
    <w:rsid w:val="00202742"/>
    <w:rsid w:val="00207CB8"/>
    <w:rsid w:val="002101D2"/>
    <w:rsid w:val="00210B53"/>
    <w:rsid w:val="00210B8B"/>
    <w:rsid w:val="002125B4"/>
    <w:rsid w:val="00212CBE"/>
    <w:rsid w:val="002155B8"/>
    <w:rsid w:val="00223098"/>
    <w:rsid w:val="00224839"/>
    <w:rsid w:val="002249B2"/>
    <w:rsid w:val="00226574"/>
    <w:rsid w:val="002278EC"/>
    <w:rsid w:val="0023280E"/>
    <w:rsid w:val="002377D1"/>
    <w:rsid w:val="00245719"/>
    <w:rsid w:val="00246D06"/>
    <w:rsid w:val="00247348"/>
    <w:rsid w:val="002506BC"/>
    <w:rsid w:val="0025129F"/>
    <w:rsid w:val="00254345"/>
    <w:rsid w:val="00264557"/>
    <w:rsid w:val="00272808"/>
    <w:rsid w:val="00276A6E"/>
    <w:rsid w:val="002805AB"/>
    <w:rsid w:val="00283E12"/>
    <w:rsid w:val="00284204"/>
    <w:rsid w:val="00291773"/>
    <w:rsid w:val="0029408F"/>
    <w:rsid w:val="00294CDD"/>
    <w:rsid w:val="002A168C"/>
    <w:rsid w:val="002A3DC7"/>
    <w:rsid w:val="002A7D5A"/>
    <w:rsid w:val="002B49E2"/>
    <w:rsid w:val="002B7B00"/>
    <w:rsid w:val="002B7C44"/>
    <w:rsid w:val="002C2B17"/>
    <w:rsid w:val="002C54BE"/>
    <w:rsid w:val="002C595B"/>
    <w:rsid w:val="002D3DD0"/>
    <w:rsid w:val="002D6288"/>
    <w:rsid w:val="002E1F3A"/>
    <w:rsid w:val="002E20E9"/>
    <w:rsid w:val="002E298A"/>
    <w:rsid w:val="002E6194"/>
    <w:rsid w:val="002E7F04"/>
    <w:rsid w:val="002F180D"/>
    <w:rsid w:val="00300A7C"/>
    <w:rsid w:val="00301978"/>
    <w:rsid w:val="0030332C"/>
    <w:rsid w:val="00304351"/>
    <w:rsid w:val="003051C2"/>
    <w:rsid w:val="00312296"/>
    <w:rsid w:val="00314F0E"/>
    <w:rsid w:val="00321D8E"/>
    <w:rsid w:val="00322B00"/>
    <w:rsid w:val="003247FA"/>
    <w:rsid w:val="00325928"/>
    <w:rsid w:val="00330682"/>
    <w:rsid w:val="00331BDD"/>
    <w:rsid w:val="00332863"/>
    <w:rsid w:val="00335237"/>
    <w:rsid w:val="0033684D"/>
    <w:rsid w:val="00337B42"/>
    <w:rsid w:val="00341B42"/>
    <w:rsid w:val="0034348F"/>
    <w:rsid w:val="00343F6E"/>
    <w:rsid w:val="00353F41"/>
    <w:rsid w:val="00354FA3"/>
    <w:rsid w:val="00356653"/>
    <w:rsid w:val="0035743F"/>
    <w:rsid w:val="00357BE2"/>
    <w:rsid w:val="0036170C"/>
    <w:rsid w:val="00366E0F"/>
    <w:rsid w:val="00375EDA"/>
    <w:rsid w:val="00381A72"/>
    <w:rsid w:val="00382CAB"/>
    <w:rsid w:val="00384676"/>
    <w:rsid w:val="00390857"/>
    <w:rsid w:val="003A0262"/>
    <w:rsid w:val="003A0EA8"/>
    <w:rsid w:val="003A209D"/>
    <w:rsid w:val="003A2410"/>
    <w:rsid w:val="003A4BF3"/>
    <w:rsid w:val="003A4E37"/>
    <w:rsid w:val="003B420D"/>
    <w:rsid w:val="003C4C1D"/>
    <w:rsid w:val="003C6C16"/>
    <w:rsid w:val="003D25E6"/>
    <w:rsid w:val="003D794D"/>
    <w:rsid w:val="003E3058"/>
    <w:rsid w:val="003E76A9"/>
    <w:rsid w:val="003F0809"/>
    <w:rsid w:val="003F1309"/>
    <w:rsid w:val="003F6A8C"/>
    <w:rsid w:val="003F6ED1"/>
    <w:rsid w:val="003F755C"/>
    <w:rsid w:val="00406F01"/>
    <w:rsid w:val="00413406"/>
    <w:rsid w:val="004152A2"/>
    <w:rsid w:val="00416D50"/>
    <w:rsid w:val="00416FD5"/>
    <w:rsid w:val="00417772"/>
    <w:rsid w:val="00420E6A"/>
    <w:rsid w:val="0042210E"/>
    <w:rsid w:val="0042339A"/>
    <w:rsid w:val="00424511"/>
    <w:rsid w:val="00425A9E"/>
    <w:rsid w:val="00426D6B"/>
    <w:rsid w:val="00431E6C"/>
    <w:rsid w:val="00433CE7"/>
    <w:rsid w:val="0043409B"/>
    <w:rsid w:val="0043574A"/>
    <w:rsid w:val="00440973"/>
    <w:rsid w:val="00450DA0"/>
    <w:rsid w:val="00452738"/>
    <w:rsid w:val="00456091"/>
    <w:rsid w:val="00460C85"/>
    <w:rsid w:val="00466321"/>
    <w:rsid w:val="004719F1"/>
    <w:rsid w:val="00471F4A"/>
    <w:rsid w:val="00475FB7"/>
    <w:rsid w:val="00482CDA"/>
    <w:rsid w:val="00484B9B"/>
    <w:rsid w:val="004855F6"/>
    <w:rsid w:val="0048661E"/>
    <w:rsid w:val="00490AE9"/>
    <w:rsid w:val="00491E54"/>
    <w:rsid w:val="00494670"/>
    <w:rsid w:val="004A1907"/>
    <w:rsid w:val="004A3823"/>
    <w:rsid w:val="004A39E5"/>
    <w:rsid w:val="004B1DD2"/>
    <w:rsid w:val="004B5D91"/>
    <w:rsid w:val="004C04FD"/>
    <w:rsid w:val="004D4392"/>
    <w:rsid w:val="004E1133"/>
    <w:rsid w:val="004E58F2"/>
    <w:rsid w:val="004E6946"/>
    <w:rsid w:val="004F1AD8"/>
    <w:rsid w:val="004F6ABD"/>
    <w:rsid w:val="0050319B"/>
    <w:rsid w:val="005039CB"/>
    <w:rsid w:val="0050558F"/>
    <w:rsid w:val="00506286"/>
    <w:rsid w:val="00510813"/>
    <w:rsid w:val="00511990"/>
    <w:rsid w:val="00511CE7"/>
    <w:rsid w:val="00511DE0"/>
    <w:rsid w:val="0051207C"/>
    <w:rsid w:val="00512B0C"/>
    <w:rsid w:val="00512D93"/>
    <w:rsid w:val="00514870"/>
    <w:rsid w:val="00514B9B"/>
    <w:rsid w:val="00517F02"/>
    <w:rsid w:val="00524303"/>
    <w:rsid w:val="005258A2"/>
    <w:rsid w:val="00533ADC"/>
    <w:rsid w:val="005401AE"/>
    <w:rsid w:val="00542E07"/>
    <w:rsid w:val="005443BD"/>
    <w:rsid w:val="00545424"/>
    <w:rsid w:val="00545E1C"/>
    <w:rsid w:val="00554A7B"/>
    <w:rsid w:val="0055572C"/>
    <w:rsid w:val="00556272"/>
    <w:rsid w:val="0056106A"/>
    <w:rsid w:val="0056197F"/>
    <w:rsid w:val="005720AE"/>
    <w:rsid w:val="005737C4"/>
    <w:rsid w:val="00575D16"/>
    <w:rsid w:val="00576AD8"/>
    <w:rsid w:val="00582A47"/>
    <w:rsid w:val="00586629"/>
    <w:rsid w:val="00590B8F"/>
    <w:rsid w:val="00592998"/>
    <w:rsid w:val="00594448"/>
    <w:rsid w:val="00594D0F"/>
    <w:rsid w:val="00594D77"/>
    <w:rsid w:val="005958B3"/>
    <w:rsid w:val="005969E4"/>
    <w:rsid w:val="00597F0D"/>
    <w:rsid w:val="005A06B7"/>
    <w:rsid w:val="005A1759"/>
    <w:rsid w:val="005A68A7"/>
    <w:rsid w:val="005D36AB"/>
    <w:rsid w:val="005E215B"/>
    <w:rsid w:val="005E5F15"/>
    <w:rsid w:val="005E7766"/>
    <w:rsid w:val="005F2874"/>
    <w:rsid w:val="006051EC"/>
    <w:rsid w:val="00614EF6"/>
    <w:rsid w:val="00615153"/>
    <w:rsid w:val="00616B0C"/>
    <w:rsid w:val="00617CC3"/>
    <w:rsid w:val="00620D27"/>
    <w:rsid w:val="00624A5C"/>
    <w:rsid w:val="00626F38"/>
    <w:rsid w:val="0063227E"/>
    <w:rsid w:val="0063293B"/>
    <w:rsid w:val="00632BBA"/>
    <w:rsid w:val="006345BB"/>
    <w:rsid w:val="006350EF"/>
    <w:rsid w:val="006377A6"/>
    <w:rsid w:val="00637A3D"/>
    <w:rsid w:val="006411EF"/>
    <w:rsid w:val="00643AC7"/>
    <w:rsid w:val="00650950"/>
    <w:rsid w:val="006533F7"/>
    <w:rsid w:val="00661D4E"/>
    <w:rsid w:val="006666E0"/>
    <w:rsid w:val="00666B92"/>
    <w:rsid w:val="0066712E"/>
    <w:rsid w:val="00672BE3"/>
    <w:rsid w:val="006748B8"/>
    <w:rsid w:val="00675E9C"/>
    <w:rsid w:val="006766D0"/>
    <w:rsid w:val="006775C3"/>
    <w:rsid w:val="006844D8"/>
    <w:rsid w:val="006877B1"/>
    <w:rsid w:val="0069290A"/>
    <w:rsid w:val="00696F19"/>
    <w:rsid w:val="0069775A"/>
    <w:rsid w:val="00697813"/>
    <w:rsid w:val="006A3EE8"/>
    <w:rsid w:val="006A72BF"/>
    <w:rsid w:val="006B03F2"/>
    <w:rsid w:val="006B37DC"/>
    <w:rsid w:val="006B4286"/>
    <w:rsid w:val="006B4F68"/>
    <w:rsid w:val="006C0592"/>
    <w:rsid w:val="006C272E"/>
    <w:rsid w:val="006C4E64"/>
    <w:rsid w:val="006C5479"/>
    <w:rsid w:val="006D13B5"/>
    <w:rsid w:val="006D72EC"/>
    <w:rsid w:val="006E12FF"/>
    <w:rsid w:val="006E22E6"/>
    <w:rsid w:val="006E3567"/>
    <w:rsid w:val="006E607E"/>
    <w:rsid w:val="006F3A1B"/>
    <w:rsid w:val="00706C5D"/>
    <w:rsid w:val="00712C44"/>
    <w:rsid w:val="0072353E"/>
    <w:rsid w:val="00732922"/>
    <w:rsid w:val="007373CA"/>
    <w:rsid w:val="00746908"/>
    <w:rsid w:val="00746986"/>
    <w:rsid w:val="0075162E"/>
    <w:rsid w:val="0075265C"/>
    <w:rsid w:val="0075370E"/>
    <w:rsid w:val="00754034"/>
    <w:rsid w:val="00756556"/>
    <w:rsid w:val="007618C4"/>
    <w:rsid w:val="00767980"/>
    <w:rsid w:val="00770B19"/>
    <w:rsid w:val="00773C7E"/>
    <w:rsid w:val="0077463F"/>
    <w:rsid w:val="007768C8"/>
    <w:rsid w:val="00776B6E"/>
    <w:rsid w:val="007815FB"/>
    <w:rsid w:val="007836EA"/>
    <w:rsid w:val="00784CDA"/>
    <w:rsid w:val="007906C4"/>
    <w:rsid w:val="007940EA"/>
    <w:rsid w:val="007967E8"/>
    <w:rsid w:val="0079701D"/>
    <w:rsid w:val="007A16D8"/>
    <w:rsid w:val="007A2170"/>
    <w:rsid w:val="007A22BF"/>
    <w:rsid w:val="007A3323"/>
    <w:rsid w:val="007A44A6"/>
    <w:rsid w:val="007A4A1F"/>
    <w:rsid w:val="007B72B8"/>
    <w:rsid w:val="007B7A58"/>
    <w:rsid w:val="007C1F15"/>
    <w:rsid w:val="007C21B5"/>
    <w:rsid w:val="007C2703"/>
    <w:rsid w:val="007C33FA"/>
    <w:rsid w:val="007D168A"/>
    <w:rsid w:val="007D5301"/>
    <w:rsid w:val="007E37CF"/>
    <w:rsid w:val="007E4BD2"/>
    <w:rsid w:val="007E5F67"/>
    <w:rsid w:val="007F2659"/>
    <w:rsid w:val="007F5B20"/>
    <w:rsid w:val="007F60CD"/>
    <w:rsid w:val="0080101F"/>
    <w:rsid w:val="00801393"/>
    <w:rsid w:val="00801E78"/>
    <w:rsid w:val="00802F88"/>
    <w:rsid w:val="0081293E"/>
    <w:rsid w:val="00815465"/>
    <w:rsid w:val="00817E9A"/>
    <w:rsid w:val="00821D42"/>
    <w:rsid w:val="00826C9A"/>
    <w:rsid w:val="008306BD"/>
    <w:rsid w:val="00830DED"/>
    <w:rsid w:val="008319AD"/>
    <w:rsid w:val="00831A80"/>
    <w:rsid w:val="00833743"/>
    <w:rsid w:val="008340A4"/>
    <w:rsid w:val="0083719B"/>
    <w:rsid w:val="008426DF"/>
    <w:rsid w:val="00845F14"/>
    <w:rsid w:val="00855A2E"/>
    <w:rsid w:val="0085630B"/>
    <w:rsid w:val="008603CE"/>
    <w:rsid w:val="00863BEC"/>
    <w:rsid w:val="0087135F"/>
    <w:rsid w:val="00872355"/>
    <w:rsid w:val="00872D94"/>
    <w:rsid w:val="00875B88"/>
    <w:rsid w:val="00876CBB"/>
    <w:rsid w:val="00877286"/>
    <w:rsid w:val="00880364"/>
    <w:rsid w:val="00891592"/>
    <w:rsid w:val="00891E9E"/>
    <w:rsid w:val="0089280F"/>
    <w:rsid w:val="00895722"/>
    <w:rsid w:val="00896DD6"/>
    <w:rsid w:val="008A201D"/>
    <w:rsid w:val="008A2F68"/>
    <w:rsid w:val="008B4FA6"/>
    <w:rsid w:val="008B5282"/>
    <w:rsid w:val="008B7C17"/>
    <w:rsid w:val="008C2D01"/>
    <w:rsid w:val="008C2D63"/>
    <w:rsid w:val="008C40E6"/>
    <w:rsid w:val="008C619D"/>
    <w:rsid w:val="008D098E"/>
    <w:rsid w:val="008D0F7A"/>
    <w:rsid w:val="008D3811"/>
    <w:rsid w:val="008D5771"/>
    <w:rsid w:val="008D68E4"/>
    <w:rsid w:val="008E0506"/>
    <w:rsid w:val="008E0CFF"/>
    <w:rsid w:val="008E3E65"/>
    <w:rsid w:val="008E5D6B"/>
    <w:rsid w:val="008E76F0"/>
    <w:rsid w:val="008F15FE"/>
    <w:rsid w:val="008F2D29"/>
    <w:rsid w:val="008F4353"/>
    <w:rsid w:val="008F5187"/>
    <w:rsid w:val="008F60D8"/>
    <w:rsid w:val="008F6BA5"/>
    <w:rsid w:val="009015DA"/>
    <w:rsid w:val="00902727"/>
    <w:rsid w:val="0090312B"/>
    <w:rsid w:val="00907C8D"/>
    <w:rsid w:val="0091736D"/>
    <w:rsid w:val="0091782B"/>
    <w:rsid w:val="00922279"/>
    <w:rsid w:val="00926FE8"/>
    <w:rsid w:val="0093037A"/>
    <w:rsid w:val="00934632"/>
    <w:rsid w:val="0094154D"/>
    <w:rsid w:val="0095155F"/>
    <w:rsid w:val="00954429"/>
    <w:rsid w:val="00954720"/>
    <w:rsid w:val="009563CE"/>
    <w:rsid w:val="009607C9"/>
    <w:rsid w:val="009661D7"/>
    <w:rsid w:val="009708F5"/>
    <w:rsid w:val="0097194D"/>
    <w:rsid w:val="00972912"/>
    <w:rsid w:val="00976328"/>
    <w:rsid w:val="0097680D"/>
    <w:rsid w:val="00980886"/>
    <w:rsid w:val="00982438"/>
    <w:rsid w:val="0098404C"/>
    <w:rsid w:val="00985283"/>
    <w:rsid w:val="009903E2"/>
    <w:rsid w:val="00991BE5"/>
    <w:rsid w:val="00995992"/>
    <w:rsid w:val="009A01AF"/>
    <w:rsid w:val="009A03E5"/>
    <w:rsid w:val="009A0F3B"/>
    <w:rsid w:val="009A1BB4"/>
    <w:rsid w:val="009A2628"/>
    <w:rsid w:val="009A3200"/>
    <w:rsid w:val="009B0897"/>
    <w:rsid w:val="009B097F"/>
    <w:rsid w:val="009B2D5C"/>
    <w:rsid w:val="009B7BD9"/>
    <w:rsid w:val="009C7DD5"/>
    <w:rsid w:val="009E227D"/>
    <w:rsid w:val="009E2770"/>
    <w:rsid w:val="009E5019"/>
    <w:rsid w:val="009E6EAC"/>
    <w:rsid w:val="009F02B2"/>
    <w:rsid w:val="009F4ECD"/>
    <w:rsid w:val="009F65FA"/>
    <w:rsid w:val="00A04F1B"/>
    <w:rsid w:val="00A0501B"/>
    <w:rsid w:val="00A0576F"/>
    <w:rsid w:val="00A14947"/>
    <w:rsid w:val="00A3125F"/>
    <w:rsid w:val="00A32A83"/>
    <w:rsid w:val="00A33FAD"/>
    <w:rsid w:val="00A3519D"/>
    <w:rsid w:val="00A368DB"/>
    <w:rsid w:val="00A4200F"/>
    <w:rsid w:val="00A423AA"/>
    <w:rsid w:val="00A45975"/>
    <w:rsid w:val="00A46D01"/>
    <w:rsid w:val="00A52D53"/>
    <w:rsid w:val="00A53EC6"/>
    <w:rsid w:val="00A54FE6"/>
    <w:rsid w:val="00A55C0F"/>
    <w:rsid w:val="00A64780"/>
    <w:rsid w:val="00A704A6"/>
    <w:rsid w:val="00A8041F"/>
    <w:rsid w:val="00A80F98"/>
    <w:rsid w:val="00A819B6"/>
    <w:rsid w:val="00A8335B"/>
    <w:rsid w:val="00A8713F"/>
    <w:rsid w:val="00A90BA1"/>
    <w:rsid w:val="00A92E85"/>
    <w:rsid w:val="00A971AA"/>
    <w:rsid w:val="00A97637"/>
    <w:rsid w:val="00A97A9A"/>
    <w:rsid w:val="00AA0671"/>
    <w:rsid w:val="00AA2421"/>
    <w:rsid w:val="00AA2531"/>
    <w:rsid w:val="00AA3FF3"/>
    <w:rsid w:val="00AA7C04"/>
    <w:rsid w:val="00AB1E09"/>
    <w:rsid w:val="00AB5330"/>
    <w:rsid w:val="00AB7747"/>
    <w:rsid w:val="00AC14CE"/>
    <w:rsid w:val="00AC256C"/>
    <w:rsid w:val="00AC2743"/>
    <w:rsid w:val="00AC2A56"/>
    <w:rsid w:val="00AC6A61"/>
    <w:rsid w:val="00AC77F0"/>
    <w:rsid w:val="00AC7B57"/>
    <w:rsid w:val="00AD055E"/>
    <w:rsid w:val="00AD316E"/>
    <w:rsid w:val="00AD47A7"/>
    <w:rsid w:val="00AD56D2"/>
    <w:rsid w:val="00AE22DF"/>
    <w:rsid w:val="00AE2CB1"/>
    <w:rsid w:val="00AF0CBF"/>
    <w:rsid w:val="00AF257F"/>
    <w:rsid w:val="00AF33CF"/>
    <w:rsid w:val="00AF4D50"/>
    <w:rsid w:val="00AF5B5C"/>
    <w:rsid w:val="00AF5C4A"/>
    <w:rsid w:val="00AF6179"/>
    <w:rsid w:val="00B03952"/>
    <w:rsid w:val="00B03E4B"/>
    <w:rsid w:val="00B1295A"/>
    <w:rsid w:val="00B20A45"/>
    <w:rsid w:val="00B229EA"/>
    <w:rsid w:val="00B22C5C"/>
    <w:rsid w:val="00B24F30"/>
    <w:rsid w:val="00B31ABF"/>
    <w:rsid w:val="00B33BE3"/>
    <w:rsid w:val="00B35A6F"/>
    <w:rsid w:val="00B35BC6"/>
    <w:rsid w:val="00B474A0"/>
    <w:rsid w:val="00B526C1"/>
    <w:rsid w:val="00B53B5D"/>
    <w:rsid w:val="00B53E6D"/>
    <w:rsid w:val="00B6055E"/>
    <w:rsid w:val="00B6317D"/>
    <w:rsid w:val="00B73836"/>
    <w:rsid w:val="00B7426D"/>
    <w:rsid w:val="00B7723F"/>
    <w:rsid w:val="00B80534"/>
    <w:rsid w:val="00B8433C"/>
    <w:rsid w:val="00B87491"/>
    <w:rsid w:val="00B90B59"/>
    <w:rsid w:val="00B92E63"/>
    <w:rsid w:val="00BA29E9"/>
    <w:rsid w:val="00BA3AFD"/>
    <w:rsid w:val="00BA7142"/>
    <w:rsid w:val="00BA73FC"/>
    <w:rsid w:val="00BA780D"/>
    <w:rsid w:val="00BB1184"/>
    <w:rsid w:val="00BB237C"/>
    <w:rsid w:val="00BB3820"/>
    <w:rsid w:val="00BB41A3"/>
    <w:rsid w:val="00BB4602"/>
    <w:rsid w:val="00BB4F13"/>
    <w:rsid w:val="00BC32DC"/>
    <w:rsid w:val="00BC35B6"/>
    <w:rsid w:val="00BC605F"/>
    <w:rsid w:val="00BD0261"/>
    <w:rsid w:val="00BD1B51"/>
    <w:rsid w:val="00BD4596"/>
    <w:rsid w:val="00BD6917"/>
    <w:rsid w:val="00BE1405"/>
    <w:rsid w:val="00BE2145"/>
    <w:rsid w:val="00BE312D"/>
    <w:rsid w:val="00BE3E86"/>
    <w:rsid w:val="00BF1C20"/>
    <w:rsid w:val="00BF4A46"/>
    <w:rsid w:val="00C031DE"/>
    <w:rsid w:val="00C0462E"/>
    <w:rsid w:val="00C05355"/>
    <w:rsid w:val="00C10578"/>
    <w:rsid w:val="00C135BC"/>
    <w:rsid w:val="00C1522B"/>
    <w:rsid w:val="00C15C95"/>
    <w:rsid w:val="00C2297F"/>
    <w:rsid w:val="00C24632"/>
    <w:rsid w:val="00C2596A"/>
    <w:rsid w:val="00C268AB"/>
    <w:rsid w:val="00C27537"/>
    <w:rsid w:val="00C328FE"/>
    <w:rsid w:val="00C33507"/>
    <w:rsid w:val="00C4409D"/>
    <w:rsid w:val="00C44E72"/>
    <w:rsid w:val="00C45A06"/>
    <w:rsid w:val="00C47524"/>
    <w:rsid w:val="00C47E5B"/>
    <w:rsid w:val="00C55D6A"/>
    <w:rsid w:val="00C5700B"/>
    <w:rsid w:val="00C61E4B"/>
    <w:rsid w:val="00C64BFF"/>
    <w:rsid w:val="00C704E9"/>
    <w:rsid w:val="00C763C9"/>
    <w:rsid w:val="00C7788B"/>
    <w:rsid w:val="00C80057"/>
    <w:rsid w:val="00C80A58"/>
    <w:rsid w:val="00C82232"/>
    <w:rsid w:val="00C82409"/>
    <w:rsid w:val="00C82913"/>
    <w:rsid w:val="00C8357F"/>
    <w:rsid w:val="00C854CA"/>
    <w:rsid w:val="00C90D53"/>
    <w:rsid w:val="00C95DA3"/>
    <w:rsid w:val="00C972B1"/>
    <w:rsid w:val="00CA2182"/>
    <w:rsid w:val="00CA2CCE"/>
    <w:rsid w:val="00CA43FD"/>
    <w:rsid w:val="00CA7EF8"/>
    <w:rsid w:val="00CB0B29"/>
    <w:rsid w:val="00CC489B"/>
    <w:rsid w:val="00CC5B18"/>
    <w:rsid w:val="00CD2BCD"/>
    <w:rsid w:val="00CD3A4C"/>
    <w:rsid w:val="00CD4E04"/>
    <w:rsid w:val="00CD5067"/>
    <w:rsid w:val="00CE035B"/>
    <w:rsid w:val="00CE10E9"/>
    <w:rsid w:val="00CE2910"/>
    <w:rsid w:val="00CE5393"/>
    <w:rsid w:val="00CE5FE8"/>
    <w:rsid w:val="00CE73F2"/>
    <w:rsid w:val="00CF36BE"/>
    <w:rsid w:val="00CF39A9"/>
    <w:rsid w:val="00CF6000"/>
    <w:rsid w:val="00D003F3"/>
    <w:rsid w:val="00D0150C"/>
    <w:rsid w:val="00D0364F"/>
    <w:rsid w:val="00D06834"/>
    <w:rsid w:val="00D069A3"/>
    <w:rsid w:val="00D13BF8"/>
    <w:rsid w:val="00D22F3A"/>
    <w:rsid w:val="00D25F07"/>
    <w:rsid w:val="00D308ED"/>
    <w:rsid w:val="00D36D86"/>
    <w:rsid w:val="00D428AA"/>
    <w:rsid w:val="00D505D4"/>
    <w:rsid w:val="00D50A34"/>
    <w:rsid w:val="00D52A67"/>
    <w:rsid w:val="00D53EFA"/>
    <w:rsid w:val="00D54D4A"/>
    <w:rsid w:val="00D54FD2"/>
    <w:rsid w:val="00D66420"/>
    <w:rsid w:val="00D70B66"/>
    <w:rsid w:val="00D70BBF"/>
    <w:rsid w:val="00D73FA9"/>
    <w:rsid w:val="00D8608A"/>
    <w:rsid w:val="00D87062"/>
    <w:rsid w:val="00D94A7C"/>
    <w:rsid w:val="00D95896"/>
    <w:rsid w:val="00D95FA0"/>
    <w:rsid w:val="00D9608F"/>
    <w:rsid w:val="00D96442"/>
    <w:rsid w:val="00DA2F44"/>
    <w:rsid w:val="00DA6AD9"/>
    <w:rsid w:val="00DA7231"/>
    <w:rsid w:val="00DB1663"/>
    <w:rsid w:val="00DB2983"/>
    <w:rsid w:val="00DC1257"/>
    <w:rsid w:val="00DC251F"/>
    <w:rsid w:val="00DC3DBA"/>
    <w:rsid w:val="00DC3DC0"/>
    <w:rsid w:val="00DC5B2B"/>
    <w:rsid w:val="00DD1C4A"/>
    <w:rsid w:val="00DD1C4B"/>
    <w:rsid w:val="00DD318D"/>
    <w:rsid w:val="00DE5235"/>
    <w:rsid w:val="00DF2E12"/>
    <w:rsid w:val="00DF514A"/>
    <w:rsid w:val="00DF6690"/>
    <w:rsid w:val="00DF6804"/>
    <w:rsid w:val="00E0358D"/>
    <w:rsid w:val="00E04323"/>
    <w:rsid w:val="00E06A99"/>
    <w:rsid w:val="00E070A2"/>
    <w:rsid w:val="00E1677A"/>
    <w:rsid w:val="00E240D0"/>
    <w:rsid w:val="00E2656A"/>
    <w:rsid w:val="00E34178"/>
    <w:rsid w:val="00E412D0"/>
    <w:rsid w:val="00E41990"/>
    <w:rsid w:val="00E44901"/>
    <w:rsid w:val="00E44FA4"/>
    <w:rsid w:val="00E52FA5"/>
    <w:rsid w:val="00E54559"/>
    <w:rsid w:val="00E56322"/>
    <w:rsid w:val="00E57689"/>
    <w:rsid w:val="00E60982"/>
    <w:rsid w:val="00E62C62"/>
    <w:rsid w:val="00E635A0"/>
    <w:rsid w:val="00E654C1"/>
    <w:rsid w:val="00E65D97"/>
    <w:rsid w:val="00E669C9"/>
    <w:rsid w:val="00E676F7"/>
    <w:rsid w:val="00E72A5A"/>
    <w:rsid w:val="00E73354"/>
    <w:rsid w:val="00E7555D"/>
    <w:rsid w:val="00E76169"/>
    <w:rsid w:val="00E86768"/>
    <w:rsid w:val="00E90F3D"/>
    <w:rsid w:val="00E9242D"/>
    <w:rsid w:val="00E9314E"/>
    <w:rsid w:val="00E95192"/>
    <w:rsid w:val="00E9544E"/>
    <w:rsid w:val="00EA1AC2"/>
    <w:rsid w:val="00EA7252"/>
    <w:rsid w:val="00EB2A19"/>
    <w:rsid w:val="00EB5255"/>
    <w:rsid w:val="00EB5C47"/>
    <w:rsid w:val="00EB6D02"/>
    <w:rsid w:val="00EC6A94"/>
    <w:rsid w:val="00ED0639"/>
    <w:rsid w:val="00ED0C5A"/>
    <w:rsid w:val="00ED54E9"/>
    <w:rsid w:val="00EE7533"/>
    <w:rsid w:val="00EE7B06"/>
    <w:rsid w:val="00EF03FE"/>
    <w:rsid w:val="00EF4755"/>
    <w:rsid w:val="00EF60DB"/>
    <w:rsid w:val="00EF7135"/>
    <w:rsid w:val="00F027DB"/>
    <w:rsid w:val="00F14A7A"/>
    <w:rsid w:val="00F14C60"/>
    <w:rsid w:val="00F162FA"/>
    <w:rsid w:val="00F20312"/>
    <w:rsid w:val="00F20E8E"/>
    <w:rsid w:val="00F22985"/>
    <w:rsid w:val="00F24D54"/>
    <w:rsid w:val="00F3383E"/>
    <w:rsid w:val="00F40B4F"/>
    <w:rsid w:val="00F40BE6"/>
    <w:rsid w:val="00F40F21"/>
    <w:rsid w:val="00F465A7"/>
    <w:rsid w:val="00F50B7C"/>
    <w:rsid w:val="00F51100"/>
    <w:rsid w:val="00F539C8"/>
    <w:rsid w:val="00F550E6"/>
    <w:rsid w:val="00F5745E"/>
    <w:rsid w:val="00F579B1"/>
    <w:rsid w:val="00F6092E"/>
    <w:rsid w:val="00F60F0E"/>
    <w:rsid w:val="00F614EE"/>
    <w:rsid w:val="00F615DE"/>
    <w:rsid w:val="00F63959"/>
    <w:rsid w:val="00F65EA3"/>
    <w:rsid w:val="00F726D7"/>
    <w:rsid w:val="00F74345"/>
    <w:rsid w:val="00F7680E"/>
    <w:rsid w:val="00F80A0A"/>
    <w:rsid w:val="00F81B39"/>
    <w:rsid w:val="00F82B19"/>
    <w:rsid w:val="00F9212D"/>
    <w:rsid w:val="00F965DA"/>
    <w:rsid w:val="00FA1D01"/>
    <w:rsid w:val="00FA3819"/>
    <w:rsid w:val="00FA406A"/>
    <w:rsid w:val="00FA7E2E"/>
    <w:rsid w:val="00FB3384"/>
    <w:rsid w:val="00FB503A"/>
    <w:rsid w:val="00FB516C"/>
    <w:rsid w:val="00FD0236"/>
    <w:rsid w:val="00FD18F4"/>
    <w:rsid w:val="00FD2074"/>
    <w:rsid w:val="00FD4742"/>
    <w:rsid w:val="00FD5487"/>
    <w:rsid w:val="00FD54DB"/>
    <w:rsid w:val="00FD619F"/>
    <w:rsid w:val="00FE0272"/>
    <w:rsid w:val="00FE3755"/>
    <w:rsid w:val="00FE717C"/>
    <w:rsid w:val="00FF22E1"/>
    <w:rsid w:val="00FF2B2A"/>
    <w:rsid w:val="00FF2BF0"/>
    <w:rsid w:val="00FF7788"/>
    <w:rsid w:val="01290F7E"/>
    <w:rsid w:val="015D1E09"/>
    <w:rsid w:val="01E427A6"/>
    <w:rsid w:val="02697903"/>
    <w:rsid w:val="02F96569"/>
    <w:rsid w:val="03EA7B21"/>
    <w:rsid w:val="04B07157"/>
    <w:rsid w:val="050F19D9"/>
    <w:rsid w:val="055C0171"/>
    <w:rsid w:val="05F83EAE"/>
    <w:rsid w:val="063E7D85"/>
    <w:rsid w:val="07293586"/>
    <w:rsid w:val="07295285"/>
    <w:rsid w:val="07636392"/>
    <w:rsid w:val="07770C56"/>
    <w:rsid w:val="088C0960"/>
    <w:rsid w:val="08B524D4"/>
    <w:rsid w:val="08F07DDB"/>
    <w:rsid w:val="09181A0E"/>
    <w:rsid w:val="092217DD"/>
    <w:rsid w:val="093A7294"/>
    <w:rsid w:val="095D4D9A"/>
    <w:rsid w:val="09E77582"/>
    <w:rsid w:val="0A263993"/>
    <w:rsid w:val="0A2D3AC2"/>
    <w:rsid w:val="0AA755DF"/>
    <w:rsid w:val="0B120D44"/>
    <w:rsid w:val="0BD27BF6"/>
    <w:rsid w:val="0C3B3C7D"/>
    <w:rsid w:val="0C503FCD"/>
    <w:rsid w:val="0CAB2EAE"/>
    <w:rsid w:val="0CBB2DDD"/>
    <w:rsid w:val="0CD80885"/>
    <w:rsid w:val="0D621C7D"/>
    <w:rsid w:val="0DEB2FA9"/>
    <w:rsid w:val="0E73034D"/>
    <w:rsid w:val="0F13775A"/>
    <w:rsid w:val="0F5F45FE"/>
    <w:rsid w:val="0F9A112B"/>
    <w:rsid w:val="0FBA7CE2"/>
    <w:rsid w:val="10566BF6"/>
    <w:rsid w:val="106D2F64"/>
    <w:rsid w:val="10B63710"/>
    <w:rsid w:val="10F10820"/>
    <w:rsid w:val="111C2F7A"/>
    <w:rsid w:val="11665CA1"/>
    <w:rsid w:val="13951726"/>
    <w:rsid w:val="142C7325"/>
    <w:rsid w:val="14396509"/>
    <w:rsid w:val="14DD2C3C"/>
    <w:rsid w:val="155008E3"/>
    <w:rsid w:val="16087E1D"/>
    <w:rsid w:val="163E2468"/>
    <w:rsid w:val="171B54BE"/>
    <w:rsid w:val="173B64E5"/>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7A73BD"/>
    <w:rsid w:val="1D8E56D5"/>
    <w:rsid w:val="1E7A43DA"/>
    <w:rsid w:val="1FD920DC"/>
    <w:rsid w:val="1FE7539E"/>
    <w:rsid w:val="20671BE0"/>
    <w:rsid w:val="20963CB8"/>
    <w:rsid w:val="20A81A1B"/>
    <w:rsid w:val="20B07FB6"/>
    <w:rsid w:val="20B646FB"/>
    <w:rsid w:val="213B74B1"/>
    <w:rsid w:val="215A2310"/>
    <w:rsid w:val="21DE318A"/>
    <w:rsid w:val="21EF5B80"/>
    <w:rsid w:val="220D4CB1"/>
    <w:rsid w:val="22576990"/>
    <w:rsid w:val="22F47480"/>
    <w:rsid w:val="23976110"/>
    <w:rsid w:val="23DE1C48"/>
    <w:rsid w:val="240210CD"/>
    <w:rsid w:val="24BF09F7"/>
    <w:rsid w:val="252D53FE"/>
    <w:rsid w:val="25EC2D81"/>
    <w:rsid w:val="277057A2"/>
    <w:rsid w:val="28C44458"/>
    <w:rsid w:val="29206EB8"/>
    <w:rsid w:val="29595666"/>
    <w:rsid w:val="29874881"/>
    <w:rsid w:val="29AE2A80"/>
    <w:rsid w:val="29E325E0"/>
    <w:rsid w:val="2A417294"/>
    <w:rsid w:val="2A452503"/>
    <w:rsid w:val="2A48440D"/>
    <w:rsid w:val="2A7412F7"/>
    <w:rsid w:val="2B8B6806"/>
    <w:rsid w:val="2BA936A8"/>
    <w:rsid w:val="2BD3004D"/>
    <w:rsid w:val="2C315A5A"/>
    <w:rsid w:val="2C4B1C25"/>
    <w:rsid w:val="2C550C44"/>
    <w:rsid w:val="2D9E56F5"/>
    <w:rsid w:val="2E667F96"/>
    <w:rsid w:val="2E8226AB"/>
    <w:rsid w:val="2FD065E6"/>
    <w:rsid w:val="2FD96870"/>
    <w:rsid w:val="30580BC9"/>
    <w:rsid w:val="311E2ED7"/>
    <w:rsid w:val="315619EE"/>
    <w:rsid w:val="315C449C"/>
    <w:rsid w:val="316266CB"/>
    <w:rsid w:val="31B82709"/>
    <w:rsid w:val="31D05482"/>
    <w:rsid w:val="32400B34"/>
    <w:rsid w:val="329E6876"/>
    <w:rsid w:val="333015F2"/>
    <w:rsid w:val="33367D3B"/>
    <w:rsid w:val="334B6320"/>
    <w:rsid w:val="33D934D4"/>
    <w:rsid w:val="33FE2F6A"/>
    <w:rsid w:val="340E07E5"/>
    <w:rsid w:val="34235BF7"/>
    <w:rsid w:val="355645A5"/>
    <w:rsid w:val="358C5FA8"/>
    <w:rsid w:val="35C15DF1"/>
    <w:rsid w:val="35ED5884"/>
    <w:rsid w:val="36074A7F"/>
    <w:rsid w:val="36923549"/>
    <w:rsid w:val="36B75FBF"/>
    <w:rsid w:val="36BD0C45"/>
    <w:rsid w:val="37E00298"/>
    <w:rsid w:val="38B302F9"/>
    <w:rsid w:val="38F12CD3"/>
    <w:rsid w:val="38F94775"/>
    <w:rsid w:val="392971ED"/>
    <w:rsid w:val="39325651"/>
    <w:rsid w:val="3A600F21"/>
    <w:rsid w:val="3A872856"/>
    <w:rsid w:val="3B3763D1"/>
    <w:rsid w:val="3C2F6E1E"/>
    <w:rsid w:val="3C4F64BA"/>
    <w:rsid w:val="3CDA245A"/>
    <w:rsid w:val="3D086EAD"/>
    <w:rsid w:val="3D1E06B7"/>
    <w:rsid w:val="3DB524C5"/>
    <w:rsid w:val="3EDA0523"/>
    <w:rsid w:val="407A6407"/>
    <w:rsid w:val="4200449D"/>
    <w:rsid w:val="423A3BCC"/>
    <w:rsid w:val="424E57D2"/>
    <w:rsid w:val="42710CC7"/>
    <w:rsid w:val="42B26C49"/>
    <w:rsid w:val="433A6FE6"/>
    <w:rsid w:val="43480868"/>
    <w:rsid w:val="4350713C"/>
    <w:rsid w:val="436653E0"/>
    <w:rsid w:val="437E2DBA"/>
    <w:rsid w:val="43C4431A"/>
    <w:rsid w:val="44B951CC"/>
    <w:rsid w:val="44C01751"/>
    <w:rsid w:val="44CD14E0"/>
    <w:rsid w:val="44F20B0B"/>
    <w:rsid w:val="452E5F4C"/>
    <w:rsid w:val="45612018"/>
    <w:rsid w:val="458946E9"/>
    <w:rsid w:val="45A47C0E"/>
    <w:rsid w:val="45C160EF"/>
    <w:rsid w:val="45E34B82"/>
    <w:rsid w:val="46577FD6"/>
    <w:rsid w:val="46D955A7"/>
    <w:rsid w:val="47133957"/>
    <w:rsid w:val="47A07E0C"/>
    <w:rsid w:val="4870272E"/>
    <w:rsid w:val="494D72D0"/>
    <w:rsid w:val="49884B91"/>
    <w:rsid w:val="49DC7715"/>
    <w:rsid w:val="4A023139"/>
    <w:rsid w:val="4A7B576F"/>
    <w:rsid w:val="4AF561A9"/>
    <w:rsid w:val="4B5A28F6"/>
    <w:rsid w:val="4C4A0649"/>
    <w:rsid w:val="4C554B40"/>
    <w:rsid w:val="4C7E5ECA"/>
    <w:rsid w:val="4C876AA5"/>
    <w:rsid w:val="4D0E00FB"/>
    <w:rsid w:val="4D176606"/>
    <w:rsid w:val="4D213E5D"/>
    <w:rsid w:val="4DEC4FB0"/>
    <w:rsid w:val="4E075D8A"/>
    <w:rsid w:val="4EC00FAD"/>
    <w:rsid w:val="4F9843DC"/>
    <w:rsid w:val="4FC62A8C"/>
    <w:rsid w:val="4FE20F0D"/>
    <w:rsid w:val="4FE51552"/>
    <w:rsid w:val="50504C4B"/>
    <w:rsid w:val="509C6E7C"/>
    <w:rsid w:val="5162104E"/>
    <w:rsid w:val="51D32DF1"/>
    <w:rsid w:val="520E6DC9"/>
    <w:rsid w:val="52E322BA"/>
    <w:rsid w:val="53A039CC"/>
    <w:rsid w:val="53A1505A"/>
    <w:rsid w:val="54063E08"/>
    <w:rsid w:val="543437E8"/>
    <w:rsid w:val="54F73313"/>
    <w:rsid w:val="54F80955"/>
    <w:rsid w:val="555170A7"/>
    <w:rsid w:val="55592E95"/>
    <w:rsid w:val="5587536D"/>
    <w:rsid w:val="559B174B"/>
    <w:rsid w:val="55CE0CF4"/>
    <w:rsid w:val="56284268"/>
    <w:rsid w:val="56A338C6"/>
    <w:rsid w:val="56B22A9C"/>
    <w:rsid w:val="57381EA7"/>
    <w:rsid w:val="57B72A76"/>
    <w:rsid w:val="57C3426C"/>
    <w:rsid w:val="57CE1F93"/>
    <w:rsid w:val="583345AB"/>
    <w:rsid w:val="58512D6D"/>
    <w:rsid w:val="588743D1"/>
    <w:rsid w:val="5887701A"/>
    <w:rsid w:val="590563E8"/>
    <w:rsid w:val="59C0439F"/>
    <w:rsid w:val="5ABE2233"/>
    <w:rsid w:val="5BDF5D95"/>
    <w:rsid w:val="5BFE7528"/>
    <w:rsid w:val="5CE86178"/>
    <w:rsid w:val="5E2467F1"/>
    <w:rsid w:val="5E552B2E"/>
    <w:rsid w:val="5F1757E7"/>
    <w:rsid w:val="5F1A2B43"/>
    <w:rsid w:val="5FAD5B82"/>
    <w:rsid w:val="5FB837BB"/>
    <w:rsid w:val="60CC405A"/>
    <w:rsid w:val="61C97371"/>
    <w:rsid w:val="61E215D8"/>
    <w:rsid w:val="621B3775"/>
    <w:rsid w:val="62364782"/>
    <w:rsid w:val="6291178B"/>
    <w:rsid w:val="638D091F"/>
    <w:rsid w:val="6394356A"/>
    <w:rsid w:val="63C61B2C"/>
    <w:rsid w:val="63D40BE9"/>
    <w:rsid w:val="64102431"/>
    <w:rsid w:val="64A5243A"/>
    <w:rsid w:val="64F531DE"/>
    <w:rsid w:val="65247076"/>
    <w:rsid w:val="65373578"/>
    <w:rsid w:val="65466310"/>
    <w:rsid w:val="671F124A"/>
    <w:rsid w:val="677A33C6"/>
    <w:rsid w:val="67826C96"/>
    <w:rsid w:val="681F6961"/>
    <w:rsid w:val="68610A2F"/>
    <w:rsid w:val="68805514"/>
    <w:rsid w:val="69316E2F"/>
    <w:rsid w:val="694E2071"/>
    <w:rsid w:val="69766163"/>
    <w:rsid w:val="697A3B33"/>
    <w:rsid w:val="69D44760"/>
    <w:rsid w:val="6A520EC7"/>
    <w:rsid w:val="6AF87E20"/>
    <w:rsid w:val="6B322639"/>
    <w:rsid w:val="6C636C38"/>
    <w:rsid w:val="6C914150"/>
    <w:rsid w:val="6C9A7BBB"/>
    <w:rsid w:val="6D377250"/>
    <w:rsid w:val="6DB34098"/>
    <w:rsid w:val="6DB545B6"/>
    <w:rsid w:val="6DE02FB4"/>
    <w:rsid w:val="6E140AEB"/>
    <w:rsid w:val="6E514CED"/>
    <w:rsid w:val="6EB563D5"/>
    <w:rsid w:val="6ED92677"/>
    <w:rsid w:val="6F225983"/>
    <w:rsid w:val="6F626717"/>
    <w:rsid w:val="6FFC5590"/>
    <w:rsid w:val="706D1DD0"/>
    <w:rsid w:val="70756A31"/>
    <w:rsid w:val="70856B87"/>
    <w:rsid w:val="70D527EE"/>
    <w:rsid w:val="715B5300"/>
    <w:rsid w:val="71D27F8A"/>
    <w:rsid w:val="72553024"/>
    <w:rsid w:val="73122968"/>
    <w:rsid w:val="731F5D5E"/>
    <w:rsid w:val="73382C6F"/>
    <w:rsid w:val="73C51AD5"/>
    <w:rsid w:val="741E793C"/>
    <w:rsid w:val="745E3944"/>
    <w:rsid w:val="7635099D"/>
    <w:rsid w:val="77762421"/>
    <w:rsid w:val="77B56B1F"/>
    <w:rsid w:val="780F09F4"/>
    <w:rsid w:val="783E6D7E"/>
    <w:rsid w:val="78A90480"/>
    <w:rsid w:val="79F71387"/>
    <w:rsid w:val="7A364017"/>
    <w:rsid w:val="7A8265E1"/>
    <w:rsid w:val="7B686D42"/>
    <w:rsid w:val="7B841746"/>
    <w:rsid w:val="7BA568E2"/>
    <w:rsid w:val="7BDA3C18"/>
    <w:rsid w:val="7C4B32A3"/>
    <w:rsid w:val="7C6C5AC7"/>
    <w:rsid w:val="7CC6544B"/>
    <w:rsid w:val="7D0239FF"/>
    <w:rsid w:val="7D5E40CD"/>
    <w:rsid w:val="7DCD56F2"/>
    <w:rsid w:val="7F001CE7"/>
    <w:rsid w:val="7FE47E50"/>
    <w:rsid w:val="7FF62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1"/>
        <o:r id="V:Rule2" type="callout" idref="#_x0000_s2060"/>
        <o:r id="V:Rule3" type="callout" idref="#_x0000_s2061"/>
        <o:r id="V:Rule4" type="connector" idref="#_x0000_s2067"/>
        <o:r id="V:Rule5" type="connector" idref="#_x0000_s2069"/>
        <o:r id="V:Rule6" type="connector" idref="#_x0000_s2071"/>
        <o:r id="V:Rule7" type="connector" idref="#_x0000_s2074"/>
        <o:r id="V:Rule8" type="connector" idref="#_x0000_s2075"/>
        <o:r id="V:Rule9" type="connector" idref="#_x0000_s2076"/>
        <o:r id="V:Rule10" type="connector" idref="#_x0000_s2077"/>
        <o:r id="V:Rule11" type="connector" idref="#_x0000_s2081"/>
        <o:r id="V:Rule12" type="connector" idref="#_x0000_s2088"/>
        <o:r id="V:Rule13" type="connector" idref="#_x0000_s2089"/>
        <o:r id="V:Rule14" type="connector" idref="#_x0000_s2090"/>
        <o:r id="V:Rule15" type="connector" idref="#_x0000_s2092"/>
        <o:r id="V:Rule16" type="connector" idref="#_x0000_s2093"/>
        <o:r id="V:Rule17" type="connector" idref="#_x0000_s2094"/>
        <o:r id="V:Rule18" type="connector" idref="#_x0000_s2097"/>
        <o:r id="V:Rule19" type="connector" idref="#_x0000_s2098"/>
        <o:r id="V:Rule20" type="connector" idref="#_x0000_s2099"/>
        <o:r id="V:Rule21" type="connector" idref="#_x0000_s2100"/>
        <o:r id="V:Rule22" type="connector" idref="#_x0000_s2109"/>
        <o:r id="V:Rule23" type="connector" idref="#_x0000_s2111"/>
        <o:r id="V:Rule24" type="connector" idref="#_x0000_s2112"/>
        <o:r id="V:Rule25" type="connector" idref="#_x0000_s2114"/>
        <o:r id="V:Rule26" type="connector" idref="#_x0000_s2115"/>
        <o:r id="V:Rule27" type="connector" idref="#_x0000_s2116"/>
        <o:r id="V:Rule28" type="connector" idref="#_x0000_s2117"/>
        <o:r id="V:Rule29" type="connector" idref="#_x0000_s2119"/>
        <o:r id="V:Rule30" type="connector" idref="#_x0000_s2120"/>
        <o:r id="V:Rule31" type="connector" idref="#_x0000_s2122"/>
        <o:r id="V:Rule32" type="connector" idref="#_x0000_s2124"/>
        <o:r id="V:Rule33" type="connector" idref="#_x0000_s2137"/>
        <o:r id="V:Rule34" type="connector" idref="#_x0000_s2144"/>
        <o:r id="V:Rule35" type="connector" idref="#_x0000_s2146"/>
        <o:r id="V:Rule36" type="connector" idref="#_x0000_s2147"/>
        <o:r id="V:Rule37" type="connector" idref="#_x0000_s2152"/>
        <o:r id="V:Rule38" type="connector" idref="#_x0000_s2153"/>
        <o:r id="V:Rule39" type="connector" idref="#_x0000_s2155"/>
        <o:r id="V:Rule40" type="connector" idref="#_x0000_s2164">
          <o:proxy end="" idref="#_x0000_s2171" connectloc="1"/>
        </o:r>
        <o:r id="V:Rule41" type="connector" idref="#_x0000_s2172"/>
        <o:r id="V:Rule42" type="connector" idref="#_x0000_s2178"/>
        <o:r id="V:Rule43" type="connector" idref="#_x0000_s2192"/>
        <o:r id="V:Rule44" type="connector" idref="#_x0000_s2226"/>
        <o:r id="V:Rule45" type="connector" idref="#_x0000_s2233"/>
        <o:r id="V:Rule46" type="connector" idref="#_x0000_s2241"/>
        <o:r id="V:Rule47" type="connector" idref="#_x0000_s2243"/>
        <o:r id="V:Rule48" type="connector" idref="#_x0000_s2247"/>
        <o:r id="V:Rule49" type="connector" idref="#_x0000_s2248"/>
        <o:r id="V:Rule50" type="connector" idref="#_x0000_s2249"/>
        <o:r id="V:Rule51" type="connector" idref="#_x0000_s2251"/>
        <o:r id="V:Rule52" type="connector" idref="#_x0000_s2254"/>
        <o:r id="V:Rule53" type="connector" idref="#_x0000_s2255"/>
        <o:r id="V:Rule54" type="connector" idref="#_x0000_s2257"/>
        <o:r id="V:Rule55" type="connector" idref="#_x0000_s2259"/>
        <o:r id="V:Rule56" type="connector" idref="#_x0000_s2261"/>
        <o:r id="V:Rule57" type="connector" idref="#_x0000_s2263">
          <o:proxy end="" idref="#_x0000_s2264" connectloc="1"/>
        </o:r>
        <o:r id="V:Rule58" type="connector" idref="#_x0000_s2266">
          <o:proxy end="" idref="#_x0000_s2265" connectloc="1"/>
        </o:r>
        <o:r id="V:Rule59" type="connector" idref="#_x0000_s2269"/>
        <o:r id="V:Rule60" type="connector" idref="#_x0000_s2270"/>
        <o:r id="V:Rule61" type="connector" idref="#_x0000_s2274"/>
        <o:r id="V:Rule62" type="connector" idref="#_x0000_s2275"/>
        <o:r id="V:Rule63" type="connector" idref="#_x0000_s2276"/>
        <o:r id="V:Rule64" type="connector" idref="#_x0000_s2278"/>
        <o:r id="V:Rule65" type="connector" idref="#_x0000_s2279"/>
        <o:r id="V:Rule66" type="connector" idref="#_x0000_s2281"/>
        <o:r id="V:Rule67" type="connector" idref="#_x0000_s2282"/>
        <o:r id="V:Rule68" type="connector" idref="#_x0000_s2284"/>
        <o:r id="V:Rule69" type="connector" idref="#_x0000_s2286"/>
        <o:r id="V:Rule70" type="connector" idref="#_x0000_s2289">
          <o:proxy end="" idref="#_x0000_s2288" connectloc="1"/>
        </o:r>
        <o:r id="V:Rule71" type="connector" idref="#_x0000_s2294"/>
        <o:r id="V:Rule72" type="connector" idref="#_x0000_s2296"/>
        <o:r id="V:Rule73" type="connector" idref="#_x0000_s2298"/>
        <o:r id="V:Rule74" type="connector" idref="#_x0000_s2300"/>
        <o:r id="V:Rule75" type="connector" idref="#_x0000_s2301"/>
        <o:r id="V:Rule76" type="connector" idref="#_x0000_s2304"/>
        <o:r id="V:Rule77" type="connector" idref="#_x0000_s2308"/>
        <o:r id="V:Rule78" type="connector" idref="#_x0000_s2309"/>
        <o:r id="V:Rule79" type="connector" idref="#_x0000_s2310"/>
        <o:r id="V:Rule80" type="connector" idref="#_x0000_s2315"/>
        <o:r id="V:Rule81" type="connector" idref="#_x0000_s2316"/>
        <o:r id="V:Rule82" type="connector" idref="#_x0000_s2317"/>
        <o:r id="V:Rule83" type="connector" idref="#_x0000_s2318"/>
        <o:r id="V:Rule84" type="connector" idref="#_x0000_s2320"/>
        <o:r id="V:Rule85" type="connector" idref="#_x0000_s2322"/>
        <o:r id="V:Rule86" type="connector" idref="#_x0000_s2324"/>
        <o:r id="V:Rule87" type="connector" idref="#_x0000_s2325"/>
        <o:r id="V:Rule88" type="connector" idref="#_x0000_s2326"/>
        <o:r id="V:Rule89" type="connector" idref="#_x0000_s2332">
          <o:proxy end="" idref="#_x0000_s2330" connectloc="1"/>
        </o:r>
        <o:r id="V:Rule90" type="connector" idref="#_x0000_s2343"/>
        <o:r id="V:Rule91" type="connector" idref="#_x0000_s2344"/>
        <o:r id="V:Rule92" type="connector" idref="#_x0000_s2345"/>
        <o:r id="V:Rule93" type="connector" idref="#_x0000_s2350"/>
        <o:r id="V:Rule94" type="connector" idref="#_x0000_s2351"/>
        <o:r id="V:Rule95" type="connector" idref="#_x0000_s2352"/>
        <o:r id="V:Rule96" type="connector" idref="#_x0000_s2353"/>
        <o:r id="V:Rule97" type="connector" idref="#_x0000_s2357"/>
        <o:r id="V:Rule98" type="connector" idref="#_x0000_s2358"/>
        <o:r id="V:Rule99" type="connector" idref="#_x0000_s2359">
          <o:proxy end="" idref="#_x0000_s2366" connectloc="1"/>
        </o:r>
        <o:r id="V:Rule100" type="connector" idref="#_x0000_s2360"/>
        <o:r id="V:Rule101" type="connector" idref="#_x0000_s2361"/>
        <o:r id="V:Rule102" type="connector" idref="#_x0000_s2362"/>
        <o:r id="V:Rule103" type="connector" idref="#_x0000_s2370"/>
        <o:r id="V:Rule104" type="connector" idref="#_x0000_s2371"/>
        <o:r id="V:Rule105" type="connector" idref="#_x0000_s2373"/>
      </o:rules>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39" w:semiHidden="0" w:name="toc 2" w:locked="1"/>
    <w:lsdException w:qFormat="1"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qFormat="1" w:unhideWhenUsed="0" w:uiPriority="0" w:semiHidden="0" w:name="toc 7" w:locked="1"/>
    <w:lsdException w:qFormat="1" w:unhideWhenUsed="0" w:uiPriority="0" w:semiHidden="0" w:name="toc 8" w:locked="1"/>
    <w:lsdException w:unhideWhenUsed="0" w:uiPriority="0" w:semiHidden="0" w:name="toc 9" w:locked="1"/>
    <w:lsdException w:qFormat="1" w:unhideWhenUsed="0" w:uiPriority="0" w:semiHidden="0" w:name="Normal Indent" w:locked="1"/>
    <w:lsdException w:qFormat="1"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qFormat="1"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qFormat="1"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qFormat="1"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11" w:semiHidden="0" w:name="Subtitle" w:locked="1"/>
    <w:lsdException w:unhideWhenUsed="0" w:uiPriority="0" w:semiHidden="0" w:name="Salutation" w:locked="1"/>
    <w:lsdException w:qFormat="1" w:unhideWhenUsed="0" w:uiPriority="0" w:semiHidden="0" w:name="Date"/>
    <w:lsdException w:qFormat="1" w:unhideWhenUsed="0" w:uiPriority="99" w:semiHidden="0" w:name="Body Text First Indent" w:locked="1"/>
    <w:lsdException w:qFormat="1" w:uiPriority="0" w:semiHidden="0" w:name="Body Text First Indent 2" w:locked="1"/>
    <w:lsdException w:qFormat="1" w:uiPriority="0" w:semiHidden="0" w:name="Note Heading" w:locked="1"/>
    <w:lsdException w:qFormat="1" w:unhideWhenUsed="0" w:uiPriority="99"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99"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semiHidden="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semiHidden="0" w:name="Balloon Text"/>
    <w:lsdException w:qFormat="1" w:unhideWhenUsed="0" w:uiPriority="0" w:semiHidden="0" w:name="Table Grid"/>
    <w:lsdException w:unhideWhenUsed="0" w:uiPriority="0" w:semiHidden="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1"/>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92"/>
    <w:qFormat/>
    <w:locked/>
    <w:uiPriority w:val="0"/>
    <w:pPr>
      <w:keepNext/>
      <w:keepLines/>
      <w:spacing w:beforeLines="50"/>
      <w:jc w:val="left"/>
      <w:outlineLvl w:val="1"/>
    </w:pPr>
    <w:rPr>
      <w:rFonts w:eastAsia="黑体"/>
      <w:b/>
      <w:bCs/>
      <w:sz w:val="32"/>
      <w:szCs w:val="32"/>
    </w:rPr>
  </w:style>
  <w:style w:type="paragraph" w:styleId="4">
    <w:name w:val="heading 3"/>
    <w:basedOn w:val="1"/>
    <w:next w:val="1"/>
    <w:link w:val="84"/>
    <w:qFormat/>
    <w:locked/>
    <w:uiPriority w:val="0"/>
    <w:pPr>
      <w:keepNext/>
      <w:keepLines/>
      <w:spacing w:beforeLines="50"/>
      <w:jc w:val="left"/>
      <w:outlineLvl w:val="2"/>
    </w:pPr>
    <w:rPr>
      <w:rFonts w:eastAsia="黑体"/>
      <w:b/>
      <w:bCs/>
      <w:sz w:val="30"/>
      <w:szCs w:val="30"/>
    </w:rPr>
  </w:style>
  <w:style w:type="paragraph" w:styleId="5">
    <w:name w:val="heading 4"/>
    <w:basedOn w:val="1"/>
    <w:next w:val="1"/>
    <w:link w:val="85"/>
    <w:qFormat/>
    <w:locked/>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86"/>
    <w:qFormat/>
    <w:locked/>
    <w:uiPriority w:val="0"/>
    <w:pPr>
      <w:keepNext/>
      <w:keepLines/>
      <w:spacing w:before="280" w:after="290" w:line="376" w:lineRule="auto"/>
      <w:outlineLvl w:val="4"/>
    </w:pPr>
    <w:rPr>
      <w:b/>
      <w:bCs/>
      <w:sz w:val="28"/>
      <w:szCs w:val="28"/>
    </w:rPr>
  </w:style>
  <w:style w:type="paragraph" w:styleId="7">
    <w:name w:val="heading 6"/>
    <w:basedOn w:val="1"/>
    <w:next w:val="1"/>
    <w:link w:val="87"/>
    <w:semiHidden/>
    <w:unhideWhenUsed/>
    <w:qFormat/>
    <w:locked/>
    <w:uiPriority w:val="0"/>
    <w:pPr>
      <w:keepNext/>
      <w:keepLines/>
      <w:widowControl/>
      <w:spacing w:before="240" w:after="64" w:line="314" w:lineRule="auto"/>
      <w:outlineLvl w:val="5"/>
    </w:pPr>
    <w:rPr>
      <w:rFonts w:ascii="Arial" w:hAnsi="Arial" w:eastAsia="黑体"/>
      <w:b/>
      <w:bCs/>
      <w:color w:val="000000"/>
      <w:sz w:val="24"/>
    </w:rPr>
  </w:style>
  <w:style w:type="paragraph" w:styleId="8">
    <w:name w:val="heading 7"/>
    <w:basedOn w:val="1"/>
    <w:next w:val="1"/>
    <w:link w:val="88"/>
    <w:semiHidden/>
    <w:unhideWhenUsed/>
    <w:qFormat/>
    <w:locked/>
    <w:uiPriority w:val="0"/>
    <w:pPr>
      <w:keepNext/>
      <w:keepLines/>
      <w:widowControl/>
      <w:spacing w:before="240" w:after="64" w:line="314" w:lineRule="auto"/>
      <w:outlineLvl w:val="6"/>
    </w:pPr>
    <w:rPr>
      <w:b/>
      <w:bCs/>
      <w:color w:val="000000"/>
      <w:sz w:val="24"/>
    </w:rPr>
  </w:style>
  <w:style w:type="paragraph" w:styleId="9">
    <w:name w:val="heading 8"/>
    <w:basedOn w:val="1"/>
    <w:next w:val="1"/>
    <w:link w:val="89"/>
    <w:semiHidden/>
    <w:unhideWhenUsed/>
    <w:qFormat/>
    <w:locked/>
    <w:uiPriority w:val="0"/>
    <w:pPr>
      <w:keepNext/>
      <w:keepLines/>
      <w:widowControl/>
      <w:spacing w:before="240" w:after="64" w:line="314" w:lineRule="auto"/>
      <w:outlineLvl w:val="7"/>
    </w:pPr>
    <w:rPr>
      <w:rFonts w:ascii="Arial" w:hAnsi="Arial" w:eastAsia="黑体"/>
      <w:color w:val="000000"/>
      <w:sz w:val="24"/>
    </w:rPr>
  </w:style>
  <w:style w:type="paragraph" w:styleId="10">
    <w:name w:val="heading 9"/>
    <w:basedOn w:val="1"/>
    <w:next w:val="1"/>
    <w:link w:val="90"/>
    <w:semiHidden/>
    <w:unhideWhenUsed/>
    <w:qFormat/>
    <w:locked/>
    <w:uiPriority w:val="0"/>
    <w:pPr>
      <w:keepNext/>
      <w:keepLines/>
      <w:widowControl/>
      <w:spacing w:beforeLines="50" w:after="64" w:line="400" w:lineRule="exact"/>
      <w:jc w:val="center"/>
      <w:outlineLvl w:val="8"/>
    </w:pPr>
    <w:rPr>
      <w:color w:val="000000"/>
      <w:sz w:val="24"/>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locked/>
    <w:uiPriority w:val="0"/>
    <w:pPr>
      <w:spacing w:line="360" w:lineRule="exact"/>
      <w:jc w:val="center"/>
    </w:pPr>
    <w:rPr>
      <w:szCs w:val="21"/>
    </w:rPr>
  </w:style>
  <w:style w:type="paragraph" w:styleId="12">
    <w:name w:val="Note Heading"/>
    <w:basedOn w:val="1"/>
    <w:next w:val="1"/>
    <w:link w:val="332"/>
    <w:unhideWhenUsed/>
    <w:qFormat/>
    <w:locked/>
    <w:uiPriority w:val="0"/>
    <w:pPr>
      <w:jc w:val="center"/>
    </w:pPr>
  </w:style>
  <w:style w:type="paragraph" w:styleId="13">
    <w:name w:val="E-mail Signature"/>
    <w:basedOn w:val="1"/>
    <w:link w:val="373"/>
    <w:qFormat/>
    <w:locked/>
    <w:uiPriority w:val="0"/>
    <w:pPr>
      <w:tabs>
        <w:tab w:val="left" w:pos="7380"/>
      </w:tabs>
      <w:snapToGrid w:val="0"/>
      <w:spacing w:line="480" w:lineRule="exact"/>
      <w:ind w:firstLine="425"/>
    </w:pPr>
    <w:rPr>
      <w:color w:val="000000"/>
      <w:kern w:val="21"/>
      <w:sz w:val="24"/>
      <w:szCs w:val="20"/>
      <w:lang w:val="de-DE"/>
    </w:rPr>
  </w:style>
  <w:style w:type="paragraph" w:styleId="14">
    <w:name w:val="Normal Indent"/>
    <w:basedOn w:val="1"/>
    <w:link w:val="82"/>
    <w:qFormat/>
    <w:locked/>
    <w:uiPriority w:val="0"/>
    <w:pPr>
      <w:ind w:firstLine="420"/>
    </w:pPr>
    <w:rPr>
      <w:szCs w:val="20"/>
    </w:rPr>
  </w:style>
  <w:style w:type="paragraph" w:styleId="15">
    <w:name w:val="Document Map"/>
    <w:basedOn w:val="1"/>
    <w:link w:val="103"/>
    <w:qFormat/>
    <w:locked/>
    <w:uiPriority w:val="99"/>
    <w:pPr>
      <w:shd w:val="clear" w:color="auto" w:fill="000080"/>
    </w:pPr>
  </w:style>
  <w:style w:type="paragraph" w:styleId="16">
    <w:name w:val="annotation text"/>
    <w:basedOn w:val="1"/>
    <w:link w:val="64"/>
    <w:qFormat/>
    <w:uiPriority w:val="0"/>
    <w:pPr>
      <w:jc w:val="left"/>
    </w:pPr>
    <w:rPr>
      <w:kern w:val="0"/>
      <w:sz w:val="24"/>
      <w:szCs w:val="20"/>
    </w:rPr>
  </w:style>
  <w:style w:type="paragraph" w:styleId="17">
    <w:name w:val="Body Text 3"/>
    <w:basedOn w:val="1"/>
    <w:link w:val="268"/>
    <w:qFormat/>
    <w:locked/>
    <w:uiPriority w:val="0"/>
    <w:pPr>
      <w:jc w:val="center"/>
    </w:pPr>
    <w:rPr>
      <w:sz w:val="28"/>
      <w:szCs w:val="20"/>
    </w:rPr>
  </w:style>
  <w:style w:type="paragraph" w:styleId="18">
    <w:name w:val="Body Text"/>
    <w:basedOn w:val="1"/>
    <w:link w:val="63"/>
    <w:qFormat/>
    <w:uiPriority w:val="0"/>
    <w:pPr>
      <w:widowControl/>
      <w:snapToGrid w:val="0"/>
      <w:spacing w:before="60" w:after="160" w:line="259" w:lineRule="auto"/>
      <w:ind w:right="113"/>
    </w:pPr>
    <w:rPr>
      <w:kern w:val="0"/>
      <w:sz w:val="18"/>
      <w:szCs w:val="20"/>
    </w:rPr>
  </w:style>
  <w:style w:type="paragraph" w:styleId="19">
    <w:name w:val="Body Text Indent"/>
    <w:basedOn w:val="1"/>
    <w:link w:val="72"/>
    <w:qFormat/>
    <w:uiPriority w:val="0"/>
    <w:pPr>
      <w:spacing w:after="120"/>
      <w:ind w:left="420" w:leftChars="200"/>
    </w:pPr>
    <w:rPr>
      <w:kern w:val="0"/>
      <w:sz w:val="24"/>
      <w:szCs w:val="20"/>
    </w:rPr>
  </w:style>
  <w:style w:type="paragraph" w:styleId="20">
    <w:name w:val="List 2"/>
    <w:basedOn w:val="1"/>
    <w:qFormat/>
    <w:locked/>
    <w:uiPriority w:val="0"/>
    <w:pPr>
      <w:ind w:left="100" w:leftChars="200" w:hanging="200" w:hangingChars="200"/>
    </w:pPr>
    <w:rPr>
      <w:szCs w:val="20"/>
    </w:rPr>
  </w:style>
  <w:style w:type="paragraph" w:styleId="21">
    <w:name w:val="Block Text"/>
    <w:basedOn w:val="1"/>
    <w:qFormat/>
    <w:locked/>
    <w:uiPriority w:val="0"/>
    <w:pPr>
      <w:spacing w:before="120" w:line="360" w:lineRule="auto"/>
      <w:ind w:left="113" w:right="113"/>
    </w:pPr>
  </w:style>
  <w:style w:type="paragraph" w:styleId="22">
    <w:name w:val="toc 3"/>
    <w:basedOn w:val="1"/>
    <w:next w:val="1"/>
    <w:autoRedefine/>
    <w:qFormat/>
    <w:locked/>
    <w:uiPriority w:val="0"/>
    <w:pPr>
      <w:tabs>
        <w:tab w:val="right" w:leader="dot" w:pos="8494"/>
      </w:tabs>
      <w:ind w:left="359" w:leftChars="171" w:firstLine="1"/>
    </w:pPr>
  </w:style>
  <w:style w:type="paragraph" w:styleId="23">
    <w:name w:val="Plain Text"/>
    <w:basedOn w:val="1"/>
    <w:link w:val="99"/>
    <w:qFormat/>
    <w:locked/>
    <w:uiPriority w:val="0"/>
    <w:rPr>
      <w:rFonts w:ascii="宋体" w:hAnsi="Courier New"/>
    </w:rPr>
  </w:style>
  <w:style w:type="paragraph" w:styleId="24">
    <w:name w:val="toc 8"/>
    <w:basedOn w:val="1"/>
    <w:next w:val="1"/>
    <w:autoRedefine/>
    <w:qFormat/>
    <w:locked/>
    <w:uiPriority w:val="0"/>
    <w:pPr>
      <w:ind w:left="2940" w:leftChars="1400"/>
    </w:pPr>
  </w:style>
  <w:style w:type="paragraph" w:styleId="25">
    <w:name w:val="Date"/>
    <w:basedOn w:val="1"/>
    <w:next w:val="1"/>
    <w:link w:val="59"/>
    <w:qFormat/>
    <w:uiPriority w:val="0"/>
    <w:pPr>
      <w:ind w:left="100" w:leftChars="2500"/>
    </w:pPr>
    <w:rPr>
      <w:kern w:val="0"/>
      <w:sz w:val="24"/>
      <w:szCs w:val="20"/>
    </w:rPr>
  </w:style>
  <w:style w:type="paragraph" w:styleId="26">
    <w:name w:val="Body Text Indent 2"/>
    <w:basedOn w:val="1"/>
    <w:next w:val="1"/>
    <w:link w:val="101"/>
    <w:qFormat/>
    <w:locked/>
    <w:uiPriority w:val="0"/>
    <w:pPr>
      <w:spacing w:after="120" w:line="480" w:lineRule="auto"/>
      <w:ind w:left="420" w:leftChars="200"/>
    </w:pPr>
  </w:style>
  <w:style w:type="paragraph" w:styleId="27">
    <w:name w:val="endnote text"/>
    <w:basedOn w:val="1"/>
    <w:link w:val="324"/>
    <w:unhideWhenUsed/>
    <w:qFormat/>
    <w:locked/>
    <w:uiPriority w:val="0"/>
    <w:pPr>
      <w:autoSpaceDE w:val="0"/>
      <w:autoSpaceDN w:val="0"/>
      <w:adjustRightInd w:val="0"/>
      <w:snapToGrid w:val="0"/>
      <w:spacing w:line="480" w:lineRule="exact"/>
      <w:jc w:val="left"/>
    </w:pPr>
    <w:rPr>
      <w:color w:val="000000"/>
      <w:kern w:val="32"/>
      <w:sz w:val="24"/>
      <w:szCs w:val="20"/>
    </w:rPr>
  </w:style>
  <w:style w:type="paragraph" w:styleId="28">
    <w:name w:val="Balloon Text"/>
    <w:basedOn w:val="1"/>
    <w:link w:val="68"/>
    <w:qFormat/>
    <w:uiPriority w:val="0"/>
    <w:rPr>
      <w:kern w:val="0"/>
      <w:sz w:val="18"/>
      <w:szCs w:val="20"/>
    </w:rPr>
  </w:style>
  <w:style w:type="paragraph" w:styleId="29">
    <w:name w:val="footer"/>
    <w:basedOn w:val="1"/>
    <w:link w:val="58"/>
    <w:qFormat/>
    <w:uiPriority w:val="99"/>
    <w:pPr>
      <w:tabs>
        <w:tab w:val="center" w:pos="4153"/>
        <w:tab w:val="right" w:pos="8306"/>
      </w:tabs>
      <w:snapToGrid w:val="0"/>
      <w:jc w:val="left"/>
    </w:pPr>
    <w:rPr>
      <w:kern w:val="0"/>
      <w:sz w:val="18"/>
      <w:szCs w:val="20"/>
    </w:rPr>
  </w:style>
  <w:style w:type="paragraph" w:styleId="30">
    <w:name w:val="header"/>
    <w:basedOn w:val="1"/>
    <w:link w:val="70"/>
    <w:qFormat/>
    <w:uiPriority w:val="0"/>
    <w:pPr>
      <w:pBdr>
        <w:bottom w:val="single" w:color="auto" w:sz="6" w:space="1"/>
      </w:pBdr>
      <w:tabs>
        <w:tab w:val="center" w:pos="4153"/>
        <w:tab w:val="right" w:pos="8306"/>
      </w:tabs>
      <w:snapToGrid w:val="0"/>
      <w:jc w:val="center"/>
    </w:pPr>
    <w:rPr>
      <w:kern w:val="0"/>
      <w:sz w:val="18"/>
      <w:szCs w:val="20"/>
    </w:rPr>
  </w:style>
  <w:style w:type="paragraph" w:styleId="31">
    <w:name w:val="toc 1"/>
    <w:basedOn w:val="1"/>
    <w:next w:val="1"/>
    <w:qFormat/>
    <w:locked/>
    <w:uiPriority w:val="39"/>
    <w:rPr>
      <w:szCs w:val="20"/>
    </w:rPr>
  </w:style>
  <w:style w:type="paragraph" w:styleId="32">
    <w:name w:val="Subtitle"/>
    <w:basedOn w:val="1"/>
    <w:next w:val="1"/>
    <w:link w:val="328"/>
    <w:qFormat/>
    <w:locked/>
    <w:uiPriority w:val="11"/>
    <w:pPr>
      <w:spacing w:before="240" w:after="60" w:line="312" w:lineRule="auto"/>
      <w:jc w:val="center"/>
      <w:outlineLvl w:val="1"/>
    </w:pPr>
    <w:rPr>
      <w:rFonts w:ascii="Arial" w:hAnsi="Arial" w:cs="Arial"/>
      <w:b/>
      <w:bCs/>
      <w:kern w:val="28"/>
      <w:sz w:val="32"/>
      <w:szCs w:val="32"/>
    </w:rPr>
  </w:style>
  <w:style w:type="paragraph" w:styleId="33">
    <w:name w:val="List"/>
    <w:basedOn w:val="1"/>
    <w:qFormat/>
    <w:locked/>
    <w:uiPriority w:val="0"/>
    <w:pPr>
      <w:ind w:left="200" w:hanging="200" w:hangingChars="200"/>
    </w:pPr>
    <w:rPr>
      <w:sz w:val="24"/>
    </w:rPr>
  </w:style>
  <w:style w:type="paragraph" w:styleId="34">
    <w:name w:val="footnote text"/>
    <w:basedOn w:val="1"/>
    <w:link w:val="322"/>
    <w:unhideWhenUsed/>
    <w:qFormat/>
    <w:locked/>
    <w:uiPriority w:val="0"/>
    <w:pPr>
      <w:snapToGrid w:val="0"/>
      <w:jc w:val="left"/>
    </w:pPr>
    <w:rPr>
      <w:sz w:val="18"/>
      <w:szCs w:val="18"/>
    </w:rPr>
  </w:style>
  <w:style w:type="paragraph" w:styleId="35">
    <w:name w:val="Body Text Indent 3"/>
    <w:basedOn w:val="1"/>
    <w:link w:val="151"/>
    <w:qFormat/>
    <w:locked/>
    <w:uiPriority w:val="0"/>
    <w:pPr>
      <w:spacing w:after="120"/>
      <w:ind w:left="420" w:leftChars="200"/>
    </w:pPr>
    <w:rPr>
      <w:sz w:val="16"/>
      <w:szCs w:val="16"/>
    </w:rPr>
  </w:style>
  <w:style w:type="paragraph" w:styleId="36">
    <w:name w:val="toc 2"/>
    <w:basedOn w:val="1"/>
    <w:next w:val="1"/>
    <w:autoRedefine/>
    <w:qFormat/>
    <w:locked/>
    <w:uiPriority w:val="39"/>
    <w:pPr>
      <w:tabs>
        <w:tab w:val="right" w:leader="dot" w:pos="8494"/>
      </w:tabs>
    </w:pPr>
  </w:style>
  <w:style w:type="paragraph" w:styleId="37">
    <w:name w:val="Body Text 2"/>
    <w:basedOn w:val="1"/>
    <w:link w:val="263"/>
    <w:qFormat/>
    <w:locked/>
    <w:uiPriority w:val="99"/>
    <w:rPr>
      <w:b/>
      <w:sz w:val="30"/>
      <w:szCs w:val="20"/>
    </w:rPr>
  </w:style>
  <w:style w:type="paragraph" w:styleId="38">
    <w:name w:val="List Continue 2"/>
    <w:basedOn w:val="1"/>
    <w:qFormat/>
    <w:locked/>
    <w:uiPriority w:val="0"/>
    <w:pPr>
      <w:spacing w:after="120"/>
      <w:ind w:left="840" w:leftChars="400"/>
      <w:contextualSpacing/>
    </w:pPr>
  </w:style>
  <w:style w:type="paragraph" w:styleId="39">
    <w:name w:val="HTML Preformatted"/>
    <w:basedOn w:val="1"/>
    <w:link w:val="107"/>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40">
    <w:name w:val="Normal (Web)"/>
    <w:basedOn w:val="1"/>
    <w:link w:val="61"/>
    <w:qFormat/>
    <w:uiPriority w:val="0"/>
    <w:pPr>
      <w:widowControl/>
      <w:spacing w:before="100" w:beforeAutospacing="1" w:after="100" w:afterAutospacing="1"/>
      <w:jc w:val="left"/>
    </w:pPr>
    <w:rPr>
      <w:rFonts w:ascii="宋体" w:hAnsi="宋体"/>
      <w:kern w:val="0"/>
      <w:sz w:val="24"/>
      <w:szCs w:val="20"/>
    </w:rPr>
  </w:style>
  <w:style w:type="paragraph" w:styleId="41">
    <w:name w:val="index 1"/>
    <w:basedOn w:val="1"/>
    <w:next w:val="1"/>
    <w:autoRedefine/>
    <w:qFormat/>
    <w:locked/>
    <w:uiPriority w:val="0"/>
    <w:pPr>
      <w:spacing w:line="200" w:lineRule="exact"/>
    </w:pPr>
    <w:rPr>
      <w:rFonts w:hAnsi="Arial"/>
      <w:spacing w:val="10"/>
      <w:sz w:val="18"/>
      <w:szCs w:val="18"/>
    </w:rPr>
  </w:style>
  <w:style w:type="paragraph" w:styleId="42">
    <w:name w:val="Title"/>
    <w:basedOn w:val="1"/>
    <w:next w:val="1"/>
    <w:link w:val="326"/>
    <w:qFormat/>
    <w:locked/>
    <w:uiPriority w:val="0"/>
    <w:pPr>
      <w:spacing w:before="240" w:after="60"/>
      <w:jc w:val="center"/>
      <w:outlineLvl w:val="0"/>
    </w:pPr>
    <w:rPr>
      <w:rFonts w:ascii="Cambria" w:hAnsi="Cambria"/>
      <w:b/>
      <w:bCs/>
      <w:sz w:val="32"/>
      <w:szCs w:val="32"/>
    </w:rPr>
  </w:style>
  <w:style w:type="paragraph" w:styleId="43">
    <w:name w:val="annotation subject"/>
    <w:basedOn w:val="16"/>
    <w:next w:val="16"/>
    <w:link w:val="69"/>
    <w:qFormat/>
    <w:uiPriority w:val="0"/>
    <w:rPr>
      <w:b/>
      <w:kern w:val="2"/>
    </w:rPr>
  </w:style>
  <w:style w:type="paragraph" w:styleId="44">
    <w:name w:val="Body Text First Indent"/>
    <w:basedOn w:val="18"/>
    <w:link w:val="131"/>
    <w:qFormat/>
    <w:locked/>
    <w:uiPriority w:val="99"/>
    <w:pPr>
      <w:widowControl w:val="0"/>
      <w:snapToGrid/>
      <w:spacing w:before="0" w:after="120" w:line="240" w:lineRule="auto"/>
      <w:ind w:right="0" w:firstLine="420" w:firstLineChars="100"/>
    </w:pPr>
    <w:rPr>
      <w:kern w:val="2"/>
      <w:sz w:val="21"/>
    </w:rPr>
  </w:style>
  <w:style w:type="paragraph" w:styleId="45">
    <w:name w:val="Body Text First Indent 2"/>
    <w:basedOn w:val="19"/>
    <w:next w:val="46"/>
    <w:link w:val="330"/>
    <w:unhideWhenUsed/>
    <w:qFormat/>
    <w:locked/>
    <w:uiPriority w:val="0"/>
    <w:pPr>
      <w:ind w:firstLine="420" w:firstLineChars="200"/>
    </w:pPr>
    <w:rPr>
      <w:rFonts w:ascii="Calibri" w:hAnsi="Calibri"/>
      <w:b/>
      <w:kern w:val="2"/>
      <w:sz w:val="21"/>
      <w:szCs w:val="22"/>
    </w:rPr>
  </w:style>
  <w:style w:type="paragraph" w:customStyle="1" w:styleId="46">
    <w:name w:val="Default"/>
    <w:basedOn w:val="47"/>
    <w:link w:val="217"/>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7">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table" w:styleId="49">
    <w:name w:val="Table Grid"/>
    <w:basedOn w:val="4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basedOn w:val="50"/>
    <w:qFormat/>
    <w:locked/>
    <w:uiPriority w:val="0"/>
    <w:rPr>
      <w:b/>
      <w:bCs/>
    </w:rPr>
  </w:style>
  <w:style w:type="character" w:styleId="52">
    <w:name w:val="page number"/>
    <w:basedOn w:val="50"/>
    <w:qFormat/>
    <w:locked/>
    <w:uiPriority w:val="0"/>
  </w:style>
  <w:style w:type="character" w:styleId="53">
    <w:name w:val="FollowedHyperlink"/>
    <w:basedOn w:val="50"/>
    <w:qFormat/>
    <w:locked/>
    <w:uiPriority w:val="0"/>
    <w:rPr>
      <w:color w:val="800080"/>
      <w:u w:val="single"/>
    </w:rPr>
  </w:style>
  <w:style w:type="character" w:styleId="54">
    <w:name w:val="Emphasis"/>
    <w:basedOn w:val="50"/>
    <w:qFormat/>
    <w:locked/>
    <w:uiPriority w:val="0"/>
    <w:rPr>
      <w:i/>
      <w:iCs/>
    </w:rPr>
  </w:style>
  <w:style w:type="character" w:styleId="55">
    <w:name w:val="Hyperlink"/>
    <w:basedOn w:val="50"/>
    <w:qFormat/>
    <w:locked/>
    <w:uiPriority w:val="99"/>
    <w:rPr>
      <w:color w:val="0000FF"/>
      <w:u w:val="single"/>
    </w:rPr>
  </w:style>
  <w:style w:type="character" w:styleId="56">
    <w:name w:val="annotation reference"/>
    <w:qFormat/>
    <w:uiPriority w:val="0"/>
    <w:rPr>
      <w:sz w:val="21"/>
    </w:rPr>
  </w:style>
  <w:style w:type="paragraph" w:customStyle="1" w:styleId="57">
    <w:name w:val="Char Char Char Char Char Char1 Char Char Char Char"/>
    <w:basedOn w:val="1"/>
    <w:next w:val="1"/>
    <w:qFormat/>
    <w:uiPriority w:val="0"/>
    <w:pPr>
      <w:widowControl w:val="0"/>
      <w:autoSpaceDE/>
      <w:autoSpaceDN/>
      <w:ind w:firstLine="200"/>
      <w:jc w:val="both"/>
    </w:pPr>
  </w:style>
  <w:style w:type="character" w:customStyle="1" w:styleId="58">
    <w:name w:val="页脚 Char"/>
    <w:link w:val="29"/>
    <w:qFormat/>
    <w:locked/>
    <w:uiPriority w:val="99"/>
    <w:rPr>
      <w:sz w:val="18"/>
    </w:rPr>
  </w:style>
  <w:style w:type="character" w:customStyle="1" w:styleId="59">
    <w:name w:val="日期 Char"/>
    <w:link w:val="25"/>
    <w:qFormat/>
    <w:locked/>
    <w:uiPriority w:val="0"/>
    <w:rPr>
      <w:rFonts w:ascii="Times New Roman" w:hAnsi="Times New Roman" w:eastAsia="宋体"/>
      <w:sz w:val="24"/>
    </w:rPr>
  </w:style>
  <w:style w:type="character" w:customStyle="1" w:styleId="60">
    <w:name w:val="页脚 字符"/>
    <w:basedOn w:val="50"/>
    <w:qFormat/>
    <w:uiPriority w:val="99"/>
  </w:style>
  <w:style w:type="character" w:customStyle="1" w:styleId="61">
    <w:name w:val="普通(网站) Char"/>
    <w:link w:val="40"/>
    <w:qFormat/>
    <w:locked/>
    <w:uiPriority w:val="0"/>
    <w:rPr>
      <w:rFonts w:ascii="宋体" w:hAnsi="宋体" w:eastAsia="宋体"/>
      <w:sz w:val="24"/>
    </w:rPr>
  </w:style>
  <w:style w:type="character" w:customStyle="1" w:styleId="62">
    <w:name w:val="正文文本 字符1"/>
    <w:semiHidden/>
    <w:qFormat/>
    <w:uiPriority w:val="0"/>
    <w:rPr>
      <w:rFonts w:ascii="Times New Roman" w:hAnsi="Times New Roman" w:eastAsia="宋体"/>
      <w:sz w:val="24"/>
    </w:rPr>
  </w:style>
  <w:style w:type="character" w:customStyle="1" w:styleId="63">
    <w:name w:val="正文文本 Char"/>
    <w:link w:val="18"/>
    <w:qFormat/>
    <w:locked/>
    <w:uiPriority w:val="0"/>
    <w:rPr>
      <w:sz w:val="18"/>
    </w:rPr>
  </w:style>
  <w:style w:type="character" w:customStyle="1" w:styleId="64">
    <w:name w:val="批注文字 Char"/>
    <w:link w:val="16"/>
    <w:qFormat/>
    <w:locked/>
    <w:uiPriority w:val="0"/>
    <w:rPr>
      <w:rFonts w:ascii="Times New Roman" w:hAnsi="Times New Roman" w:eastAsia="宋体"/>
      <w:sz w:val="24"/>
    </w:rPr>
  </w:style>
  <w:style w:type="character" w:customStyle="1" w:styleId="65">
    <w:name w:val="表格 Char"/>
    <w:link w:val="66"/>
    <w:qFormat/>
    <w:locked/>
    <w:uiPriority w:val="0"/>
    <w:rPr>
      <w:rFonts w:ascii="宋体"/>
      <w:sz w:val="21"/>
    </w:rPr>
  </w:style>
  <w:style w:type="paragraph" w:customStyle="1" w:styleId="66">
    <w:name w:val="表格"/>
    <w:basedOn w:val="1"/>
    <w:next w:val="1"/>
    <w:link w:val="65"/>
    <w:qFormat/>
    <w:uiPriority w:val="0"/>
    <w:pPr>
      <w:adjustRightInd w:val="0"/>
      <w:snapToGrid w:val="0"/>
      <w:spacing w:beforeLines="10" w:afterLines="10" w:line="259" w:lineRule="auto"/>
      <w:jc w:val="center"/>
    </w:pPr>
    <w:rPr>
      <w:rFonts w:ascii="宋体"/>
      <w:kern w:val="0"/>
      <w:szCs w:val="20"/>
    </w:rPr>
  </w:style>
  <w:style w:type="character" w:customStyle="1" w:styleId="67">
    <w:name w:val="日期 字符"/>
    <w:semiHidden/>
    <w:qFormat/>
    <w:uiPriority w:val="0"/>
    <w:rPr>
      <w:rFonts w:ascii="Times New Roman" w:hAnsi="Times New Roman" w:eastAsia="宋体"/>
      <w:sz w:val="24"/>
    </w:rPr>
  </w:style>
  <w:style w:type="character" w:customStyle="1" w:styleId="68">
    <w:name w:val="批注框文本 Char"/>
    <w:link w:val="28"/>
    <w:qFormat/>
    <w:locked/>
    <w:uiPriority w:val="0"/>
    <w:rPr>
      <w:rFonts w:ascii="Times New Roman" w:hAnsi="Times New Roman" w:eastAsia="宋体"/>
      <w:sz w:val="18"/>
    </w:rPr>
  </w:style>
  <w:style w:type="character" w:customStyle="1" w:styleId="69">
    <w:name w:val="批注主题 Char"/>
    <w:link w:val="43"/>
    <w:qFormat/>
    <w:locked/>
    <w:uiPriority w:val="0"/>
    <w:rPr>
      <w:rFonts w:ascii="Times New Roman" w:hAnsi="Times New Roman" w:eastAsia="宋体"/>
      <w:b/>
      <w:kern w:val="2"/>
      <w:sz w:val="24"/>
    </w:rPr>
  </w:style>
  <w:style w:type="character" w:customStyle="1" w:styleId="70">
    <w:name w:val="页眉 Char"/>
    <w:link w:val="30"/>
    <w:qFormat/>
    <w:locked/>
    <w:uiPriority w:val="0"/>
    <w:rPr>
      <w:sz w:val="18"/>
    </w:rPr>
  </w:style>
  <w:style w:type="character" w:customStyle="1" w:styleId="71">
    <w:name w:val="批注文字 字符1"/>
    <w:semiHidden/>
    <w:qFormat/>
    <w:uiPriority w:val="0"/>
    <w:rPr>
      <w:rFonts w:ascii="Times New Roman" w:hAnsi="Times New Roman" w:eastAsia="宋体"/>
      <w:sz w:val="24"/>
    </w:rPr>
  </w:style>
  <w:style w:type="character" w:customStyle="1" w:styleId="72">
    <w:name w:val="正文文本缩进 Char"/>
    <w:link w:val="19"/>
    <w:qFormat/>
    <w:locked/>
    <w:uiPriority w:val="0"/>
    <w:rPr>
      <w:rFonts w:ascii="Times New Roman" w:hAnsi="Times New Roman" w:eastAsia="宋体"/>
      <w:sz w:val="24"/>
    </w:rPr>
  </w:style>
  <w:style w:type="paragraph" w:customStyle="1" w:styleId="7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4">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75">
    <w:name w:val="5-正文 Char"/>
    <w:link w:val="76"/>
    <w:qFormat/>
    <w:uiPriority w:val="0"/>
    <w:rPr>
      <w:kern w:val="2"/>
      <w:sz w:val="24"/>
    </w:rPr>
  </w:style>
  <w:style w:type="paragraph" w:customStyle="1" w:styleId="76">
    <w:name w:val="5-正文"/>
    <w:basedOn w:val="1"/>
    <w:link w:val="75"/>
    <w:qFormat/>
    <w:uiPriority w:val="0"/>
    <w:pPr>
      <w:snapToGrid w:val="0"/>
      <w:spacing w:line="480" w:lineRule="exact"/>
      <w:ind w:firstLine="200" w:firstLineChars="200"/>
    </w:pPr>
    <w:rPr>
      <w:sz w:val="24"/>
      <w:szCs w:val="20"/>
    </w:rPr>
  </w:style>
  <w:style w:type="paragraph" w:customStyle="1" w:styleId="77">
    <w:name w:val="段落"/>
    <w:basedOn w:val="1"/>
    <w:link w:val="78"/>
    <w:qFormat/>
    <w:uiPriority w:val="0"/>
    <w:pPr>
      <w:adjustRightInd w:val="0"/>
      <w:snapToGrid w:val="0"/>
      <w:spacing w:line="300" w:lineRule="auto"/>
      <w:ind w:firstLine="539"/>
    </w:pPr>
    <w:rPr>
      <w:rFonts w:ascii="宋体" w:hAnsi="宋体"/>
      <w:sz w:val="28"/>
    </w:rPr>
  </w:style>
  <w:style w:type="character" w:customStyle="1" w:styleId="78">
    <w:name w:val="段落 Char"/>
    <w:link w:val="77"/>
    <w:qFormat/>
    <w:uiPriority w:val="0"/>
    <w:rPr>
      <w:rFonts w:ascii="宋体" w:hAnsi="宋体"/>
      <w:kern w:val="2"/>
      <w:sz w:val="28"/>
      <w:szCs w:val="24"/>
    </w:rPr>
  </w:style>
  <w:style w:type="paragraph" w:customStyle="1" w:styleId="79">
    <w:name w:val="Char Char Char Char Char Char Char1"/>
    <w:basedOn w:val="1"/>
    <w:qFormat/>
    <w:uiPriority w:val="0"/>
    <w:pPr>
      <w:snapToGrid w:val="0"/>
      <w:spacing w:line="360" w:lineRule="auto"/>
      <w:ind w:firstLine="529" w:firstLineChars="200"/>
    </w:pPr>
    <w:rPr>
      <w:rFonts w:ascii="宋体" w:hAnsi="宋体"/>
      <w:b/>
    </w:rPr>
  </w:style>
  <w:style w:type="paragraph" w:customStyle="1" w:styleId="80">
    <w:name w:val="正文1"/>
    <w:basedOn w:val="1"/>
    <w:link w:val="81"/>
    <w:qFormat/>
    <w:uiPriority w:val="0"/>
    <w:pPr>
      <w:spacing w:line="560" w:lineRule="exact"/>
      <w:ind w:firstLine="200" w:firstLineChars="200"/>
    </w:pPr>
    <w:rPr>
      <w:rFonts w:ascii="宋体" w:hAnsi="宋体" w:cs="宋体"/>
      <w:sz w:val="28"/>
      <w:szCs w:val="28"/>
    </w:rPr>
  </w:style>
  <w:style w:type="character" w:customStyle="1" w:styleId="81">
    <w:name w:val="正文1 Char"/>
    <w:basedOn w:val="50"/>
    <w:link w:val="80"/>
    <w:qFormat/>
    <w:uiPriority w:val="0"/>
    <w:rPr>
      <w:rFonts w:ascii="宋体" w:hAnsi="宋体" w:cs="宋体"/>
      <w:kern w:val="2"/>
      <w:sz w:val="28"/>
      <w:szCs w:val="28"/>
    </w:rPr>
  </w:style>
  <w:style w:type="character" w:customStyle="1" w:styleId="82">
    <w:name w:val="正文缩进 Char"/>
    <w:link w:val="14"/>
    <w:qFormat/>
    <w:uiPriority w:val="0"/>
    <w:rPr>
      <w:kern w:val="2"/>
      <w:sz w:val="21"/>
    </w:rPr>
  </w:style>
  <w:style w:type="character" w:customStyle="1" w:styleId="83">
    <w:name w:val="标题 2 Char"/>
    <w:basedOn w:val="50"/>
    <w:link w:val="3"/>
    <w:semiHidden/>
    <w:qFormat/>
    <w:uiPriority w:val="0"/>
    <w:rPr>
      <w:rFonts w:ascii="Cambria" w:hAnsi="Cambria" w:eastAsia="宋体" w:cs="Times New Roman"/>
      <w:b/>
      <w:bCs/>
      <w:kern w:val="2"/>
      <w:sz w:val="32"/>
      <w:szCs w:val="32"/>
    </w:rPr>
  </w:style>
  <w:style w:type="character" w:customStyle="1" w:styleId="84">
    <w:name w:val="标题 3 Char"/>
    <w:basedOn w:val="50"/>
    <w:link w:val="4"/>
    <w:qFormat/>
    <w:uiPriority w:val="0"/>
    <w:rPr>
      <w:rFonts w:eastAsia="黑体"/>
      <w:b/>
      <w:bCs/>
      <w:kern w:val="2"/>
      <w:sz w:val="30"/>
      <w:szCs w:val="30"/>
    </w:rPr>
  </w:style>
  <w:style w:type="character" w:customStyle="1" w:styleId="85">
    <w:name w:val="标题 4 Char"/>
    <w:basedOn w:val="50"/>
    <w:link w:val="5"/>
    <w:qFormat/>
    <w:uiPriority w:val="0"/>
    <w:rPr>
      <w:rFonts w:ascii="Arial" w:hAnsi="Arial" w:eastAsia="黑体"/>
      <w:b/>
      <w:bCs/>
      <w:kern w:val="2"/>
      <w:sz w:val="28"/>
      <w:szCs w:val="28"/>
    </w:rPr>
  </w:style>
  <w:style w:type="character" w:customStyle="1" w:styleId="86">
    <w:name w:val="标题 5 Char"/>
    <w:basedOn w:val="50"/>
    <w:link w:val="6"/>
    <w:qFormat/>
    <w:uiPriority w:val="0"/>
    <w:rPr>
      <w:b/>
      <w:bCs/>
      <w:kern w:val="2"/>
      <w:sz w:val="28"/>
      <w:szCs w:val="28"/>
    </w:rPr>
  </w:style>
  <w:style w:type="character" w:customStyle="1" w:styleId="87">
    <w:name w:val="标题 6 Char"/>
    <w:basedOn w:val="50"/>
    <w:link w:val="7"/>
    <w:semiHidden/>
    <w:qFormat/>
    <w:uiPriority w:val="0"/>
    <w:rPr>
      <w:rFonts w:ascii="Arial" w:hAnsi="Arial" w:eastAsia="黑体"/>
      <w:b/>
      <w:bCs/>
      <w:color w:val="000000"/>
      <w:kern w:val="2"/>
      <w:sz w:val="24"/>
      <w:szCs w:val="24"/>
    </w:rPr>
  </w:style>
  <w:style w:type="character" w:customStyle="1" w:styleId="88">
    <w:name w:val="标题 7 Char"/>
    <w:basedOn w:val="50"/>
    <w:link w:val="8"/>
    <w:semiHidden/>
    <w:qFormat/>
    <w:uiPriority w:val="0"/>
    <w:rPr>
      <w:b/>
      <w:bCs/>
      <w:color w:val="000000"/>
      <w:kern w:val="2"/>
      <w:sz w:val="24"/>
      <w:szCs w:val="24"/>
    </w:rPr>
  </w:style>
  <w:style w:type="character" w:customStyle="1" w:styleId="89">
    <w:name w:val="标题 8 Char"/>
    <w:basedOn w:val="50"/>
    <w:link w:val="9"/>
    <w:semiHidden/>
    <w:qFormat/>
    <w:uiPriority w:val="0"/>
    <w:rPr>
      <w:rFonts w:ascii="Arial" w:hAnsi="Arial" w:eastAsia="黑体"/>
      <w:color w:val="000000"/>
      <w:kern w:val="2"/>
      <w:sz w:val="24"/>
      <w:szCs w:val="24"/>
    </w:rPr>
  </w:style>
  <w:style w:type="character" w:customStyle="1" w:styleId="90">
    <w:name w:val="标题 9 Char"/>
    <w:basedOn w:val="50"/>
    <w:link w:val="10"/>
    <w:semiHidden/>
    <w:qFormat/>
    <w:uiPriority w:val="0"/>
    <w:rPr>
      <w:color w:val="000000"/>
      <w:kern w:val="2"/>
      <w:sz w:val="24"/>
      <w:szCs w:val="21"/>
    </w:rPr>
  </w:style>
  <w:style w:type="character" w:customStyle="1" w:styleId="91">
    <w:name w:val="标题 1 Char"/>
    <w:link w:val="2"/>
    <w:qFormat/>
    <w:uiPriority w:val="0"/>
    <w:rPr>
      <w:rFonts w:eastAsia="黑体"/>
      <w:b/>
      <w:bCs/>
      <w:color w:val="000000"/>
      <w:kern w:val="44"/>
      <w:sz w:val="30"/>
      <w:szCs w:val="30"/>
    </w:rPr>
  </w:style>
  <w:style w:type="character" w:customStyle="1" w:styleId="92">
    <w:name w:val="标题 2 Char2"/>
    <w:link w:val="3"/>
    <w:qFormat/>
    <w:uiPriority w:val="0"/>
    <w:rPr>
      <w:rFonts w:eastAsia="黑体"/>
      <w:b/>
      <w:bCs/>
      <w:kern w:val="2"/>
      <w:sz w:val="32"/>
      <w:szCs w:val="32"/>
    </w:rPr>
  </w:style>
  <w:style w:type="paragraph" w:customStyle="1" w:styleId="93">
    <w:name w:val="样式 标题 1 + 居中"/>
    <w:basedOn w:val="2"/>
    <w:qFormat/>
    <w:uiPriority w:val="0"/>
    <w:pPr>
      <w:keepLines/>
      <w:overflowPunct/>
      <w:snapToGrid/>
      <w:spacing w:beforeLines="50" w:after="0" w:line="360" w:lineRule="auto"/>
      <w:ind w:left="0" w:firstLine="0"/>
      <w:jc w:val="center"/>
    </w:pPr>
    <w:rPr>
      <w:rFonts w:cs="宋体"/>
      <w:color w:val="auto"/>
      <w:sz w:val="36"/>
      <w:szCs w:val="20"/>
    </w:rPr>
  </w:style>
  <w:style w:type="paragraph" w:customStyle="1" w:styleId="94">
    <w:name w:val="标题4"/>
    <w:basedOn w:val="4"/>
    <w:qFormat/>
    <w:uiPriority w:val="0"/>
    <w:pPr>
      <w:spacing w:beforeLines="0"/>
    </w:pPr>
    <w:rPr>
      <w:rFonts w:cs="宋体"/>
      <w:b w:val="0"/>
      <w:sz w:val="28"/>
      <w:szCs w:val="20"/>
    </w:rPr>
  </w:style>
  <w:style w:type="paragraph" w:customStyle="1" w:styleId="95">
    <w:name w:val="样式 (中文) 楷体_GB2312 小四 行距: 1.5 倍行距"/>
    <w:basedOn w:val="1"/>
    <w:qFormat/>
    <w:uiPriority w:val="0"/>
    <w:pPr>
      <w:spacing w:line="360" w:lineRule="auto"/>
      <w:ind w:firstLine="480" w:firstLineChars="200"/>
    </w:pPr>
    <w:rPr>
      <w:rFonts w:eastAsia="楷体_GB2312" w:cs="宋体"/>
      <w:sz w:val="24"/>
      <w:szCs w:val="20"/>
    </w:rPr>
  </w:style>
  <w:style w:type="paragraph" w:customStyle="1" w:styleId="96">
    <w:name w:val="样式 (中文) 楷体_GB2312 居中"/>
    <w:basedOn w:val="2"/>
    <w:autoRedefine/>
    <w:qFormat/>
    <w:uiPriority w:val="0"/>
    <w:pPr>
      <w:keepLines/>
      <w:pageBreakBefore/>
      <w:overflowPunct/>
      <w:spacing w:before="0" w:after="0" w:line="240" w:lineRule="auto"/>
      <w:ind w:left="0" w:firstLine="0"/>
      <w:jc w:val="left"/>
    </w:pPr>
    <w:rPr>
      <w:rFonts w:ascii="黑体" w:hAnsi="宋体" w:cs="宋体"/>
      <w:bCs w:val="0"/>
      <w:color w:val="auto"/>
      <w:spacing w:val="-2"/>
      <w:kern w:val="0"/>
      <w:sz w:val="32"/>
      <w:szCs w:val="20"/>
    </w:rPr>
  </w:style>
  <w:style w:type="paragraph" w:customStyle="1" w:styleId="97">
    <w:name w:val="Char"/>
    <w:basedOn w:val="1"/>
    <w:qFormat/>
    <w:uiPriority w:val="0"/>
    <w:pPr>
      <w:snapToGrid w:val="0"/>
      <w:spacing w:line="360" w:lineRule="auto"/>
      <w:ind w:firstLine="529" w:firstLineChars="200"/>
    </w:pPr>
    <w:rPr>
      <w:rFonts w:ascii="宋体" w:hAnsi="宋体"/>
      <w:b/>
    </w:rPr>
  </w:style>
  <w:style w:type="character" w:customStyle="1" w:styleId="98">
    <w:name w:val="纯文本 Char"/>
    <w:basedOn w:val="50"/>
    <w:link w:val="23"/>
    <w:qFormat/>
    <w:uiPriority w:val="0"/>
    <w:rPr>
      <w:rFonts w:ascii="宋体" w:hAnsi="Courier New" w:cs="Courier New"/>
      <w:kern w:val="2"/>
      <w:sz w:val="21"/>
      <w:szCs w:val="21"/>
    </w:rPr>
  </w:style>
  <w:style w:type="character" w:customStyle="1" w:styleId="99">
    <w:name w:val="纯文本 Char2"/>
    <w:basedOn w:val="50"/>
    <w:link w:val="23"/>
    <w:qFormat/>
    <w:uiPriority w:val="0"/>
    <w:rPr>
      <w:rFonts w:ascii="宋体" w:hAnsi="Courier New"/>
      <w:kern w:val="2"/>
      <w:sz w:val="21"/>
      <w:szCs w:val="24"/>
    </w:rPr>
  </w:style>
  <w:style w:type="character" w:customStyle="1" w:styleId="100">
    <w:name w:val="正文文本缩进 Char2"/>
    <w:basedOn w:val="50"/>
    <w:qFormat/>
    <w:uiPriority w:val="0"/>
    <w:rPr>
      <w:rFonts w:eastAsia="仿宋_GB2312"/>
      <w:kern w:val="2"/>
      <w:sz w:val="28"/>
      <w:szCs w:val="24"/>
    </w:rPr>
  </w:style>
  <w:style w:type="character" w:customStyle="1" w:styleId="101">
    <w:name w:val="正文文本缩进 2 Char"/>
    <w:basedOn w:val="50"/>
    <w:link w:val="26"/>
    <w:qFormat/>
    <w:uiPriority w:val="0"/>
    <w:rPr>
      <w:kern w:val="2"/>
      <w:sz w:val="21"/>
      <w:szCs w:val="24"/>
    </w:rPr>
  </w:style>
  <w:style w:type="paragraph" w:customStyle="1" w:styleId="102">
    <w:name w:val="样式 楷体_GB2312 小四"/>
    <w:basedOn w:val="1"/>
    <w:qFormat/>
    <w:uiPriority w:val="0"/>
    <w:pPr>
      <w:spacing w:line="360" w:lineRule="auto"/>
      <w:ind w:firstLine="480" w:firstLineChars="200"/>
    </w:pPr>
    <w:rPr>
      <w:rFonts w:ascii="楷体_GB2312" w:hAnsi="楷体_GB2312" w:eastAsia="楷体_GB2312" w:cs="宋体"/>
      <w:sz w:val="24"/>
      <w:szCs w:val="20"/>
    </w:rPr>
  </w:style>
  <w:style w:type="character" w:customStyle="1" w:styleId="103">
    <w:name w:val="文档结构图 Char"/>
    <w:basedOn w:val="50"/>
    <w:link w:val="15"/>
    <w:qFormat/>
    <w:uiPriority w:val="99"/>
    <w:rPr>
      <w:kern w:val="2"/>
      <w:sz w:val="21"/>
      <w:szCs w:val="24"/>
      <w:shd w:val="clear" w:color="auto" w:fill="000080"/>
    </w:rPr>
  </w:style>
  <w:style w:type="paragraph" w:customStyle="1" w:styleId="104">
    <w:name w:val="四号标题"/>
    <w:basedOn w:val="1"/>
    <w:next w:val="1"/>
    <w:qFormat/>
    <w:uiPriority w:val="0"/>
    <w:pPr>
      <w:jc w:val="center"/>
    </w:pPr>
    <w:rPr>
      <w:rFonts w:ascii="Arial Unicode MS" w:hAnsi="Arial Unicode MS" w:eastAsia="黑体"/>
      <w:sz w:val="28"/>
      <w:szCs w:val="28"/>
    </w:rPr>
  </w:style>
  <w:style w:type="paragraph" w:customStyle="1" w:styleId="105">
    <w:name w:val="表头文字"/>
    <w:basedOn w:val="23"/>
    <w:qFormat/>
    <w:uiPriority w:val="0"/>
    <w:pPr>
      <w:spacing w:line="480" w:lineRule="exact"/>
      <w:jc w:val="center"/>
    </w:pPr>
    <w:rPr>
      <w:spacing w:val="2"/>
      <w:sz w:val="24"/>
      <w:szCs w:val="20"/>
    </w:rPr>
  </w:style>
  <w:style w:type="paragraph" w:customStyle="1" w:styleId="106">
    <w:name w:val="表格文字1"/>
    <w:basedOn w:val="23"/>
    <w:qFormat/>
    <w:uiPriority w:val="0"/>
    <w:pPr>
      <w:spacing w:line="320" w:lineRule="exact"/>
      <w:jc w:val="center"/>
    </w:pPr>
    <w:rPr>
      <w:spacing w:val="-12"/>
      <w:szCs w:val="20"/>
    </w:rPr>
  </w:style>
  <w:style w:type="character" w:customStyle="1" w:styleId="107">
    <w:name w:val="HTML 预设格式 Char"/>
    <w:basedOn w:val="50"/>
    <w:link w:val="39"/>
    <w:qFormat/>
    <w:uiPriority w:val="0"/>
    <w:rPr>
      <w:rFonts w:ascii="Arial" w:hAnsi="Arial" w:cs="Arial"/>
      <w:sz w:val="21"/>
      <w:szCs w:val="21"/>
    </w:rPr>
  </w:style>
  <w:style w:type="paragraph" w:customStyle="1" w:styleId="108">
    <w:name w:val="Char Char Char Char Char Char Char Char Char Char Char Char Char Char Char Char Char Char2 Char"/>
    <w:basedOn w:val="1"/>
    <w:qFormat/>
    <w:uiPriority w:val="0"/>
    <w:pPr>
      <w:spacing w:line="360" w:lineRule="auto"/>
      <w:ind w:firstLine="200" w:firstLineChars="200"/>
    </w:pPr>
    <w:rPr>
      <w:rFonts w:ascii="宋体" w:hAnsi="宋体" w:cs="宋体"/>
      <w:sz w:val="24"/>
    </w:rPr>
  </w:style>
  <w:style w:type="paragraph" w:customStyle="1" w:styleId="109">
    <w:name w:val="Char1"/>
    <w:basedOn w:val="1"/>
    <w:qFormat/>
    <w:uiPriority w:val="0"/>
    <w:rPr>
      <w:szCs w:val="20"/>
    </w:rPr>
  </w:style>
  <w:style w:type="paragraph" w:customStyle="1" w:styleId="110">
    <w:name w:val="表格文字"/>
    <w:basedOn w:val="1"/>
    <w:next w:val="1"/>
    <w:link w:val="111"/>
    <w:autoRedefine/>
    <w:qFormat/>
    <w:uiPriority w:val="0"/>
    <w:pPr>
      <w:adjustRightInd w:val="0"/>
      <w:snapToGrid w:val="0"/>
      <w:spacing w:line="360" w:lineRule="exact"/>
      <w:jc w:val="center"/>
    </w:pPr>
    <w:rPr>
      <w:rFonts w:hAnsi="宋体" w:cs="宋体"/>
      <w:bCs/>
      <w:spacing w:val="4"/>
      <w:kern w:val="0"/>
      <w:szCs w:val="21"/>
    </w:rPr>
  </w:style>
  <w:style w:type="character" w:customStyle="1" w:styleId="111">
    <w:name w:val="表格文字 Char Char"/>
    <w:basedOn w:val="50"/>
    <w:link w:val="110"/>
    <w:qFormat/>
    <w:uiPriority w:val="0"/>
    <w:rPr>
      <w:rFonts w:hAnsi="宋体" w:cs="宋体"/>
      <w:bCs/>
      <w:spacing w:val="4"/>
      <w:sz w:val="21"/>
      <w:szCs w:val="21"/>
    </w:rPr>
  </w:style>
  <w:style w:type="paragraph" w:customStyle="1" w:styleId="11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113">
    <w:name w:val="Char Char Char1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14">
    <w:name w:val="Char Char Char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15">
    <w:name w:val="Char Char Char Char Char Char Char"/>
    <w:basedOn w:val="1"/>
    <w:qFormat/>
    <w:uiPriority w:val="0"/>
  </w:style>
  <w:style w:type="character" w:customStyle="1" w:styleId="116">
    <w:name w:val="12_181"/>
    <w:basedOn w:val="50"/>
    <w:qFormat/>
    <w:uiPriority w:val="0"/>
    <w:rPr>
      <w:spacing w:val="160"/>
      <w:sz w:val="10"/>
      <w:szCs w:val="10"/>
    </w:rPr>
  </w:style>
  <w:style w:type="paragraph" w:customStyle="1" w:styleId="117">
    <w:name w:val="报告表格"/>
    <w:basedOn w:val="1"/>
    <w:qFormat/>
    <w:uiPriority w:val="0"/>
    <w:pPr>
      <w:autoSpaceDE w:val="0"/>
      <w:autoSpaceDN w:val="0"/>
      <w:adjustRightInd w:val="0"/>
      <w:spacing w:before="40" w:after="40"/>
      <w:jc w:val="center"/>
      <w:textAlignment w:val="bottom"/>
    </w:pPr>
    <w:rPr>
      <w:kern w:val="0"/>
      <w:szCs w:val="20"/>
    </w:rPr>
  </w:style>
  <w:style w:type="character" w:customStyle="1" w:styleId="118">
    <w:name w:val="Char Char1"/>
    <w:basedOn w:val="50"/>
    <w:qFormat/>
    <w:uiPriority w:val="0"/>
    <w:rPr>
      <w:rFonts w:ascii="宋体" w:hAnsi="Courier New" w:eastAsia="宋体"/>
      <w:kern w:val="2"/>
      <w:sz w:val="21"/>
      <w:lang w:val="en-US" w:eastAsia="zh-CN" w:bidi="ar-SA"/>
    </w:rPr>
  </w:style>
  <w:style w:type="paragraph" w:customStyle="1" w:styleId="119">
    <w:name w:val="Char Char Char Char Char Char Char2"/>
    <w:basedOn w:val="1"/>
    <w:qFormat/>
    <w:uiPriority w:val="0"/>
    <w:pPr>
      <w:spacing w:line="360" w:lineRule="auto"/>
      <w:ind w:firstLine="200" w:firstLineChars="200"/>
    </w:pPr>
    <w:rPr>
      <w:rFonts w:ascii="宋体" w:hAnsi="宋体" w:cs="宋体"/>
      <w:sz w:val="24"/>
    </w:rPr>
  </w:style>
  <w:style w:type="paragraph" w:customStyle="1" w:styleId="120">
    <w:name w:val="Char Char Char Char"/>
    <w:basedOn w:val="1"/>
    <w:qFormat/>
    <w:uiPriority w:val="0"/>
    <w:pPr>
      <w:snapToGrid w:val="0"/>
      <w:spacing w:line="360" w:lineRule="auto"/>
      <w:ind w:firstLine="529" w:firstLineChars="200"/>
    </w:pPr>
    <w:rPr>
      <w:rFonts w:ascii="宋体" w:hAnsi="宋体"/>
      <w:b/>
    </w:rPr>
  </w:style>
  <w:style w:type="character" w:customStyle="1" w:styleId="121">
    <w:name w:val="inq"/>
    <w:basedOn w:val="50"/>
    <w:qFormat/>
    <w:uiPriority w:val="0"/>
  </w:style>
  <w:style w:type="paragraph" w:customStyle="1" w:styleId="122">
    <w:name w:val="正文（首行缩进两字）"/>
    <w:basedOn w:val="1"/>
    <w:qFormat/>
    <w:uiPriority w:val="0"/>
    <w:pPr>
      <w:widowControl/>
      <w:adjustRightInd w:val="0"/>
      <w:snapToGrid w:val="0"/>
      <w:spacing w:line="300" w:lineRule="auto"/>
      <w:ind w:firstLine="200" w:firstLineChars="200"/>
      <w:jc w:val="left"/>
    </w:pPr>
    <w:rPr>
      <w:rFonts w:ascii="宋体" w:hAnsi="宋体"/>
      <w:kern w:val="0"/>
      <w:sz w:val="30"/>
      <w:szCs w:val="20"/>
    </w:rPr>
  </w:style>
  <w:style w:type="paragraph" w:customStyle="1" w:styleId="123">
    <w:name w:val="默认段落字体 Para Char Char Char Char"/>
    <w:basedOn w:val="1"/>
    <w:qFormat/>
    <w:uiPriority w:val="0"/>
    <w:pPr>
      <w:spacing w:line="360" w:lineRule="auto"/>
      <w:ind w:firstLine="200" w:firstLineChars="200"/>
    </w:pPr>
    <w:rPr>
      <w:rFonts w:ascii="宋体" w:hAnsi="宋体" w:cs="宋体"/>
      <w:sz w:val="24"/>
    </w:rPr>
  </w:style>
  <w:style w:type="paragraph" w:customStyle="1" w:styleId="124">
    <w:name w:val="Char Char Char Char1"/>
    <w:basedOn w:val="1"/>
    <w:qFormat/>
    <w:uiPriority w:val="0"/>
    <w:pPr>
      <w:spacing w:line="360" w:lineRule="auto"/>
      <w:ind w:firstLine="200" w:firstLineChars="200"/>
    </w:pPr>
    <w:rPr>
      <w:rFonts w:ascii="宋体" w:hAnsi="宋体" w:cs="宋体"/>
      <w:sz w:val="24"/>
    </w:rPr>
  </w:style>
  <w:style w:type="paragraph" w:customStyle="1" w:styleId="125">
    <w:name w:val="Char2"/>
    <w:basedOn w:val="1"/>
    <w:qFormat/>
    <w:uiPriority w:val="0"/>
    <w:rPr>
      <w:szCs w:val="20"/>
    </w:rPr>
  </w:style>
  <w:style w:type="character" w:customStyle="1" w:styleId="126">
    <w:name w:val="t_tag"/>
    <w:basedOn w:val="50"/>
    <w:qFormat/>
    <w:uiPriority w:val="0"/>
  </w:style>
  <w:style w:type="character" w:customStyle="1" w:styleId="127">
    <w:name w:val="apple-style-span"/>
    <w:basedOn w:val="50"/>
    <w:qFormat/>
    <w:uiPriority w:val="0"/>
  </w:style>
  <w:style w:type="paragraph" w:customStyle="1" w:styleId="128">
    <w:name w:val="ww"/>
    <w:basedOn w:val="1"/>
    <w:link w:val="129"/>
    <w:qFormat/>
    <w:uiPriority w:val="0"/>
    <w:pPr>
      <w:spacing w:line="500" w:lineRule="exact"/>
      <w:ind w:firstLine="560" w:firstLineChars="200"/>
    </w:pPr>
    <w:rPr>
      <w:sz w:val="28"/>
      <w:szCs w:val="28"/>
    </w:rPr>
  </w:style>
  <w:style w:type="character" w:customStyle="1" w:styleId="129">
    <w:name w:val="ww Char"/>
    <w:basedOn w:val="50"/>
    <w:link w:val="128"/>
    <w:qFormat/>
    <w:uiPriority w:val="0"/>
    <w:rPr>
      <w:kern w:val="2"/>
      <w:sz w:val="28"/>
      <w:szCs w:val="28"/>
    </w:rPr>
  </w:style>
  <w:style w:type="paragraph" w:customStyle="1" w:styleId="130">
    <w:name w:val="Char Char"/>
    <w:basedOn w:val="1"/>
    <w:qFormat/>
    <w:uiPriority w:val="0"/>
    <w:rPr>
      <w:rFonts w:ascii="Tahoma" w:hAnsi="Tahoma" w:eastAsia="仿宋_GB2312"/>
      <w:sz w:val="24"/>
      <w:szCs w:val="20"/>
    </w:rPr>
  </w:style>
  <w:style w:type="character" w:customStyle="1" w:styleId="131">
    <w:name w:val="正文首行缩进 Char"/>
    <w:basedOn w:val="63"/>
    <w:link w:val="44"/>
    <w:qFormat/>
    <w:uiPriority w:val="99"/>
    <w:rPr>
      <w:kern w:val="2"/>
      <w:sz w:val="21"/>
    </w:rPr>
  </w:style>
  <w:style w:type="paragraph" w:customStyle="1" w:styleId="132">
    <w:name w:val="Char3"/>
    <w:basedOn w:val="1"/>
    <w:qFormat/>
    <w:uiPriority w:val="0"/>
    <w:pPr>
      <w:snapToGrid w:val="0"/>
      <w:spacing w:line="360" w:lineRule="auto"/>
      <w:ind w:firstLine="200" w:firstLineChars="200"/>
    </w:pPr>
    <w:rPr>
      <w:rFonts w:eastAsia="仿宋_GB2312"/>
      <w:sz w:val="24"/>
    </w:rPr>
  </w:style>
  <w:style w:type="paragraph" w:customStyle="1" w:styleId="133">
    <w:name w:val="样式 首行缩进:  2 字符"/>
    <w:basedOn w:val="1"/>
    <w:qFormat/>
    <w:uiPriority w:val="0"/>
    <w:pPr>
      <w:ind w:firstLine="200" w:firstLineChars="200"/>
    </w:pPr>
    <w:rPr>
      <w:rFonts w:ascii="仿宋_GB2312)" w:eastAsia="仿宋_GB2312" w:cs="宋体"/>
      <w:sz w:val="28"/>
      <w:szCs w:val="20"/>
    </w:rPr>
  </w:style>
  <w:style w:type="paragraph" w:customStyle="1" w:styleId="134">
    <w:name w:val="文字表格1"/>
    <w:autoRedefine/>
    <w:qFormat/>
    <w:uiPriority w:val="0"/>
    <w:pPr>
      <w:widowControl w:val="0"/>
      <w:adjustRightInd w:val="0"/>
      <w:snapToGrid w:val="0"/>
      <w:spacing w:line="360" w:lineRule="exact"/>
      <w:jc w:val="center"/>
    </w:pPr>
    <w:rPr>
      <w:rFonts w:ascii="Times New Roman" w:hAnsi="Times New Roman" w:eastAsia="宋体" w:cs="Times New Roman"/>
      <w:b/>
      <w:bCs/>
      <w:color w:val="000000"/>
      <w:sz w:val="21"/>
      <w:szCs w:val="21"/>
      <w:lang w:val="en-US" w:eastAsia="zh-CN" w:bidi="ar-SA"/>
    </w:rPr>
  </w:style>
  <w:style w:type="character" w:customStyle="1" w:styleId="135">
    <w:name w:val="文字 Char Char"/>
    <w:link w:val="136"/>
    <w:qFormat/>
    <w:uiPriority w:val="0"/>
    <w:rPr>
      <w:kern w:val="2"/>
      <w:sz w:val="28"/>
      <w:szCs w:val="28"/>
    </w:rPr>
  </w:style>
  <w:style w:type="paragraph" w:customStyle="1" w:styleId="136">
    <w:name w:val="文字"/>
    <w:basedOn w:val="1"/>
    <w:link w:val="135"/>
    <w:qFormat/>
    <w:uiPriority w:val="0"/>
    <w:pPr>
      <w:autoSpaceDE w:val="0"/>
      <w:autoSpaceDN w:val="0"/>
      <w:spacing w:line="500" w:lineRule="atLeast"/>
      <w:ind w:firstLine="200" w:firstLineChars="200"/>
    </w:pPr>
    <w:rPr>
      <w:sz w:val="28"/>
      <w:szCs w:val="28"/>
    </w:rPr>
  </w:style>
  <w:style w:type="character" w:customStyle="1" w:styleId="137">
    <w:name w:val="标准正文 Char Char"/>
    <w:link w:val="138"/>
    <w:qFormat/>
    <w:uiPriority w:val="0"/>
    <w:rPr>
      <w:kern w:val="2"/>
      <w:sz w:val="24"/>
      <w:szCs w:val="22"/>
    </w:rPr>
  </w:style>
  <w:style w:type="paragraph" w:customStyle="1" w:styleId="138">
    <w:name w:val="标准正文"/>
    <w:basedOn w:val="1"/>
    <w:link w:val="137"/>
    <w:qFormat/>
    <w:uiPriority w:val="0"/>
    <w:pPr>
      <w:spacing w:line="360" w:lineRule="auto"/>
      <w:ind w:firstLine="480" w:firstLineChars="200"/>
      <w:jc w:val="left"/>
    </w:pPr>
    <w:rPr>
      <w:sz w:val="24"/>
      <w:szCs w:val="22"/>
    </w:rPr>
  </w:style>
  <w:style w:type="character" w:customStyle="1" w:styleId="139">
    <w:name w:val="报告正文 Char"/>
    <w:link w:val="140"/>
    <w:qFormat/>
    <w:uiPriority w:val="0"/>
    <w:rPr>
      <w:kern w:val="2"/>
      <w:sz w:val="24"/>
      <w:szCs w:val="24"/>
    </w:rPr>
  </w:style>
  <w:style w:type="paragraph" w:customStyle="1" w:styleId="140">
    <w:name w:val="报告正文"/>
    <w:basedOn w:val="1"/>
    <w:next w:val="1"/>
    <w:link w:val="139"/>
    <w:qFormat/>
    <w:uiPriority w:val="0"/>
    <w:pPr>
      <w:adjustRightInd w:val="0"/>
      <w:snapToGrid w:val="0"/>
      <w:spacing w:line="360" w:lineRule="auto"/>
      <w:ind w:firstLine="200" w:firstLineChars="200"/>
    </w:pPr>
    <w:rPr>
      <w:sz w:val="24"/>
    </w:rPr>
  </w:style>
  <w:style w:type="character" w:customStyle="1" w:styleId="141">
    <w:name w:val="表格文字 Char"/>
    <w:basedOn w:val="50"/>
    <w:link w:val="142"/>
    <w:qFormat/>
    <w:uiPriority w:val="0"/>
    <w:rPr>
      <w:spacing w:val="6"/>
      <w:kern w:val="2"/>
      <w:sz w:val="21"/>
      <w:szCs w:val="21"/>
    </w:rPr>
  </w:style>
  <w:style w:type="paragraph" w:customStyle="1" w:styleId="142">
    <w:name w:val="表格内容"/>
    <w:basedOn w:val="1"/>
    <w:link w:val="141"/>
    <w:qFormat/>
    <w:uiPriority w:val="0"/>
    <w:pPr>
      <w:jc w:val="center"/>
    </w:pPr>
    <w:rPr>
      <w:spacing w:val="6"/>
      <w:szCs w:val="21"/>
    </w:rPr>
  </w:style>
  <w:style w:type="paragraph" w:customStyle="1" w:styleId="143">
    <w:name w:val="样式 样式 首行缩进:  2 字符 + (西文) Times New Roman (中文) 宋体 小四 首行缩进:  2 ..."/>
    <w:basedOn w:val="133"/>
    <w:qFormat/>
    <w:uiPriority w:val="0"/>
    <w:pPr>
      <w:spacing w:line="480" w:lineRule="exact"/>
    </w:pPr>
    <w:rPr>
      <w:rFonts w:ascii="Times New Roman" w:hAnsi="宋体" w:eastAsia="Times New Roman"/>
      <w:sz w:val="24"/>
    </w:rPr>
  </w:style>
  <w:style w:type="character" w:customStyle="1" w:styleId="144">
    <w:name w:val="正文（南山污水） Char"/>
    <w:qFormat/>
    <w:uiPriority w:val="0"/>
    <w:rPr>
      <w:rFonts w:eastAsia="宋体"/>
      <w:kern w:val="2"/>
      <w:sz w:val="21"/>
      <w:lang w:val="en-US" w:eastAsia="zh-CN" w:bidi="ar-SA"/>
    </w:rPr>
  </w:style>
  <w:style w:type="character" w:customStyle="1" w:styleId="145">
    <w:name w:val="正文（首行式样2） Char1"/>
    <w:link w:val="146"/>
    <w:qFormat/>
    <w:uiPriority w:val="0"/>
    <w:rPr>
      <w:bCs/>
      <w:sz w:val="28"/>
    </w:rPr>
  </w:style>
  <w:style w:type="paragraph" w:customStyle="1" w:styleId="146">
    <w:name w:val="正文（首行式样2）"/>
    <w:basedOn w:val="14"/>
    <w:link w:val="145"/>
    <w:qFormat/>
    <w:uiPriority w:val="0"/>
    <w:pPr>
      <w:spacing w:line="540" w:lineRule="exact"/>
      <w:ind w:firstLine="560" w:firstLineChars="200"/>
    </w:pPr>
    <w:rPr>
      <w:bCs/>
      <w:kern w:val="0"/>
      <w:sz w:val="28"/>
    </w:rPr>
  </w:style>
  <w:style w:type="paragraph" w:customStyle="1" w:styleId="147">
    <w:name w:val="0正文"/>
    <w:basedOn w:val="19"/>
    <w:link w:val="148"/>
    <w:qFormat/>
    <w:uiPriority w:val="0"/>
    <w:pPr>
      <w:spacing w:after="0" w:line="300" w:lineRule="auto"/>
      <w:ind w:left="0" w:leftChars="0" w:firstLine="480" w:firstLineChars="200"/>
    </w:pPr>
  </w:style>
  <w:style w:type="character" w:customStyle="1" w:styleId="148">
    <w:name w:val="0正文 Char"/>
    <w:link w:val="147"/>
    <w:qFormat/>
    <w:uiPriority w:val="0"/>
    <w:rPr>
      <w:sz w:val="24"/>
    </w:rPr>
  </w:style>
  <w:style w:type="paragraph" w:customStyle="1" w:styleId="149">
    <w:name w:val="表格文字/16"/>
    <w:basedOn w:val="1"/>
    <w:qFormat/>
    <w:uiPriority w:val="0"/>
    <w:pPr>
      <w:adjustRightInd w:val="0"/>
      <w:snapToGrid w:val="0"/>
      <w:spacing w:line="320" w:lineRule="exact"/>
      <w:jc w:val="center"/>
    </w:pPr>
    <w:rPr>
      <w:color w:val="000000"/>
      <w:kern w:val="32"/>
      <w:szCs w:val="20"/>
    </w:rPr>
  </w:style>
  <w:style w:type="character" w:customStyle="1" w:styleId="150">
    <w:name w:val="正文文本缩进 3 Char"/>
    <w:link w:val="35"/>
    <w:qFormat/>
    <w:uiPriority w:val="0"/>
    <w:rPr>
      <w:kern w:val="2"/>
      <w:sz w:val="16"/>
      <w:szCs w:val="16"/>
    </w:rPr>
  </w:style>
  <w:style w:type="character" w:customStyle="1" w:styleId="151">
    <w:name w:val="正文文本缩进 3 Char1"/>
    <w:basedOn w:val="50"/>
    <w:link w:val="35"/>
    <w:qFormat/>
    <w:uiPriority w:val="0"/>
    <w:rPr>
      <w:kern w:val="2"/>
      <w:sz w:val="16"/>
      <w:szCs w:val="16"/>
    </w:rPr>
  </w:style>
  <w:style w:type="paragraph" w:customStyle="1" w:styleId="152">
    <w:name w:val="1"/>
    <w:basedOn w:val="1"/>
    <w:qFormat/>
    <w:uiPriority w:val="0"/>
    <w:pPr>
      <w:spacing w:line="360" w:lineRule="auto"/>
      <w:ind w:firstLine="200" w:firstLineChars="200"/>
    </w:pPr>
    <w:rPr>
      <w:rFonts w:ascii="宋体" w:hAnsi="宋体" w:cs="宋体"/>
      <w:sz w:val="24"/>
    </w:rPr>
  </w:style>
  <w:style w:type="character" w:customStyle="1" w:styleId="153">
    <w:name w:val="内容 Char"/>
    <w:link w:val="154"/>
    <w:qFormat/>
    <w:uiPriority w:val="0"/>
    <w:rPr>
      <w:rFonts w:ascii="Arial" w:hAnsi="Arial" w:eastAsia="Arial Narrow" w:cs="宋体"/>
      <w:spacing w:val="14"/>
      <w:kern w:val="2"/>
      <w:sz w:val="24"/>
      <w:szCs w:val="24"/>
    </w:rPr>
  </w:style>
  <w:style w:type="paragraph" w:customStyle="1" w:styleId="154">
    <w:name w:val="内容"/>
    <w:basedOn w:val="1"/>
    <w:link w:val="153"/>
    <w:qFormat/>
    <w:uiPriority w:val="0"/>
    <w:pPr>
      <w:spacing w:line="500" w:lineRule="exact"/>
      <w:ind w:firstLine="200" w:firstLineChars="200"/>
    </w:pPr>
    <w:rPr>
      <w:rFonts w:ascii="Arial" w:hAnsi="Arial" w:eastAsia="Arial Narrow"/>
      <w:spacing w:val="14"/>
      <w:sz w:val="24"/>
    </w:rPr>
  </w:style>
  <w:style w:type="paragraph" w:customStyle="1" w:styleId="155">
    <w:name w:val="表头"/>
    <w:basedOn w:val="1"/>
    <w:next w:val="1"/>
    <w:link w:val="156"/>
    <w:qFormat/>
    <w:uiPriority w:val="0"/>
    <w:pPr>
      <w:autoSpaceDE w:val="0"/>
      <w:autoSpaceDN w:val="0"/>
      <w:adjustRightInd w:val="0"/>
      <w:snapToGrid w:val="0"/>
      <w:spacing w:before="40" w:after="40" w:line="480" w:lineRule="exact"/>
      <w:jc w:val="center"/>
    </w:pPr>
    <w:rPr>
      <w:b/>
      <w:color w:val="000000"/>
      <w:kern w:val="32"/>
      <w:sz w:val="28"/>
      <w:szCs w:val="20"/>
    </w:rPr>
  </w:style>
  <w:style w:type="character" w:customStyle="1" w:styleId="156">
    <w:name w:val="表头 Char"/>
    <w:basedOn w:val="50"/>
    <w:link w:val="155"/>
    <w:qFormat/>
    <w:uiPriority w:val="0"/>
    <w:rPr>
      <w:b/>
      <w:color w:val="000000"/>
      <w:kern w:val="32"/>
      <w:sz w:val="28"/>
    </w:rPr>
  </w:style>
  <w:style w:type="paragraph" w:customStyle="1" w:styleId="157">
    <w:name w:val="正文28磅"/>
    <w:link w:val="158"/>
    <w:autoRedefine/>
    <w:qFormat/>
    <w:uiPriority w:val="0"/>
    <w:pPr>
      <w:widowControl w:val="0"/>
      <w:overflowPunct w:val="0"/>
      <w:spacing w:line="360" w:lineRule="auto"/>
      <w:ind w:firstLine="480" w:firstLineChars="200"/>
      <w:jc w:val="both"/>
    </w:pPr>
    <w:rPr>
      <w:rFonts w:ascii="Times New Roman" w:hAnsi="Times New Roman" w:eastAsia="宋体" w:cs="Times New Roman"/>
      <w:sz w:val="24"/>
      <w:szCs w:val="24"/>
      <w:u w:color="000000"/>
      <w:lang w:val="en-GB" w:eastAsia="zh-CN" w:bidi="ar-SA"/>
    </w:rPr>
  </w:style>
  <w:style w:type="character" w:customStyle="1" w:styleId="158">
    <w:name w:val="正文28磅 Char"/>
    <w:basedOn w:val="50"/>
    <w:link w:val="157"/>
    <w:qFormat/>
    <w:uiPriority w:val="0"/>
    <w:rPr>
      <w:sz w:val="24"/>
      <w:szCs w:val="24"/>
      <w:u w:color="000000"/>
      <w:lang w:val="en-GB" w:eastAsia="zh-CN" w:bidi="ar-SA"/>
    </w:rPr>
  </w:style>
  <w:style w:type="paragraph" w:customStyle="1" w:styleId="159">
    <w:name w:val="p16"/>
    <w:basedOn w:val="1"/>
    <w:qFormat/>
    <w:uiPriority w:val="0"/>
    <w:pPr>
      <w:widowControl/>
      <w:spacing w:line="540" w:lineRule="atLeast"/>
      <w:ind w:firstLine="540"/>
    </w:pPr>
    <w:rPr>
      <w:rFonts w:ascii="宋体" w:hAnsi="宋体" w:cs="宋体"/>
      <w:kern w:val="0"/>
      <w:sz w:val="28"/>
      <w:szCs w:val="28"/>
    </w:rPr>
  </w:style>
  <w:style w:type="paragraph" w:customStyle="1" w:styleId="160">
    <w:name w:val="li表格"/>
    <w:basedOn w:val="1"/>
    <w:next w:val="1"/>
    <w:qFormat/>
    <w:uiPriority w:val="0"/>
    <w:pPr>
      <w:spacing w:line="360" w:lineRule="exact"/>
      <w:jc w:val="center"/>
    </w:pPr>
    <w:rPr>
      <w:b/>
      <w:spacing w:val="4"/>
      <w:sz w:val="24"/>
      <w:szCs w:val="21"/>
    </w:rPr>
  </w:style>
  <w:style w:type="character" w:customStyle="1" w:styleId="161">
    <w:name w:val="3zw1"/>
    <w:basedOn w:val="50"/>
    <w:qFormat/>
    <w:uiPriority w:val="0"/>
    <w:rPr>
      <w:color w:val="000000"/>
      <w:sz w:val="21"/>
      <w:szCs w:val="21"/>
    </w:rPr>
  </w:style>
  <w:style w:type="paragraph" w:customStyle="1" w:styleId="162">
    <w:name w:val="新表"/>
    <w:basedOn w:val="1"/>
    <w:qFormat/>
    <w:uiPriority w:val="0"/>
    <w:pPr>
      <w:adjustRightInd w:val="0"/>
      <w:spacing w:before="60" w:line="336" w:lineRule="auto"/>
      <w:ind w:firstLine="505"/>
      <w:textAlignment w:val="baseline"/>
    </w:pPr>
    <w:rPr>
      <w:rFonts w:ascii="宋体"/>
      <w:kern w:val="0"/>
      <w:sz w:val="24"/>
      <w:szCs w:val="20"/>
    </w:rPr>
  </w:style>
  <w:style w:type="paragraph" w:customStyle="1" w:styleId="163">
    <w:name w:val="样式2"/>
    <w:basedOn w:val="1"/>
    <w:qFormat/>
    <w:uiPriority w:val="99"/>
    <w:pPr>
      <w:spacing w:line="460" w:lineRule="exact"/>
    </w:pPr>
    <w:rPr>
      <w:sz w:val="24"/>
      <w:szCs w:val="20"/>
    </w:rPr>
  </w:style>
  <w:style w:type="paragraph" w:customStyle="1" w:styleId="164">
    <w:name w:val="裴正文"/>
    <w:qFormat/>
    <w:uiPriority w:val="0"/>
    <w:pPr>
      <w:adjustRightInd w:val="0"/>
      <w:snapToGrid w:val="0"/>
      <w:spacing w:line="500" w:lineRule="exact"/>
      <w:ind w:firstLine="200" w:firstLineChars="200"/>
    </w:pPr>
    <w:rPr>
      <w:rFonts w:ascii="Times New Roman" w:hAnsi="Times New Roman" w:eastAsia="宋体" w:cs="Times New Roman"/>
      <w:bCs/>
      <w:snapToGrid w:val="0"/>
      <w:sz w:val="24"/>
      <w:lang w:val="en-US" w:eastAsia="zh-CN" w:bidi="ar-SA"/>
    </w:rPr>
  </w:style>
  <w:style w:type="paragraph" w:customStyle="1" w:styleId="165">
    <w:name w:val="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166">
    <w:name w:val="表格文字样式"/>
    <w:basedOn w:val="1"/>
    <w:qFormat/>
    <w:uiPriority w:val="0"/>
    <w:pPr>
      <w:tabs>
        <w:tab w:val="left" w:pos="567"/>
      </w:tabs>
      <w:jc w:val="center"/>
    </w:pPr>
    <w:rPr>
      <w:rFonts w:eastAsia="华文中宋"/>
      <w:spacing w:val="20"/>
      <w:sz w:val="24"/>
      <w:szCs w:val="20"/>
    </w:rPr>
  </w:style>
  <w:style w:type="paragraph" w:customStyle="1" w:styleId="167">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168">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169">
    <w:name w:val="中文报告书"/>
    <w:basedOn w:val="1"/>
    <w:qFormat/>
    <w:uiPriority w:val="0"/>
    <w:pPr>
      <w:adjustRightInd w:val="0"/>
      <w:spacing w:after="80" w:line="420" w:lineRule="atLeast"/>
      <w:jc w:val="left"/>
      <w:textAlignment w:val="baseline"/>
    </w:pPr>
    <w:rPr>
      <w:kern w:val="0"/>
      <w:sz w:val="24"/>
      <w:szCs w:val="20"/>
    </w:rPr>
  </w:style>
  <w:style w:type="paragraph" w:customStyle="1" w:styleId="170">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71">
    <w:name w:val="样式 (中文) 仿宋_GB2312"/>
    <w:basedOn w:val="1"/>
    <w:qFormat/>
    <w:uiPriority w:val="0"/>
    <w:pPr>
      <w:ind w:left="-50" w:leftChars="-24" w:firstLine="420" w:firstLineChars="200"/>
    </w:pPr>
    <w:rPr>
      <w:rFonts w:eastAsia="仿宋_GB2312" w:cs="宋体"/>
      <w:sz w:val="28"/>
      <w:szCs w:val="20"/>
    </w:rPr>
  </w:style>
  <w:style w:type="paragraph" w:customStyle="1" w:styleId="172">
    <w:name w:val="样式 标题 1 + (中文) 楷体_GB2312 三号 段前: 0 磅 段后: 0 磅 行距: 单倍行距"/>
    <w:basedOn w:val="2"/>
    <w:qFormat/>
    <w:uiPriority w:val="0"/>
    <w:pPr>
      <w:keepLines/>
      <w:overflowPunct/>
      <w:snapToGrid/>
      <w:spacing w:before="0" w:beforeAutospacing="1" w:after="100" w:afterAutospacing="1" w:line="240" w:lineRule="auto"/>
      <w:ind w:left="0" w:firstLine="0"/>
    </w:pPr>
    <w:rPr>
      <w:rFonts w:ascii="宋体" w:hAnsi="宋体" w:eastAsia="楷体_GB2312" w:cs="宋体"/>
      <w:snapToGrid w:val="0"/>
      <w:color w:val="auto"/>
      <w:sz w:val="32"/>
      <w:szCs w:val="20"/>
    </w:rPr>
  </w:style>
  <w:style w:type="paragraph" w:customStyle="1" w:styleId="173">
    <w:name w:val="表第一列"/>
    <w:basedOn w:val="44"/>
    <w:qFormat/>
    <w:uiPriority w:val="0"/>
    <w:pPr>
      <w:keepNext/>
      <w:keepLines/>
      <w:tabs>
        <w:tab w:val="left" w:pos="1727"/>
        <w:tab w:val="left" w:pos="1884"/>
        <w:tab w:val="left" w:pos="2940"/>
      </w:tabs>
      <w:adjustRightInd w:val="0"/>
      <w:snapToGrid w:val="0"/>
      <w:spacing w:after="0" w:line="0" w:lineRule="atLeast"/>
      <w:ind w:firstLine="0" w:firstLineChars="0"/>
      <w:jc w:val="center"/>
    </w:pPr>
    <w:rPr>
      <w:rFonts w:ascii="宋体" w:hAnsi="宋体"/>
      <w:color w:val="000000"/>
      <w:spacing w:val="-4"/>
    </w:rPr>
  </w:style>
  <w:style w:type="paragraph" w:customStyle="1" w:styleId="174">
    <w:name w:val="Char Char Char Char Char Char Char Char Char Char Char Char Char Char Char Char Char Char Char Char Char Char"/>
    <w:basedOn w:val="1"/>
    <w:qFormat/>
    <w:uiPriority w:val="0"/>
    <w:pPr>
      <w:spacing w:line="480" w:lineRule="exact"/>
    </w:pPr>
  </w:style>
  <w:style w:type="paragraph" w:customStyle="1" w:styleId="175">
    <w:name w:val="li 2"/>
    <w:basedOn w:val="2"/>
    <w:next w:val="2"/>
    <w:link w:val="176"/>
    <w:qFormat/>
    <w:uiPriority w:val="0"/>
    <w:pPr>
      <w:keepLines/>
      <w:overflowPunct/>
      <w:snapToGrid/>
      <w:spacing w:before="0" w:after="60" w:line="240" w:lineRule="auto"/>
      <w:ind w:left="0" w:firstLine="0"/>
      <w:outlineLvl w:val="1"/>
    </w:pPr>
    <w:rPr>
      <w:rFonts w:ascii="宋体" w:hAnsi="宋体"/>
      <w:snapToGrid w:val="0"/>
      <w:color w:val="auto"/>
    </w:rPr>
  </w:style>
  <w:style w:type="character" w:customStyle="1" w:styleId="176">
    <w:name w:val="li 2 Char"/>
    <w:link w:val="175"/>
    <w:qFormat/>
    <w:locked/>
    <w:uiPriority w:val="0"/>
    <w:rPr>
      <w:rFonts w:ascii="宋体" w:hAnsi="宋体" w:eastAsia="黑体"/>
      <w:b/>
      <w:bCs/>
      <w:snapToGrid w:val="0"/>
      <w:kern w:val="44"/>
      <w:sz w:val="30"/>
      <w:szCs w:val="30"/>
    </w:rPr>
  </w:style>
  <w:style w:type="paragraph" w:customStyle="1" w:styleId="177">
    <w:name w:val="表格样式1"/>
    <w:basedOn w:val="1"/>
    <w:link w:val="178"/>
    <w:qFormat/>
    <w:uiPriority w:val="0"/>
    <w:pPr>
      <w:adjustRightInd w:val="0"/>
      <w:spacing w:line="20" w:lineRule="atLeast"/>
      <w:ind w:firstLine="480" w:firstLineChars="200"/>
      <w:jc w:val="center"/>
      <w:textAlignment w:val="baseline"/>
    </w:pPr>
    <w:rPr>
      <w:rFonts w:ascii="宋体" w:hAnsi="宋体"/>
      <w:color w:val="000000"/>
      <w:kern w:val="0"/>
      <w:szCs w:val="20"/>
    </w:rPr>
  </w:style>
  <w:style w:type="character" w:customStyle="1" w:styleId="178">
    <w:name w:val="表格样式1 Char"/>
    <w:basedOn w:val="50"/>
    <w:link w:val="177"/>
    <w:qFormat/>
    <w:locked/>
    <w:uiPriority w:val="0"/>
    <w:rPr>
      <w:rFonts w:ascii="宋体" w:hAnsi="宋体"/>
      <w:color w:val="000000"/>
      <w:sz w:val="21"/>
    </w:rPr>
  </w:style>
  <w:style w:type="paragraph" w:customStyle="1" w:styleId="179">
    <w:name w:val="Char Char Char Char Char Char Char Char Char Char Char Char Char Char Char Char Char Char1 Char Char Char Char Char Char Char Char Char Char Char Char Char Char Char Char"/>
    <w:basedOn w:val="1"/>
    <w:next w:val="1"/>
    <w:qFormat/>
    <w:uiPriority w:val="0"/>
    <w:pPr>
      <w:spacing w:line="360" w:lineRule="auto"/>
      <w:ind w:firstLine="200" w:firstLineChars="200"/>
    </w:pPr>
    <w:rPr>
      <w:rFonts w:ascii="宋体" w:hAnsi="宋体" w:cs="宋体"/>
      <w:snapToGrid w:val="0"/>
      <w:kern w:val="0"/>
      <w:sz w:val="24"/>
    </w:rPr>
  </w:style>
  <w:style w:type="paragraph" w:customStyle="1" w:styleId="180">
    <w:name w:val="2 Char Char Char Char"/>
    <w:basedOn w:val="1"/>
    <w:qFormat/>
    <w:uiPriority w:val="0"/>
    <w:pPr>
      <w:snapToGrid w:val="0"/>
      <w:spacing w:line="360" w:lineRule="auto"/>
      <w:ind w:firstLine="529" w:firstLineChars="200"/>
    </w:pPr>
    <w:rPr>
      <w:rFonts w:ascii="宋体" w:hAnsi="宋体"/>
      <w:b/>
      <w:sz w:val="24"/>
    </w:rPr>
  </w:style>
  <w:style w:type="paragraph" w:customStyle="1" w:styleId="181">
    <w:name w:val="正文1 Char Char Char"/>
    <w:basedOn w:val="1"/>
    <w:link w:val="182"/>
    <w:autoRedefine/>
    <w:qFormat/>
    <w:uiPriority w:val="0"/>
    <w:pPr>
      <w:widowControl/>
      <w:tabs>
        <w:tab w:val="left" w:pos="4660"/>
      </w:tabs>
      <w:spacing w:line="480" w:lineRule="exact"/>
      <w:ind w:firstLine="482" w:firstLineChars="200"/>
    </w:pPr>
    <w:rPr>
      <w:b/>
      <w:sz w:val="24"/>
    </w:rPr>
  </w:style>
  <w:style w:type="character" w:customStyle="1" w:styleId="182">
    <w:name w:val="正文1 Char Char Char Char"/>
    <w:basedOn w:val="50"/>
    <w:link w:val="181"/>
    <w:qFormat/>
    <w:uiPriority w:val="0"/>
    <w:rPr>
      <w:b/>
      <w:kern w:val="2"/>
      <w:sz w:val="24"/>
      <w:szCs w:val="24"/>
    </w:rPr>
  </w:style>
  <w:style w:type="paragraph" w:customStyle="1" w:styleId="183">
    <w:name w:val="表格新唐"/>
    <w:basedOn w:val="1"/>
    <w:autoRedefine/>
    <w:qFormat/>
    <w:uiPriority w:val="0"/>
    <w:pPr>
      <w:spacing w:line="320" w:lineRule="exact"/>
      <w:jc w:val="center"/>
    </w:pPr>
    <w:rPr>
      <w:color w:val="0000FF"/>
      <w:sz w:val="24"/>
      <w:szCs w:val="21"/>
    </w:rPr>
  </w:style>
  <w:style w:type="paragraph" w:customStyle="1" w:styleId="184">
    <w:name w:val="2"/>
    <w:basedOn w:val="1"/>
    <w:next w:val="19"/>
    <w:qFormat/>
    <w:uiPriority w:val="0"/>
    <w:pPr>
      <w:spacing w:line="440" w:lineRule="exact"/>
      <w:ind w:firstLine="574"/>
    </w:pPr>
    <w:rPr>
      <w:sz w:val="28"/>
      <w:szCs w:val="20"/>
    </w:rPr>
  </w:style>
  <w:style w:type="character" w:customStyle="1" w:styleId="185">
    <w:name w:val="font21"/>
    <w:basedOn w:val="50"/>
    <w:qFormat/>
    <w:uiPriority w:val="0"/>
    <w:rPr>
      <w:color w:val="000000"/>
      <w:sz w:val="21"/>
      <w:szCs w:val="21"/>
      <w:u w:val="none"/>
    </w:rPr>
  </w:style>
  <w:style w:type="paragraph" w:customStyle="1" w:styleId="186">
    <w:name w:val="表格1"/>
    <w:basedOn w:val="1"/>
    <w:qFormat/>
    <w:uiPriority w:val="0"/>
    <w:pPr>
      <w:adjustRightInd w:val="0"/>
      <w:spacing w:line="312" w:lineRule="auto"/>
      <w:jc w:val="left"/>
      <w:textAlignment w:val="baseline"/>
    </w:pPr>
    <w:rPr>
      <w:rFonts w:ascii="宋体"/>
      <w:kern w:val="0"/>
      <w:sz w:val="24"/>
      <w:szCs w:val="20"/>
    </w:rPr>
  </w:style>
  <w:style w:type="paragraph" w:customStyle="1" w:styleId="187">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188">
    <w:name w:val="Char31"/>
    <w:basedOn w:val="1"/>
    <w:next w:val="1"/>
    <w:qFormat/>
    <w:uiPriority w:val="0"/>
    <w:pPr>
      <w:spacing w:line="360" w:lineRule="auto"/>
      <w:ind w:firstLine="200" w:firstLineChars="200"/>
    </w:pPr>
    <w:rPr>
      <w:rFonts w:ascii="宋体" w:hAnsi="宋体" w:cs="宋体"/>
      <w:sz w:val="24"/>
    </w:rPr>
  </w:style>
  <w:style w:type="paragraph" w:customStyle="1" w:styleId="189">
    <w:name w:val="山焦报告正文"/>
    <w:basedOn w:val="1"/>
    <w:qFormat/>
    <w:uiPriority w:val="0"/>
    <w:pPr>
      <w:adjustRightInd w:val="0"/>
      <w:snapToGrid w:val="0"/>
      <w:spacing w:beforeLines="25" w:line="440" w:lineRule="exact"/>
      <w:ind w:firstLine="200" w:firstLineChars="200"/>
    </w:pPr>
    <w:rPr>
      <w:color w:val="000000"/>
      <w:sz w:val="24"/>
    </w:rPr>
  </w:style>
  <w:style w:type="paragraph" w:customStyle="1" w:styleId="190">
    <w:name w:val="li 1"/>
    <w:basedOn w:val="2"/>
    <w:next w:val="2"/>
    <w:qFormat/>
    <w:uiPriority w:val="0"/>
    <w:pPr>
      <w:keepLines/>
      <w:overflowPunct/>
      <w:snapToGrid/>
      <w:spacing w:before="0" w:after="120" w:line="240" w:lineRule="auto"/>
      <w:ind w:left="0" w:firstLine="0"/>
      <w:jc w:val="center"/>
    </w:pPr>
    <w:rPr>
      <w:rFonts w:eastAsia="隶书"/>
      <w:bCs w:val="0"/>
      <w:color w:val="auto"/>
      <w:sz w:val="44"/>
    </w:rPr>
  </w:style>
  <w:style w:type="paragraph" w:customStyle="1" w:styleId="191">
    <w:name w:val="默认段落字体 Para Char"/>
    <w:basedOn w:val="1"/>
    <w:next w:val="1"/>
    <w:qFormat/>
    <w:uiPriority w:val="0"/>
    <w:pPr>
      <w:spacing w:line="360" w:lineRule="auto"/>
      <w:ind w:firstLine="200" w:firstLineChars="200"/>
    </w:pPr>
    <w:rPr>
      <w:sz w:val="28"/>
      <w:szCs w:val="20"/>
    </w:rPr>
  </w:style>
  <w:style w:type="paragraph" w:customStyle="1" w:styleId="192">
    <w:name w:val="表内容"/>
    <w:basedOn w:val="181"/>
    <w:link w:val="193"/>
    <w:autoRedefine/>
    <w:qFormat/>
    <w:uiPriority w:val="0"/>
    <w:pPr>
      <w:adjustRightInd w:val="0"/>
      <w:snapToGrid w:val="0"/>
      <w:spacing w:line="240" w:lineRule="atLeast"/>
      <w:ind w:left="-105" w:leftChars="-56" w:right="-107" w:rightChars="-51" w:hanging="13" w:hangingChars="6"/>
      <w:jc w:val="center"/>
    </w:pPr>
    <w:rPr>
      <w:b w:val="0"/>
      <w:bCs/>
      <w:kern w:val="0"/>
      <w:sz w:val="21"/>
      <w:szCs w:val="21"/>
    </w:rPr>
  </w:style>
  <w:style w:type="character" w:customStyle="1" w:styleId="193">
    <w:name w:val="表内容 Char"/>
    <w:link w:val="192"/>
    <w:qFormat/>
    <w:locked/>
    <w:uiPriority w:val="0"/>
    <w:rPr>
      <w:bCs/>
      <w:sz w:val="21"/>
      <w:szCs w:val="21"/>
    </w:rPr>
  </w:style>
  <w:style w:type="paragraph" w:customStyle="1" w:styleId="194">
    <w:name w:val="表1.1-1 Char Char Char Char"/>
    <w:basedOn w:val="181"/>
    <w:autoRedefine/>
    <w:qFormat/>
    <w:uiPriority w:val="0"/>
    <w:pPr>
      <w:adjustRightInd w:val="0"/>
      <w:snapToGrid w:val="0"/>
      <w:spacing w:line="240" w:lineRule="auto"/>
      <w:ind w:firstLine="0" w:firstLineChars="0"/>
      <w:jc w:val="center"/>
    </w:pPr>
    <w:rPr>
      <w:rFonts w:ascii="宋体" w:hAnsi="宋体"/>
      <w:b w:val="0"/>
      <w:bCs/>
      <w:snapToGrid w:val="0"/>
      <w:kern w:val="0"/>
    </w:rPr>
  </w:style>
  <w:style w:type="paragraph" w:customStyle="1" w:styleId="195">
    <w:name w:val="表头 Char Char Char"/>
    <w:basedOn w:val="181"/>
    <w:link w:val="196"/>
    <w:autoRedefine/>
    <w:qFormat/>
    <w:uiPriority w:val="0"/>
    <w:pPr>
      <w:adjustRightInd w:val="0"/>
      <w:snapToGrid w:val="0"/>
      <w:spacing w:beforeLines="50" w:line="240" w:lineRule="auto"/>
      <w:ind w:firstLine="0" w:firstLineChars="0"/>
      <w:jc w:val="center"/>
    </w:pPr>
  </w:style>
  <w:style w:type="character" w:customStyle="1" w:styleId="196">
    <w:name w:val="表头 Char Char Char Char"/>
    <w:basedOn w:val="50"/>
    <w:link w:val="195"/>
    <w:qFormat/>
    <w:uiPriority w:val="0"/>
    <w:rPr>
      <w:b/>
      <w:kern w:val="2"/>
      <w:sz w:val="24"/>
      <w:szCs w:val="24"/>
    </w:rPr>
  </w:style>
  <w:style w:type="paragraph" w:customStyle="1" w:styleId="197">
    <w:name w:val="Char Char Char Char Char Char Char Char Char Char Char Char Char Char Char Char"/>
    <w:basedOn w:val="1"/>
    <w:qFormat/>
    <w:uiPriority w:val="0"/>
    <w:pPr>
      <w:spacing w:line="560" w:lineRule="exact"/>
      <w:ind w:firstLine="200" w:firstLineChars="200"/>
    </w:pPr>
    <w:rPr>
      <w:rFonts w:ascii="宋体" w:hAnsi="宋体" w:cs="宋体"/>
      <w:sz w:val="28"/>
      <w:szCs w:val="28"/>
    </w:rPr>
  </w:style>
  <w:style w:type="paragraph" w:styleId="198">
    <w:name w:val="List Paragraph"/>
    <w:basedOn w:val="1"/>
    <w:qFormat/>
    <w:uiPriority w:val="0"/>
    <w:pPr>
      <w:widowControl/>
      <w:spacing w:line="480" w:lineRule="exact"/>
      <w:ind w:firstLine="420" w:firstLineChars="200"/>
      <w:jc w:val="left"/>
    </w:pPr>
    <w:rPr>
      <w:szCs w:val="20"/>
    </w:rPr>
  </w:style>
  <w:style w:type="paragraph" w:customStyle="1" w:styleId="199">
    <w:name w:val="Char4"/>
    <w:basedOn w:val="1"/>
    <w:qFormat/>
    <w:uiPriority w:val="0"/>
    <w:pPr>
      <w:spacing w:line="360" w:lineRule="auto"/>
      <w:ind w:firstLine="200" w:firstLineChars="200"/>
    </w:pPr>
    <w:rPr>
      <w:rFonts w:ascii="宋体" w:hAnsi="宋体" w:cs="宋体"/>
      <w:sz w:val="24"/>
    </w:rPr>
  </w:style>
  <w:style w:type="character" w:customStyle="1" w:styleId="200">
    <w:name w:val="123 Char Char Char Char"/>
    <w:basedOn w:val="50"/>
    <w:qFormat/>
    <w:uiPriority w:val="0"/>
    <w:rPr>
      <w:rFonts w:ascii="宋体" w:hAnsi="宋体" w:eastAsia="宋体" w:cs="宋体"/>
      <w:b/>
      <w:spacing w:val="20"/>
      <w:kern w:val="2"/>
      <w:sz w:val="28"/>
      <w:szCs w:val="28"/>
      <w:lang w:val="en-US" w:eastAsia="zh-CN" w:bidi="ar-SA"/>
    </w:rPr>
  </w:style>
  <w:style w:type="paragraph" w:customStyle="1" w:styleId="201">
    <w:name w:val="正文样式2"/>
    <w:basedOn w:val="1"/>
    <w:qFormat/>
    <w:uiPriority w:val="0"/>
    <w:pPr>
      <w:spacing w:line="560" w:lineRule="exact"/>
      <w:ind w:firstLine="601"/>
    </w:pPr>
    <w:rPr>
      <w:sz w:val="28"/>
      <w:szCs w:val="20"/>
    </w:rPr>
  </w:style>
  <w:style w:type="paragraph" w:customStyle="1" w:styleId="202">
    <w:name w:val="123 Char Char Char Char Char"/>
    <w:basedOn w:val="1"/>
    <w:qFormat/>
    <w:uiPriority w:val="0"/>
    <w:pPr>
      <w:widowControl/>
      <w:autoSpaceDE w:val="0"/>
      <w:autoSpaceDN w:val="0"/>
      <w:spacing w:line="360" w:lineRule="auto"/>
      <w:ind w:firstLine="200" w:firstLineChars="200"/>
      <w:jc w:val="left"/>
      <w:textAlignment w:val="bottom"/>
    </w:pPr>
    <w:rPr>
      <w:rFonts w:ascii="宋体" w:hAnsi="宋体" w:cs="宋体"/>
      <w:b/>
      <w:spacing w:val="20"/>
      <w:sz w:val="28"/>
      <w:szCs w:val="28"/>
    </w:rPr>
  </w:style>
  <w:style w:type="paragraph" w:customStyle="1" w:styleId="203">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Cs w:val="21"/>
    </w:rPr>
  </w:style>
  <w:style w:type="paragraph" w:customStyle="1" w:styleId="204">
    <w:name w:val="3级标题"/>
    <w:next w:val="1"/>
    <w:link w:val="205"/>
    <w:qFormat/>
    <w:uiPriority w:val="0"/>
    <w:pPr>
      <w:spacing w:before="120" w:after="60"/>
      <w:ind w:firstLine="200" w:firstLineChars="200"/>
      <w:outlineLvl w:val="2"/>
    </w:pPr>
    <w:rPr>
      <w:rFonts w:ascii="Arial" w:hAnsi="Arial" w:eastAsia="黑体" w:cs="Times New Roman"/>
      <w:kern w:val="2"/>
      <w:sz w:val="24"/>
      <w:szCs w:val="24"/>
      <w:lang w:val="en-US" w:eastAsia="zh-CN" w:bidi="ar-SA"/>
    </w:rPr>
  </w:style>
  <w:style w:type="character" w:customStyle="1" w:styleId="205">
    <w:name w:val="3级标题 Char"/>
    <w:basedOn w:val="50"/>
    <w:link w:val="204"/>
    <w:qFormat/>
    <w:uiPriority w:val="0"/>
    <w:rPr>
      <w:rFonts w:ascii="Arial" w:hAnsi="Arial" w:eastAsia="黑体"/>
      <w:kern w:val="2"/>
      <w:sz w:val="24"/>
      <w:szCs w:val="24"/>
      <w:lang w:val="en-US" w:eastAsia="zh-CN" w:bidi="ar-SA"/>
    </w:rPr>
  </w:style>
  <w:style w:type="paragraph" w:customStyle="1" w:styleId="206">
    <w:name w:val="Char21"/>
    <w:basedOn w:val="1"/>
    <w:qFormat/>
    <w:uiPriority w:val="0"/>
    <w:pPr>
      <w:spacing w:line="360" w:lineRule="auto"/>
      <w:ind w:firstLine="200" w:firstLineChars="200"/>
    </w:pPr>
  </w:style>
  <w:style w:type="paragraph" w:customStyle="1" w:styleId="207">
    <w:name w:val="正文段落"/>
    <w:basedOn w:val="1"/>
    <w:qFormat/>
    <w:uiPriority w:val="0"/>
    <w:pPr>
      <w:topLinePunct/>
      <w:autoSpaceDN w:val="0"/>
      <w:adjustRightInd w:val="0"/>
      <w:spacing w:line="500" w:lineRule="exact"/>
      <w:ind w:firstLine="480" w:firstLineChars="200"/>
      <w:jc w:val="center"/>
      <w:textAlignment w:val="baseline"/>
    </w:pPr>
    <w:rPr>
      <w:rFonts w:ascii="宋体" w:hAnsi="Arial"/>
      <w:kern w:val="0"/>
      <w:sz w:val="24"/>
    </w:rPr>
  </w:style>
  <w:style w:type="paragraph" w:customStyle="1" w:styleId="208">
    <w:name w:val="样式 小四 加粗 行距: 固定值 22 磅"/>
    <w:basedOn w:val="1"/>
    <w:qFormat/>
    <w:uiPriority w:val="0"/>
    <w:pPr>
      <w:spacing w:line="480" w:lineRule="exact"/>
      <w:ind w:firstLine="200" w:firstLineChars="200"/>
    </w:pPr>
    <w:rPr>
      <w:rFonts w:cs="宋体"/>
      <w:bCs/>
      <w:spacing w:val="4"/>
      <w:sz w:val="24"/>
      <w:szCs w:val="20"/>
    </w:rPr>
  </w:style>
  <w:style w:type="paragraph" w:customStyle="1" w:styleId="209">
    <w:name w:val="样式 正文文本缩进正文文字缩进 + 首行缩进:  0.85 厘米 段后: 0 磅 行距: 固定值 22 磅"/>
    <w:basedOn w:val="19"/>
    <w:qFormat/>
    <w:uiPriority w:val="0"/>
    <w:pPr>
      <w:spacing w:after="0" w:line="480" w:lineRule="exact"/>
      <w:ind w:left="0" w:leftChars="0" w:firstLine="200" w:firstLineChars="200"/>
    </w:pPr>
    <w:rPr>
      <w:rFonts w:cs="宋体"/>
      <w:kern w:val="2"/>
    </w:rPr>
  </w:style>
  <w:style w:type="character" w:customStyle="1" w:styleId="210">
    <w:name w:val="Char Char9"/>
    <w:qFormat/>
    <w:uiPriority w:val="0"/>
    <w:rPr>
      <w:rFonts w:eastAsia="宋体"/>
      <w:kern w:val="2"/>
      <w:sz w:val="18"/>
      <w:szCs w:val="18"/>
      <w:lang w:val="en-US" w:eastAsia="zh-CN" w:bidi="ar-SA"/>
    </w:rPr>
  </w:style>
  <w:style w:type="character" w:customStyle="1" w:styleId="211">
    <w:name w:val="样式首行缩进:2 字符 Char"/>
    <w:link w:val="212"/>
    <w:qFormat/>
    <w:locked/>
    <w:uiPriority w:val="0"/>
    <w:rPr>
      <w:kern w:val="2"/>
      <w:sz w:val="24"/>
    </w:rPr>
  </w:style>
  <w:style w:type="paragraph" w:customStyle="1" w:styleId="212">
    <w:name w:val="样式首行缩进:2 字符"/>
    <w:basedOn w:val="1"/>
    <w:link w:val="211"/>
    <w:qFormat/>
    <w:uiPriority w:val="0"/>
    <w:pPr>
      <w:spacing w:line="560" w:lineRule="exact"/>
      <w:ind w:firstLine="480" w:firstLineChars="200"/>
    </w:pPr>
    <w:rPr>
      <w:sz w:val="24"/>
      <w:szCs w:val="20"/>
    </w:rPr>
  </w:style>
  <w:style w:type="paragraph" w:customStyle="1" w:styleId="213">
    <w:name w:val="11"/>
    <w:basedOn w:val="1"/>
    <w:qFormat/>
    <w:uiPriority w:val="0"/>
    <w:pPr>
      <w:spacing w:line="500" w:lineRule="exact"/>
      <w:ind w:firstLine="705"/>
    </w:pPr>
    <w:rPr>
      <w:rFonts w:ascii="楷体_GB2312" w:hAnsi="宋体" w:eastAsia="楷体_GB2312"/>
      <w:b/>
      <w:bCs/>
      <w:sz w:val="28"/>
    </w:rPr>
  </w:style>
  <w:style w:type="paragraph" w:customStyle="1" w:styleId="214">
    <w:name w:val="样式 行距: 固定值 22 磅"/>
    <w:basedOn w:val="1"/>
    <w:qFormat/>
    <w:uiPriority w:val="0"/>
    <w:pPr>
      <w:spacing w:line="480" w:lineRule="exact"/>
      <w:ind w:firstLine="200" w:firstLineChars="200"/>
    </w:pPr>
    <w:rPr>
      <w:rFonts w:cs="宋体"/>
      <w:kern w:val="0"/>
      <w:sz w:val="24"/>
      <w:szCs w:val="20"/>
    </w:rPr>
  </w:style>
  <w:style w:type="paragraph" w:customStyle="1" w:styleId="215">
    <w:name w:val="普通 (Web)"/>
    <w:basedOn w:val="1"/>
    <w:qFormat/>
    <w:uiPriority w:val="0"/>
    <w:pPr>
      <w:widowControl/>
      <w:spacing w:before="100" w:after="100"/>
      <w:jc w:val="left"/>
    </w:pPr>
    <w:rPr>
      <w:rFonts w:ascii="宋体" w:hAnsi="宋体"/>
      <w:kern w:val="0"/>
      <w:sz w:val="24"/>
      <w:szCs w:val="20"/>
    </w:rPr>
  </w:style>
  <w:style w:type="paragraph" w:customStyle="1" w:styleId="216">
    <w:name w:val="首行缩进2"/>
    <w:basedOn w:val="1"/>
    <w:qFormat/>
    <w:uiPriority w:val="0"/>
    <w:pPr>
      <w:spacing w:line="360" w:lineRule="auto"/>
      <w:ind w:firstLine="482"/>
    </w:pPr>
    <w:rPr>
      <w:sz w:val="24"/>
    </w:rPr>
  </w:style>
  <w:style w:type="character" w:customStyle="1" w:styleId="217">
    <w:name w:val="Default Char Char"/>
    <w:link w:val="46"/>
    <w:qFormat/>
    <w:locked/>
    <w:uiPriority w:val="0"/>
    <w:rPr>
      <w:rFonts w:ascii="宋体"/>
      <w:color w:val="000000"/>
      <w:sz w:val="24"/>
      <w:szCs w:val="24"/>
      <w:lang w:bidi="ar-SA"/>
    </w:rPr>
  </w:style>
  <w:style w:type="paragraph" w:customStyle="1" w:styleId="218">
    <w:name w:val="p0"/>
    <w:basedOn w:val="1"/>
    <w:qFormat/>
    <w:uiPriority w:val="0"/>
    <w:pPr>
      <w:widowControl/>
      <w:ind w:firstLine="420"/>
      <w:jc w:val="left"/>
    </w:pPr>
    <w:rPr>
      <w:kern w:val="0"/>
      <w:sz w:val="20"/>
      <w:szCs w:val="20"/>
    </w:rPr>
  </w:style>
  <w:style w:type="paragraph" w:customStyle="1" w:styleId="219">
    <w:name w:val="环评正文"/>
    <w:basedOn w:val="1"/>
    <w:qFormat/>
    <w:uiPriority w:val="0"/>
    <w:pPr>
      <w:spacing w:beforeLines="30"/>
      <w:ind w:firstLine="480" w:firstLineChars="200"/>
    </w:pPr>
    <w:rPr>
      <w:rFonts w:ascii="Tahoma" w:hAnsi="Tahoma" w:cs="Tahoma"/>
      <w:kern w:val="0"/>
      <w:sz w:val="24"/>
      <w:szCs w:val="20"/>
    </w:rPr>
  </w:style>
  <w:style w:type="paragraph" w:customStyle="1" w:styleId="220">
    <w:name w:val="表体"/>
    <w:basedOn w:val="1"/>
    <w:qFormat/>
    <w:uiPriority w:val="0"/>
    <w:pPr>
      <w:widowControl/>
      <w:snapToGrid w:val="0"/>
      <w:spacing w:line="240" w:lineRule="atLeast"/>
      <w:jc w:val="center"/>
    </w:pPr>
    <w:rPr>
      <w:rFonts w:eastAsia="仿宋_GB2312"/>
      <w:kern w:val="0"/>
      <w:sz w:val="24"/>
      <w:szCs w:val="20"/>
    </w:rPr>
  </w:style>
  <w:style w:type="character" w:customStyle="1" w:styleId="221">
    <w:name w:val="正文2 Char Char"/>
    <w:link w:val="222"/>
    <w:qFormat/>
    <w:uiPriority w:val="0"/>
    <w:rPr>
      <w:sz w:val="24"/>
    </w:rPr>
  </w:style>
  <w:style w:type="paragraph" w:customStyle="1" w:styleId="222">
    <w:name w:val="正文2"/>
    <w:basedOn w:val="1"/>
    <w:link w:val="221"/>
    <w:qFormat/>
    <w:uiPriority w:val="0"/>
    <w:pPr>
      <w:spacing w:beforeLines="50" w:line="360" w:lineRule="auto"/>
      <w:ind w:firstLine="560" w:firstLineChars="200"/>
    </w:pPr>
    <w:rPr>
      <w:kern w:val="0"/>
      <w:sz w:val="24"/>
      <w:szCs w:val="20"/>
    </w:rPr>
  </w:style>
  <w:style w:type="paragraph" w:customStyle="1" w:styleId="223">
    <w:name w:val="Table Paragraph"/>
    <w:basedOn w:val="1"/>
    <w:qFormat/>
    <w:uiPriority w:val="1"/>
    <w:pPr>
      <w:autoSpaceDE w:val="0"/>
      <w:autoSpaceDN w:val="0"/>
      <w:adjustRightInd w:val="0"/>
      <w:jc w:val="left"/>
    </w:pPr>
    <w:rPr>
      <w:kern w:val="0"/>
      <w:sz w:val="24"/>
    </w:rPr>
  </w:style>
  <w:style w:type="character" w:customStyle="1" w:styleId="224">
    <w:name w:val="纯文本 字符"/>
    <w:qFormat/>
    <w:uiPriority w:val="0"/>
    <w:rPr>
      <w:rFonts w:ascii="宋体" w:hAnsi="Courier New" w:eastAsia="宋体"/>
      <w:kern w:val="2"/>
      <w:sz w:val="21"/>
      <w:lang w:val="en-US" w:eastAsia="zh-CN" w:bidi="ar-SA"/>
    </w:rPr>
  </w:style>
  <w:style w:type="character" w:customStyle="1" w:styleId="225">
    <w:name w:val="正文缩进 字符"/>
    <w:qFormat/>
    <w:uiPriority w:val="0"/>
    <w:rPr>
      <w:rFonts w:ascii="宋体" w:hAnsi="宋体" w:eastAsia="宋体"/>
      <w:kern w:val="2"/>
      <w:sz w:val="28"/>
      <w:szCs w:val="24"/>
      <w:lang w:val="en-US" w:eastAsia="zh-CN" w:bidi="ar-SA"/>
    </w:rPr>
  </w:style>
  <w:style w:type="paragraph" w:customStyle="1" w:styleId="226">
    <w:name w:val="表格文字 16磅"/>
    <w:basedOn w:val="23"/>
    <w:next w:val="1"/>
    <w:autoRedefine/>
    <w:qFormat/>
    <w:uiPriority w:val="0"/>
    <w:pPr>
      <w:adjustRightInd w:val="0"/>
      <w:snapToGrid w:val="0"/>
      <w:spacing w:line="400" w:lineRule="exact"/>
      <w:jc w:val="center"/>
      <w:textAlignment w:val="baseline"/>
    </w:pPr>
    <w:rPr>
      <w:rFonts w:ascii="Times New Roman" w:hAnsi="Times New Roman"/>
      <w:color w:val="0000FF"/>
      <w:kern w:val="21"/>
      <w:szCs w:val="21"/>
    </w:rPr>
  </w:style>
  <w:style w:type="character" w:customStyle="1" w:styleId="227">
    <w:name w:val="正文段 Char"/>
    <w:link w:val="228"/>
    <w:qFormat/>
    <w:uiPriority w:val="0"/>
    <w:rPr>
      <w:rFonts w:ascii="仿宋_GB2312" w:eastAsia="仿宋_GB2312"/>
      <w:color w:val="000000"/>
      <w:kern w:val="2"/>
      <w:sz w:val="28"/>
      <w:szCs w:val="28"/>
    </w:rPr>
  </w:style>
  <w:style w:type="paragraph" w:customStyle="1" w:styleId="228">
    <w:name w:val="正文段"/>
    <w:basedOn w:val="1"/>
    <w:link w:val="227"/>
    <w:qFormat/>
    <w:uiPriority w:val="0"/>
    <w:pPr>
      <w:spacing w:line="360" w:lineRule="auto"/>
      <w:ind w:firstLine="200" w:firstLineChars="200"/>
    </w:pPr>
    <w:rPr>
      <w:rFonts w:ascii="仿宋_GB2312" w:eastAsia="仿宋_GB2312"/>
      <w:color w:val="000000"/>
      <w:sz w:val="28"/>
      <w:szCs w:val="28"/>
    </w:rPr>
  </w:style>
  <w:style w:type="paragraph" w:customStyle="1" w:styleId="229">
    <w:name w:val="li 表头文字"/>
    <w:link w:val="230"/>
    <w:qFormat/>
    <w:uiPriority w:val="0"/>
    <w:pPr>
      <w:spacing w:line="460" w:lineRule="exact"/>
      <w:jc w:val="center"/>
    </w:pPr>
    <w:rPr>
      <w:rFonts w:ascii="宋体" w:hAnsi="宋体" w:eastAsia="宋体" w:cs="Times New Roman"/>
      <w:b/>
      <w:spacing w:val="4"/>
      <w:kern w:val="2"/>
      <w:sz w:val="21"/>
      <w:szCs w:val="21"/>
      <w:lang w:val="en-US" w:eastAsia="zh-CN" w:bidi="ar-SA"/>
    </w:rPr>
  </w:style>
  <w:style w:type="character" w:customStyle="1" w:styleId="230">
    <w:name w:val="li 表头文字 Char"/>
    <w:link w:val="229"/>
    <w:qFormat/>
    <w:uiPriority w:val="0"/>
    <w:rPr>
      <w:rFonts w:ascii="宋体" w:hAnsi="宋体"/>
      <w:b/>
      <w:spacing w:val="4"/>
      <w:kern w:val="2"/>
      <w:sz w:val="21"/>
      <w:szCs w:val="21"/>
      <w:lang w:bidi="ar-SA"/>
    </w:rPr>
  </w:style>
  <w:style w:type="character" w:customStyle="1" w:styleId="231">
    <w:name w:val="新正文 字符"/>
    <w:link w:val="232"/>
    <w:qFormat/>
    <w:uiPriority w:val="0"/>
    <w:rPr>
      <w:color w:val="000000"/>
      <w:sz w:val="24"/>
      <w:szCs w:val="24"/>
    </w:rPr>
  </w:style>
  <w:style w:type="paragraph" w:customStyle="1" w:styleId="232">
    <w:name w:val="新正文"/>
    <w:basedOn w:val="1"/>
    <w:link w:val="231"/>
    <w:qFormat/>
    <w:uiPriority w:val="0"/>
    <w:pPr>
      <w:widowControl/>
      <w:adjustRightInd w:val="0"/>
      <w:snapToGrid w:val="0"/>
      <w:spacing w:line="480" w:lineRule="exact"/>
      <w:ind w:firstLine="480" w:firstLineChars="200"/>
      <w:jc w:val="left"/>
    </w:pPr>
    <w:rPr>
      <w:color w:val="000000"/>
      <w:kern w:val="0"/>
      <w:sz w:val="24"/>
    </w:rPr>
  </w:style>
  <w:style w:type="character" w:customStyle="1" w:styleId="233">
    <w:name w:val="页眉 Char Char"/>
    <w:qFormat/>
    <w:uiPriority w:val="0"/>
    <w:rPr>
      <w:kern w:val="2"/>
      <w:sz w:val="18"/>
    </w:rPr>
  </w:style>
  <w:style w:type="paragraph" w:customStyle="1" w:styleId="234">
    <w:name w:val="正文缩进 New"/>
    <w:basedOn w:val="1"/>
    <w:qFormat/>
    <w:uiPriority w:val="0"/>
    <w:pPr>
      <w:ind w:firstLine="420" w:firstLineChars="200"/>
    </w:pPr>
    <w:rPr>
      <w:szCs w:val="20"/>
    </w:rPr>
  </w:style>
  <w:style w:type="character" w:customStyle="1" w:styleId="235">
    <w:name w:val="正文1 Char Char"/>
    <w:qFormat/>
    <w:uiPriority w:val="0"/>
    <w:rPr>
      <w:rFonts w:ascii="宋体" w:hAnsi="宋体" w:eastAsia="宋体" w:cs="宋体"/>
      <w:kern w:val="2"/>
      <w:sz w:val="28"/>
      <w:szCs w:val="28"/>
      <w:lang w:val="en-US" w:eastAsia="zh-CN" w:bidi="ar-SA"/>
    </w:rPr>
  </w:style>
  <w:style w:type="character" w:customStyle="1" w:styleId="236">
    <w:name w:val="李表头常用格式 字符"/>
    <w:link w:val="237"/>
    <w:qFormat/>
    <w:uiPriority w:val="0"/>
    <w:rPr>
      <w:rFonts w:eastAsia="黑体"/>
      <w:color w:val="000000"/>
      <w:kern w:val="2"/>
      <w:sz w:val="21"/>
      <w:szCs w:val="21"/>
    </w:rPr>
  </w:style>
  <w:style w:type="paragraph" w:customStyle="1" w:styleId="237">
    <w:name w:val="李表头常用格式"/>
    <w:basedOn w:val="21"/>
    <w:link w:val="236"/>
    <w:qFormat/>
    <w:uiPriority w:val="0"/>
    <w:pPr>
      <w:snapToGrid w:val="0"/>
      <w:spacing w:before="0" w:line="320" w:lineRule="exact"/>
      <w:ind w:left="0" w:right="0"/>
      <w:jc w:val="center"/>
    </w:pPr>
    <w:rPr>
      <w:rFonts w:eastAsia="黑体"/>
      <w:color w:val="000000"/>
      <w:szCs w:val="21"/>
    </w:rPr>
  </w:style>
  <w:style w:type="character" w:customStyle="1" w:styleId="238">
    <w:name w:val="表中 Char"/>
    <w:link w:val="239"/>
    <w:qFormat/>
    <w:uiPriority w:val="0"/>
    <w:rPr>
      <w:kern w:val="2"/>
      <w:sz w:val="21"/>
      <w:szCs w:val="21"/>
      <w:lang w:val="de-DE"/>
    </w:rPr>
  </w:style>
  <w:style w:type="paragraph" w:customStyle="1" w:styleId="239">
    <w:name w:val="表中"/>
    <w:basedOn w:val="1"/>
    <w:link w:val="238"/>
    <w:qFormat/>
    <w:uiPriority w:val="0"/>
    <w:pPr>
      <w:spacing w:line="360" w:lineRule="exact"/>
      <w:jc w:val="center"/>
    </w:pPr>
    <w:rPr>
      <w:szCs w:val="21"/>
      <w:lang w:val="de-DE"/>
    </w:rPr>
  </w:style>
  <w:style w:type="character" w:customStyle="1" w:styleId="240">
    <w:name w:val="3级节标题 字符"/>
    <w:link w:val="241"/>
    <w:qFormat/>
    <w:uiPriority w:val="0"/>
    <w:rPr>
      <w:b/>
      <w:kern w:val="2"/>
      <w:sz w:val="28"/>
      <w:szCs w:val="24"/>
    </w:rPr>
  </w:style>
  <w:style w:type="paragraph" w:customStyle="1" w:styleId="241">
    <w:name w:val="3级节标题"/>
    <w:basedOn w:val="1"/>
    <w:link w:val="240"/>
    <w:qFormat/>
    <w:uiPriority w:val="0"/>
    <w:pPr>
      <w:spacing w:line="560" w:lineRule="exact"/>
      <w:ind w:firstLine="200" w:firstLineChars="200"/>
      <w:outlineLvl w:val="2"/>
    </w:pPr>
    <w:rPr>
      <w:b/>
      <w:sz w:val="28"/>
    </w:rPr>
  </w:style>
  <w:style w:type="paragraph" w:customStyle="1" w:styleId="242">
    <w:name w:val="正文01"/>
    <w:basedOn w:val="1"/>
    <w:qFormat/>
    <w:uiPriority w:val="0"/>
    <w:pPr>
      <w:spacing w:before="60" w:line="460" w:lineRule="exact"/>
      <w:ind w:firstLine="200" w:firstLineChars="200"/>
    </w:pPr>
    <w:rPr>
      <w:rFonts w:ascii="Arial" w:hAnsi="Arial"/>
      <w:kern w:val="0"/>
      <w:sz w:val="24"/>
    </w:rPr>
  </w:style>
  <w:style w:type="character" w:customStyle="1" w:styleId="243">
    <w:name w:val="表格文字2 Char Char"/>
    <w:link w:val="244"/>
    <w:qFormat/>
    <w:uiPriority w:val="0"/>
    <w:rPr>
      <w:rFonts w:ascii="宋体"/>
      <w:sz w:val="24"/>
    </w:rPr>
  </w:style>
  <w:style w:type="paragraph" w:customStyle="1" w:styleId="244">
    <w:name w:val="表格文字2"/>
    <w:basedOn w:val="1"/>
    <w:link w:val="243"/>
    <w:qFormat/>
    <w:uiPriority w:val="0"/>
    <w:pPr>
      <w:adjustRightInd w:val="0"/>
      <w:spacing w:before="60"/>
      <w:jc w:val="center"/>
      <w:textAlignment w:val="baseline"/>
    </w:pPr>
    <w:rPr>
      <w:rFonts w:ascii="宋体"/>
      <w:kern w:val="0"/>
      <w:sz w:val="24"/>
      <w:szCs w:val="20"/>
    </w:rPr>
  </w:style>
  <w:style w:type="character" w:customStyle="1" w:styleId="245">
    <w:name w:val="large1"/>
    <w:qFormat/>
    <w:uiPriority w:val="0"/>
    <w:rPr>
      <w:rFonts w:hint="eastAsia" w:ascii="宋体" w:hAnsi="宋体" w:eastAsia="宋体"/>
      <w:sz w:val="22"/>
    </w:rPr>
  </w:style>
  <w:style w:type="character" w:customStyle="1" w:styleId="246">
    <w:name w:val="blue"/>
    <w:basedOn w:val="50"/>
    <w:qFormat/>
    <w:uiPriority w:val="0"/>
  </w:style>
  <w:style w:type="character" w:customStyle="1" w:styleId="247">
    <w:name w:val="页脚 Char Char"/>
    <w:qFormat/>
    <w:uiPriority w:val="0"/>
    <w:rPr>
      <w:kern w:val="2"/>
      <w:sz w:val="18"/>
    </w:rPr>
  </w:style>
  <w:style w:type="character" w:customStyle="1" w:styleId="248">
    <w:name w:val="正文小四 Char Char"/>
    <w:link w:val="249"/>
    <w:qFormat/>
    <w:uiPriority w:val="0"/>
    <w:rPr>
      <w:kern w:val="2"/>
      <w:sz w:val="24"/>
    </w:rPr>
  </w:style>
  <w:style w:type="paragraph" w:customStyle="1" w:styleId="249">
    <w:name w:val="正文小四"/>
    <w:basedOn w:val="1"/>
    <w:link w:val="248"/>
    <w:qFormat/>
    <w:uiPriority w:val="0"/>
    <w:pPr>
      <w:spacing w:line="360" w:lineRule="auto"/>
      <w:ind w:firstLine="200" w:firstLineChars="200"/>
      <w:jc w:val="left"/>
    </w:pPr>
    <w:rPr>
      <w:sz w:val="24"/>
      <w:szCs w:val="20"/>
    </w:rPr>
  </w:style>
  <w:style w:type="character" w:customStyle="1" w:styleId="250">
    <w:name w:val="l17-z105"/>
    <w:basedOn w:val="50"/>
    <w:qFormat/>
    <w:uiPriority w:val="0"/>
  </w:style>
  <w:style w:type="character" w:customStyle="1" w:styleId="251">
    <w:name w:val="标准正文 Char Char Char"/>
    <w:qFormat/>
    <w:uiPriority w:val="0"/>
    <w:rPr>
      <w:kern w:val="2"/>
      <w:sz w:val="24"/>
      <w:szCs w:val="22"/>
    </w:rPr>
  </w:style>
  <w:style w:type="character" w:customStyle="1" w:styleId="252">
    <w:name w:val="带编号正文 Char Char"/>
    <w:basedOn w:val="137"/>
    <w:link w:val="253"/>
    <w:qFormat/>
    <w:uiPriority w:val="0"/>
  </w:style>
  <w:style w:type="paragraph" w:customStyle="1" w:styleId="253">
    <w:name w:val="带编号正文"/>
    <w:basedOn w:val="138"/>
    <w:link w:val="252"/>
    <w:qFormat/>
    <w:uiPriority w:val="0"/>
    <w:pPr>
      <w:ind w:left="988" w:firstLine="0" w:firstLineChars="0"/>
    </w:pPr>
  </w:style>
  <w:style w:type="character" w:customStyle="1" w:styleId="254">
    <w:name w:val="表格文字2 Char Char Char"/>
    <w:qFormat/>
    <w:uiPriority w:val="0"/>
    <w:rPr>
      <w:rFonts w:ascii="宋体" w:hAnsi="宋体"/>
      <w:sz w:val="24"/>
    </w:rPr>
  </w:style>
  <w:style w:type="character" w:customStyle="1" w:styleId="255">
    <w:name w:val="报告书正文 Char Char"/>
    <w:link w:val="256"/>
    <w:qFormat/>
    <w:uiPriority w:val="0"/>
    <w:rPr>
      <w:rFonts w:ascii="宋体"/>
      <w:snapToGrid w:val="0"/>
      <w:sz w:val="24"/>
    </w:rPr>
  </w:style>
  <w:style w:type="paragraph" w:customStyle="1" w:styleId="256">
    <w:name w:val="报告书正文"/>
    <w:basedOn w:val="1"/>
    <w:link w:val="255"/>
    <w:qFormat/>
    <w:uiPriority w:val="0"/>
    <w:pPr>
      <w:adjustRightInd w:val="0"/>
      <w:snapToGrid w:val="0"/>
      <w:spacing w:line="360" w:lineRule="atLeast"/>
      <w:ind w:firstLine="425"/>
      <w:textAlignment w:val="baseline"/>
    </w:pPr>
    <w:rPr>
      <w:rFonts w:ascii="宋体"/>
      <w:snapToGrid w:val="0"/>
      <w:kern w:val="0"/>
      <w:sz w:val="24"/>
      <w:szCs w:val="20"/>
    </w:rPr>
  </w:style>
  <w:style w:type="paragraph" w:customStyle="1" w:styleId="257">
    <w:name w:val="Body Text 21"/>
    <w:basedOn w:val="1"/>
    <w:qFormat/>
    <w:uiPriority w:val="0"/>
    <w:pPr>
      <w:autoSpaceDE w:val="0"/>
      <w:autoSpaceDN w:val="0"/>
      <w:adjustRightInd w:val="0"/>
      <w:spacing w:line="480" w:lineRule="exact"/>
      <w:ind w:firstLine="540"/>
      <w:textAlignment w:val="baseline"/>
    </w:pPr>
    <w:rPr>
      <w:rFonts w:ascii="宋体" w:hAnsi="Tms Rmn"/>
      <w:kern w:val="0"/>
      <w:sz w:val="24"/>
      <w:szCs w:val="20"/>
    </w:rPr>
  </w:style>
  <w:style w:type="paragraph" w:customStyle="1" w:styleId="258">
    <w:name w:val="主题"/>
    <w:basedOn w:val="14"/>
    <w:qFormat/>
    <w:uiPriority w:val="0"/>
    <w:pPr>
      <w:snapToGrid w:val="0"/>
      <w:spacing w:after="120"/>
      <w:ind w:firstLine="0"/>
    </w:pPr>
    <w:rPr>
      <w:rFonts w:ascii="黑体" w:eastAsia="黑体"/>
      <w:spacing w:val="12"/>
      <w:w w:val="90"/>
      <w:sz w:val="32"/>
    </w:rPr>
  </w:style>
  <w:style w:type="paragraph" w:customStyle="1" w:styleId="259">
    <w:name w:val="注"/>
    <w:basedOn w:val="33"/>
    <w:qFormat/>
    <w:uiPriority w:val="0"/>
    <w:pPr>
      <w:spacing w:beforeLines="50" w:afterLines="100" w:line="240" w:lineRule="exact"/>
      <w:ind w:left="0" w:firstLine="0" w:firstLineChars="0"/>
    </w:pPr>
    <w:rPr>
      <w:sz w:val="21"/>
      <w:szCs w:val="20"/>
    </w:rPr>
  </w:style>
  <w:style w:type="paragraph" w:customStyle="1" w:styleId="260">
    <w:name w:val="Char Char Char2 Char Char Char Char Char Char Char Char Char Char Char Char Char Char Char Char Char Char"/>
    <w:basedOn w:val="1"/>
    <w:qFormat/>
    <w:uiPriority w:val="0"/>
    <w:pPr>
      <w:autoSpaceDE w:val="0"/>
      <w:autoSpaceDN w:val="0"/>
      <w:adjustRightInd w:val="0"/>
      <w:snapToGrid w:val="0"/>
      <w:spacing w:line="400" w:lineRule="atLeast"/>
      <w:jc w:val="left"/>
      <w:textAlignment w:val="baseline"/>
    </w:pPr>
    <w:rPr>
      <w:rFonts w:ascii="黑体" w:hAnsi="黑体" w:eastAsia="黑体"/>
      <w:b/>
      <w:spacing w:val="10"/>
      <w:kern w:val="0"/>
      <w:sz w:val="28"/>
      <w:szCs w:val="20"/>
    </w:rPr>
  </w:style>
  <w:style w:type="paragraph" w:customStyle="1" w:styleId="261">
    <w:name w:val="样式3"/>
    <w:basedOn w:val="30"/>
    <w:qFormat/>
    <w:uiPriority w:val="0"/>
    <w:pPr>
      <w:pBdr>
        <w:bottom w:val="thickThinSmallGap" w:color="auto" w:sz="24" w:space="1"/>
      </w:pBdr>
      <w:jc w:val="right"/>
    </w:pPr>
    <w:rPr>
      <w:b/>
      <w:bCs/>
      <w:kern w:val="2"/>
      <w:szCs w:val="18"/>
    </w:rPr>
  </w:style>
  <w:style w:type="paragraph" w:customStyle="1" w:styleId="262">
    <w:name w:val="我的样式（正文）"/>
    <w:basedOn w:val="1"/>
    <w:qFormat/>
    <w:uiPriority w:val="0"/>
    <w:pPr>
      <w:spacing w:line="440" w:lineRule="exact"/>
    </w:pPr>
    <w:rPr>
      <w:rFonts w:ascii="宋体"/>
      <w:sz w:val="28"/>
      <w:szCs w:val="20"/>
    </w:rPr>
  </w:style>
  <w:style w:type="character" w:customStyle="1" w:styleId="263">
    <w:name w:val="正文文本 2 Char"/>
    <w:basedOn w:val="50"/>
    <w:link w:val="37"/>
    <w:qFormat/>
    <w:uiPriority w:val="99"/>
    <w:rPr>
      <w:b/>
      <w:kern w:val="2"/>
      <w:sz w:val="30"/>
    </w:rPr>
  </w:style>
  <w:style w:type="paragraph" w:customStyle="1" w:styleId="264">
    <w:name w:val="方正文 无编号"/>
    <w:basedOn w:val="23"/>
    <w:qFormat/>
    <w:uiPriority w:val="0"/>
    <w:pPr>
      <w:widowControl/>
      <w:spacing w:line="640" w:lineRule="exact"/>
      <w:ind w:firstLine="200" w:firstLineChars="200"/>
    </w:pPr>
    <w:rPr>
      <w:rFonts w:ascii="仿宋_GB2312" w:eastAsia="仿宋_GB2312" w:cs="Courier New"/>
      <w:color w:val="000000"/>
      <w:kern w:val="0"/>
      <w:sz w:val="30"/>
      <w:szCs w:val="21"/>
    </w:rPr>
  </w:style>
  <w:style w:type="paragraph" w:customStyle="1" w:styleId="265">
    <w:name w:val="表文"/>
    <w:basedOn w:val="1"/>
    <w:qFormat/>
    <w:uiPriority w:val="0"/>
    <w:pPr>
      <w:tabs>
        <w:tab w:val="left" w:pos="1021"/>
      </w:tabs>
      <w:jc w:val="left"/>
    </w:pPr>
    <w:rPr>
      <w:kern w:val="0"/>
      <w:sz w:val="24"/>
      <w:szCs w:val="20"/>
    </w:rPr>
  </w:style>
  <w:style w:type="paragraph" w:customStyle="1" w:styleId="266">
    <w:name w:val="Char Char Char1 Char Char Char Char"/>
    <w:basedOn w:val="1"/>
    <w:qFormat/>
    <w:uiPriority w:val="0"/>
    <w:pPr>
      <w:adjustRightInd w:val="0"/>
      <w:snapToGrid w:val="0"/>
      <w:spacing w:line="360" w:lineRule="auto"/>
      <w:ind w:firstLine="200" w:firstLineChars="200"/>
    </w:pPr>
    <w:rPr>
      <w:szCs w:val="20"/>
    </w:rPr>
  </w:style>
  <w:style w:type="paragraph" w:customStyle="1" w:styleId="267">
    <w:name w:val="正文标准样式"/>
    <w:basedOn w:val="1"/>
    <w:qFormat/>
    <w:uiPriority w:val="0"/>
    <w:pPr>
      <w:adjustRightInd w:val="0"/>
      <w:spacing w:line="300" w:lineRule="auto"/>
      <w:ind w:firstLine="482"/>
    </w:pPr>
    <w:rPr>
      <w:kern w:val="0"/>
      <w:sz w:val="24"/>
      <w:szCs w:val="20"/>
    </w:rPr>
  </w:style>
  <w:style w:type="character" w:customStyle="1" w:styleId="268">
    <w:name w:val="正文文本 3 Char"/>
    <w:basedOn w:val="50"/>
    <w:link w:val="17"/>
    <w:qFormat/>
    <w:uiPriority w:val="0"/>
    <w:rPr>
      <w:kern w:val="2"/>
      <w:sz w:val="28"/>
    </w:rPr>
  </w:style>
  <w:style w:type="paragraph" w:customStyle="1" w:styleId="269">
    <w:name w:val="Char Char Char Char Char Char Char Char Char"/>
    <w:basedOn w:val="1"/>
    <w:qFormat/>
    <w:uiPriority w:val="0"/>
    <w:rPr>
      <w:szCs w:val="20"/>
    </w:rPr>
  </w:style>
  <w:style w:type="paragraph" w:customStyle="1" w:styleId="270">
    <w:name w:val="标题3 Char Char Char Char"/>
    <w:basedOn w:val="1"/>
    <w:qFormat/>
    <w:uiPriority w:val="0"/>
    <w:pPr>
      <w:spacing w:afterLines="50" w:line="560" w:lineRule="exact"/>
    </w:pPr>
    <w:rPr>
      <w:szCs w:val="20"/>
    </w:rPr>
  </w:style>
  <w:style w:type="paragraph" w:customStyle="1" w:styleId="271">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272">
    <w:name w:val="文件标题"/>
    <w:basedOn w:val="1"/>
    <w:qFormat/>
    <w:uiPriority w:val="0"/>
    <w:pPr>
      <w:snapToGrid w:val="0"/>
      <w:jc w:val="center"/>
    </w:pPr>
    <w:rPr>
      <w:rFonts w:eastAsia="黑体"/>
      <w:b/>
      <w:spacing w:val="30"/>
      <w:w w:val="90"/>
      <w:sz w:val="44"/>
      <w:szCs w:val="20"/>
    </w:rPr>
  </w:style>
  <w:style w:type="paragraph" w:customStyle="1" w:styleId="273">
    <w:name w:val="表尾"/>
    <w:basedOn w:val="1"/>
    <w:qFormat/>
    <w:uiPriority w:val="0"/>
    <w:pPr>
      <w:tabs>
        <w:tab w:val="left" w:pos="1021"/>
      </w:tabs>
      <w:spacing w:line="160" w:lineRule="exact"/>
    </w:pPr>
    <w:rPr>
      <w:sz w:val="10"/>
      <w:szCs w:val="20"/>
    </w:rPr>
  </w:style>
  <w:style w:type="paragraph" w:customStyle="1" w:styleId="274">
    <w:name w:val="样式1"/>
    <w:basedOn w:val="4"/>
    <w:next w:val="18"/>
    <w:qFormat/>
    <w:uiPriority w:val="0"/>
    <w:pPr>
      <w:keepLines w:val="0"/>
      <w:adjustRightInd w:val="0"/>
      <w:snapToGrid w:val="0"/>
      <w:spacing w:beforeLines="0"/>
      <w:jc w:val="center"/>
      <w:outlineLvl w:val="9"/>
    </w:pPr>
    <w:rPr>
      <w:rFonts w:eastAsia="宋体"/>
      <w:bCs w:val="0"/>
      <w:color w:val="000000"/>
      <w:sz w:val="21"/>
      <w:szCs w:val="21"/>
    </w:rPr>
  </w:style>
  <w:style w:type="paragraph" w:customStyle="1" w:styleId="275">
    <w:name w:val="Char Char Char Char Char Char Char Char Char Char Char Char Char Char Char Char Char Char1 Char Char Char Char"/>
    <w:basedOn w:val="1"/>
    <w:qFormat/>
    <w:uiPriority w:val="0"/>
    <w:rPr>
      <w:szCs w:val="20"/>
    </w:rPr>
  </w:style>
  <w:style w:type="paragraph" w:customStyle="1" w:styleId="276">
    <w:name w:val="guizs_正文"/>
    <w:basedOn w:val="1"/>
    <w:qFormat/>
    <w:uiPriority w:val="0"/>
    <w:pPr>
      <w:ind w:firstLine="200" w:firstLineChars="200"/>
      <w:jc w:val="left"/>
    </w:pPr>
    <w:rPr>
      <w:sz w:val="28"/>
      <w:szCs w:val="20"/>
    </w:rPr>
  </w:style>
  <w:style w:type="paragraph" w:customStyle="1" w:styleId="277">
    <w:name w:val="应填表格"/>
    <w:basedOn w:val="1"/>
    <w:qFormat/>
    <w:uiPriority w:val="0"/>
    <w:pPr>
      <w:adjustRightInd w:val="0"/>
      <w:spacing w:before="40" w:after="40"/>
      <w:jc w:val="left"/>
      <w:textAlignment w:val="baseline"/>
    </w:pPr>
    <w:rPr>
      <w:kern w:val="0"/>
      <w:sz w:val="24"/>
      <w:szCs w:val="20"/>
    </w:rPr>
  </w:style>
  <w:style w:type="paragraph" w:customStyle="1" w:styleId="278">
    <w:name w:val="节标题"/>
    <w:basedOn w:val="1"/>
    <w:next w:val="1"/>
    <w:qFormat/>
    <w:uiPriority w:val="0"/>
    <w:pPr>
      <w:ind w:left="400" w:leftChars="200" w:hanging="200" w:hangingChars="200"/>
      <w:outlineLvl w:val="1"/>
    </w:pPr>
    <w:rPr>
      <w:rFonts w:ascii="宋体" w:hAnsi="宋体" w:eastAsia="黑体"/>
      <w:sz w:val="28"/>
      <w:szCs w:val="32"/>
    </w:rPr>
  </w:style>
  <w:style w:type="paragraph" w:customStyle="1" w:styleId="279">
    <w:name w:val="a"/>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280">
    <w:name w:val="p17"/>
    <w:basedOn w:val="1"/>
    <w:qFormat/>
    <w:uiPriority w:val="0"/>
    <w:pPr>
      <w:widowControl/>
      <w:spacing w:line="360" w:lineRule="auto"/>
      <w:ind w:firstLine="420"/>
      <w:jc w:val="left"/>
    </w:pPr>
    <w:rPr>
      <w:kern w:val="0"/>
      <w:sz w:val="24"/>
    </w:rPr>
  </w:style>
  <w:style w:type="paragraph" w:customStyle="1" w:styleId="281">
    <w:name w:val="流程图"/>
    <w:basedOn w:val="1"/>
    <w:qFormat/>
    <w:uiPriority w:val="0"/>
    <w:pPr>
      <w:tabs>
        <w:tab w:val="center" w:pos="0"/>
      </w:tabs>
    </w:pPr>
    <w:rPr>
      <w:rFonts w:eastAsia="楷体_GB2312"/>
      <w:sz w:val="24"/>
      <w:szCs w:val="20"/>
    </w:rPr>
  </w:style>
  <w:style w:type="paragraph" w:customStyle="1" w:styleId="282">
    <w:name w:val="简单回函地址"/>
    <w:basedOn w:val="1"/>
    <w:qFormat/>
    <w:uiPriority w:val="0"/>
  </w:style>
  <w:style w:type="paragraph" w:customStyle="1" w:styleId="283">
    <w:name w:val="表中正文小五号"/>
    <w:basedOn w:val="1"/>
    <w:qFormat/>
    <w:uiPriority w:val="0"/>
    <w:pPr>
      <w:jc w:val="center"/>
    </w:pPr>
    <w:rPr>
      <w:spacing w:val="6"/>
      <w:sz w:val="18"/>
      <w:szCs w:val="20"/>
    </w:rPr>
  </w:style>
  <w:style w:type="paragraph" w:customStyle="1" w:styleId="284">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285">
    <w:name w:val="表格式"/>
    <w:basedOn w:val="33"/>
    <w:qFormat/>
    <w:uiPriority w:val="0"/>
    <w:pPr>
      <w:spacing w:line="400" w:lineRule="exact"/>
      <w:ind w:left="0" w:firstLine="0" w:firstLineChars="0"/>
      <w:jc w:val="center"/>
    </w:pPr>
    <w:rPr>
      <w:rFonts w:ascii="宋体"/>
      <w:sz w:val="21"/>
      <w:szCs w:val="20"/>
    </w:rPr>
  </w:style>
  <w:style w:type="paragraph" w:customStyle="1" w:styleId="286">
    <w:name w:val="Char Char Char Char Char Char Char Char Char1"/>
    <w:basedOn w:val="1"/>
    <w:qFormat/>
    <w:uiPriority w:val="0"/>
    <w:rPr>
      <w:szCs w:val="20"/>
    </w:rPr>
  </w:style>
  <w:style w:type="paragraph" w:customStyle="1" w:styleId="287">
    <w:name w:val="p15"/>
    <w:basedOn w:val="1"/>
    <w:qFormat/>
    <w:uiPriority w:val="0"/>
    <w:pPr>
      <w:widowControl/>
      <w:spacing w:line="360" w:lineRule="auto"/>
      <w:ind w:firstLine="420"/>
      <w:jc w:val="left"/>
    </w:pPr>
    <w:rPr>
      <w:kern w:val="0"/>
      <w:sz w:val="24"/>
    </w:rPr>
  </w:style>
  <w:style w:type="paragraph" w:customStyle="1" w:styleId="288">
    <w:name w:val="小表文居中"/>
    <w:basedOn w:val="1"/>
    <w:qFormat/>
    <w:uiPriority w:val="0"/>
    <w:pPr>
      <w:autoSpaceDE w:val="0"/>
      <w:autoSpaceDN w:val="0"/>
      <w:adjustRightInd w:val="0"/>
      <w:spacing w:before="20"/>
      <w:jc w:val="center"/>
      <w:textAlignment w:val="baseline"/>
    </w:pPr>
    <w:rPr>
      <w:kern w:val="0"/>
      <w:sz w:val="18"/>
      <w:szCs w:val="20"/>
    </w:rPr>
  </w:style>
  <w:style w:type="paragraph" w:customStyle="1" w:styleId="289">
    <w:name w:val="论文正文"/>
    <w:basedOn w:val="14"/>
    <w:qFormat/>
    <w:uiPriority w:val="0"/>
    <w:pPr>
      <w:widowControl/>
      <w:ind w:firstLine="480" w:firstLineChars="200"/>
      <w:jc w:val="left"/>
    </w:pPr>
    <w:rPr>
      <w:rFonts w:ascii="宋体" w:hAnsi="宋体"/>
      <w:kern w:val="0"/>
      <w:sz w:val="28"/>
      <w:szCs w:val="24"/>
    </w:rPr>
  </w:style>
  <w:style w:type="paragraph" w:customStyle="1" w:styleId="290">
    <w:name w:val="p18"/>
    <w:basedOn w:val="1"/>
    <w:qFormat/>
    <w:uiPriority w:val="0"/>
    <w:pPr>
      <w:widowControl/>
    </w:pPr>
    <w:rPr>
      <w:rFonts w:ascii="宋体" w:hAnsi="宋体" w:cs="宋体"/>
      <w:kern w:val="0"/>
      <w:szCs w:val="21"/>
    </w:rPr>
  </w:style>
  <w:style w:type="character" w:customStyle="1" w:styleId="291">
    <w:name w:val="15"/>
    <w:qFormat/>
    <w:uiPriority w:val="0"/>
    <w:rPr>
      <w:rFonts w:hint="default" w:ascii="Times New Roman" w:hAnsi="Times New Roman" w:cs="Times New Roman"/>
      <w:spacing w:val="270"/>
      <w:sz w:val="21"/>
      <w:szCs w:val="21"/>
    </w:rPr>
  </w:style>
  <w:style w:type="paragraph" w:customStyle="1" w:styleId="292">
    <w:name w:val="p20"/>
    <w:basedOn w:val="1"/>
    <w:qFormat/>
    <w:uiPriority w:val="0"/>
    <w:pPr>
      <w:widowControl/>
      <w:spacing w:line="400" w:lineRule="atLeast"/>
    </w:pPr>
    <w:rPr>
      <w:kern w:val="0"/>
      <w:sz w:val="28"/>
      <w:szCs w:val="28"/>
    </w:rPr>
  </w:style>
  <w:style w:type="character" w:customStyle="1" w:styleId="293">
    <w:name w:val="17"/>
    <w:qFormat/>
    <w:uiPriority w:val="0"/>
    <w:rPr>
      <w:rFonts w:hint="default" w:ascii="Times New Roman" w:hAnsi="Times New Roman" w:cs="Times New Roman"/>
      <w:spacing w:val="270"/>
      <w:sz w:val="21"/>
      <w:szCs w:val="21"/>
    </w:rPr>
  </w:style>
  <w:style w:type="character" w:customStyle="1" w:styleId="294">
    <w:name w:val="apple-converted-space"/>
    <w:basedOn w:val="50"/>
    <w:qFormat/>
    <w:uiPriority w:val="0"/>
  </w:style>
  <w:style w:type="paragraph" w:customStyle="1" w:styleId="295">
    <w:name w:val="Char Char Char Char Char Char Char Char Char Char1"/>
    <w:basedOn w:val="1"/>
    <w:qFormat/>
    <w:uiPriority w:val="0"/>
    <w:pPr>
      <w:widowControl/>
      <w:spacing w:after="160" w:line="240" w:lineRule="exact"/>
      <w:jc w:val="left"/>
    </w:pPr>
    <w:rPr>
      <w:rFonts w:ascii="Verdana" w:hAnsi="Verdana" w:cs="Verdana"/>
      <w:kern w:val="0"/>
      <w:sz w:val="20"/>
      <w:szCs w:val="20"/>
      <w:lang w:eastAsia="en-US"/>
    </w:rPr>
  </w:style>
  <w:style w:type="paragraph" w:customStyle="1" w:styleId="296">
    <w:name w:val="Char11"/>
    <w:basedOn w:val="1"/>
    <w:qFormat/>
    <w:uiPriority w:val="0"/>
    <w:rPr>
      <w:szCs w:val="20"/>
    </w:rPr>
  </w:style>
  <w:style w:type="paragraph" w:customStyle="1" w:styleId="297">
    <w:name w:val="Char5"/>
    <w:basedOn w:val="1"/>
    <w:qFormat/>
    <w:uiPriority w:val="0"/>
    <w:pPr>
      <w:snapToGrid w:val="0"/>
      <w:spacing w:line="360" w:lineRule="auto"/>
      <w:ind w:firstLine="529" w:firstLineChars="200"/>
    </w:pPr>
    <w:rPr>
      <w:rFonts w:ascii="宋体" w:hAnsi="宋体"/>
      <w:b/>
    </w:rPr>
  </w:style>
  <w:style w:type="paragraph" w:customStyle="1" w:styleId="298">
    <w:name w:val="表内正文"/>
    <w:basedOn w:val="1"/>
    <w:qFormat/>
    <w:uiPriority w:val="0"/>
    <w:pPr>
      <w:ind w:firstLine="200" w:firstLineChars="200"/>
    </w:pPr>
    <w:rPr>
      <w:rFonts w:ascii="仿宋_GB2312" w:hAnsi="宋体" w:eastAsia="仿宋_GB2312"/>
      <w:sz w:val="28"/>
    </w:rPr>
  </w:style>
  <w:style w:type="paragraph" w:customStyle="1" w:styleId="299">
    <w:name w:val="5"/>
    <w:basedOn w:val="1"/>
    <w:next w:val="14"/>
    <w:link w:val="300"/>
    <w:qFormat/>
    <w:uiPriority w:val="0"/>
    <w:pPr>
      <w:ind w:firstLine="420" w:firstLineChars="200"/>
    </w:pPr>
  </w:style>
  <w:style w:type="character" w:customStyle="1" w:styleId="300">
    <w:name w:val="5 Char Char"/>
    <w:link w:val="299"/>
    <w:qFormat/>
    <w:uiPriority w:val="0"/>
    <w:rPr>
      <w:kern w:val="2"/>
      <w:sz w:val="21"/>
      <w:szCs w:val="24"/>
    </w:rPr>
  </w:style>
  <w:style w:type="character" w:customStyle="1" w:styleId="301">
    <w:name w:val="正文2 Char"/>
    <w:basedOn w:val="50"/>
    <w:qFormat/>
    <w:locked/>
    <w:uiPriority w:val="0"/>
    <w:rPr>
      <w:rFonts w:ascii="宋体" w:hAnsi="宋体"/>
      <w:kern w:val="2"/>
      <w:sz w:val="24"/>
      <w:szCs w:val="24"/>
    </w:rPr>
  </w:style>
  <w:style w:type="character" w:customStyle="1" w:styleId="302">
    <w:name w:val="正文文本缩进 Char1"/>
    <w:basedOn w:val="50"/>
    <w:qFormat/>
    <w:locked/>
    <w:uiPriority w:val="0"/>
    <w:rPr>
      <w:kern w:val="2"/>
      <w:sz w:val="30"/>
    </w:rPr>
  </w:style>
  <w:style w:type="paragraph" w:customStyle="1" w:styleId="303">
    <w:name w:val="表格标题"/>
    <w:basedOn w:val="1"/>
    <w:qFormat/>
    <w:uiPriority w:val="0"/>
    <w:pPr>
      <w:tabs>
        <w:tab w:val="left" w:pos="2340"/>
      </w:tabs>
      <w:snapToGrid w:val="0"/>
      <w:spacing w:beforeLines="100"/>
      <w:jc w:val="center"/>
    </w:pPr>
    <w:rPr>
      <w:sz w:val="28"/>
      <w:szCs w:val="20"/>
    </w:rPr>
  </w:style>
  <w:style w:type="paragraph" w:customStyle="1" w:styleId="304">
    <w:name w:val="朔电正文"/>
    <w:basedOn w:val="1"/>
    <w:link w:val="305"/>
    <w:qFormat/>
    <w:uiPriority w:val="99"/>
    <w:pPr>
      <w:adjustRightInd w:val="0"/>
      <w:snapToGrid w:val="0"/>
      <w:spacing w:beforeLines="25" w:line="440" w:lineRule="exact"/>
      <w:ind w:firstLine="480" w:firstLineChars="200"/>
    </w:pPr>
    <w:rPr>
      <w:color w:val="000000"/>
      <w:kern w:val="32"/>
      <w:sz w:val="24"/>
    </w:rPr>
  </w:style>
  <w:style w:type="character" w:customStyle="1" w:styleId="305">
    <w:name w:val="朔电正文 Char"/>
    <w:basedOn w:val="50"/>
    <w:link w:val="304"/>
    <w:qFormat/>
    <w:uiPriority w:val="99"/>
    <w:rPr>
      <w:color w:val="000000"/>
      <w:kern w:val="32"/>
      <w:sz w:val="24"/>
      <w:szCs w:val="24"/>
    </w:rPr>
  </w:style>
  <w:style w:type="paragraph" w:customStyle="1" w:styleId="306">
    <w:name w:val="表格文字小"/>
    <w:basedOn w:val="110"/>
    <w:qFormat/>
    <w:uiPriority w:val="0"/>
    <w:pPr>
      <w:adjustRightInd/>
      <w:snapToGrid/>
      <w:spacing w:line="400" w:lineRule="exact"/>
    </w:pPr>
    <w:rPr>
      <w:rFonts w:hAnsi="Times New Roman" w:cs="Times New Roman"/>
      <w:bCs w:val="0"/>
      <w:spacing w:val="0"/>
      <w:kern w:val="2"/>
      <w:szCs w:val="20"/>
    </w:rPr>
  </w:style>
  <w:style w:type="paragraph" w:customStyle="1" w:styleId="307">
    <w:name w:val="正文内容"/>
    <w:basedOn w:val="1"/>
    <w:link w:val="308"/>
    <w:qFormat/>
    <w:uiPriority w:val="0"/>
    <w:pPr>
      <w:spacing w:line="440" w:lineRule="exact"/>
      <w:ind w:firstLine="480" w:firstLineChars="200"/>
    </w:pPr>
    <w:rPr>
      <w:rFonts w:hAnsi="宋体"/>
      <w:color w:val="000000"/>
      <w:sz w:val="24"/>
    </w:rPr>
  </w:style>
  <w:style w:type="character" w:customStyle="1" w:styleId="308">
    <w:name w:val="正文内容 Char"/>
    <w:basedOn w:val="50"/>
    <w:link w:val="307"/>
    <w:qFormat/>
    <w:uiPriority w:val="0"/>
    <w:rPr>
      <w:rFonts w:hAnsi="宋体"/>
      <w:color w:val="000000"/>
      <w:kern w:val="2"/>
      <w:sz w:val="24"/>
      <w:szCs w:val="24"/>
    </w:rPr>
  </w:style>
  <w:style w:type="character" w:customStyle="1" w:styleId="309">
    <w:name w:val="样式6 Char"/>
    <w:link w:val="310"/>
    <w:qFormat/>
    <w:uiPriority w:val="0"/>
    <w:rPr>
      <w:rFonts w:ascii="宋体" w:hAnsi="宋体"/>
      <w:color w:val="000000"/>
      <w:kern w:val="6"/>
      <w:sz w:val="24"/>
      <w:szCs w:val="24"/>
      <w:lang w:val="en-GB"/>
    </w:rPr>
  </w:style>
  <w:style w:type="paragraph" w:customStyle="1" w:styleId="310">
    <w:name w:val="样式6"/>
    <w:basedOn w:val="1"/>
    <w:link w:val="309"/>
    <w:qFormat/>
    <w:uiPriority w:val="0"/>
    <w:pPr>
      <w:spacing w:beforeLines="50" w:afterLines="50" w:line="360" w:lineRule="auto"/>
      <w:ind w:firstLine="480" w:firstLineChars="200"/>
      <w:jc w:val="left"/>
    </w:pPr>
    <w:rPr>
      <w:rFonts w:ascii="宋体" w:hAnsi="宋体"/>
      <w:color w:val="000000"/>
      <w:kern w:val="6"/>
      <w:sz w:val="24"/>
      <w:lang w:val="en-GB"/>
    </w:rPr>
  </w:style>
  <w:style w:type="character" w:customStyle="1" w:styleId="311">
    <w:name w:val="标准正文 Char"/>
    <w:qFormat/>
    <w:uiPriority w:val="0"/>
    <w:rPr>
      <w:kern w:val="2"/>
      <w:sz w:val="24"/>
      <w:szCs w:val="22"/>
    </w:rPr>
  </w:style>
  <w:style w:type="paragraph" w:customStyle="1" w:styleId="312">
    <w:name w:val="5表标题"/>
    <w:qFormat/>
    <w:uiPriority w:val="99"/>
    <w:pPr>
      <w:spacing w:line="480" w:lineRule="exact"/>
      <w:jc w:val="center"/>
    </w:pPr>
    <w:rPr>
      <w:rFonts w:ascii="Times New Roman" w:hAnsi="Times New Roman" w:eastAsia="宋体" w:cs="宋体"/>
      <w:b/>
      <w:bCs/>
      <w:kern w:val="2"/>
      <w:sz w:val="21"/>
      <w:szCs w:val="22"/>
      <w:lang w:val="en-US" w:eastAsia="zh-CN" w:bidi="ar-SA"/>
    </w:rPr>
  </w:style>
  <w:style w:type="paragraph" w:customStyle="1" w:styleId="313">
    <w:name w:val="样式 样式 样式 标题 2标题2节½Ú?¨²节标题 + 宋体 四号 段前: 3 磅 段后: 3 磅 行距: 固定值 23 磅 +..."/>
    <w:basedOn w:val="1"/>
    <w:qFormat/>
    <w:uiPriority w:val="0"/>
    <w:pPr>
      <w:keepNext/>
      <w:keepLines/>
      <w:spacing w:line="480" w:lineRule="exact"/>
      <w:outlineLvl w:val="1"/>
    </w:pPr>
    <w:rPr>
      <w:rFonts w:cs="宋体"/>
      <w:b/>
      <w:bCs/>
      <w:sz w:val="28"/>
      <w:szCs w:val="20"/>
    </w:rPr>
  </w:style>
  <w:style w:type="character" w:customStyle="1" w:styleId="314">
    <w:name w:val="title"/>
    <w:basedOn w:val="50"/>
    <w:qFormat/>
    <w:uiPriority w:val="0"/>
  </w:style>
  <w:style w:type="character" w:customStyle="1" w:styleId="315">
    <w:name w:val="cat表头 Char Char"/>
    <w:link w:val="316"/>
    <w:qFormat/>
    <w:uiPriority w:val="0"/>
    <w:rPr>
      <w:sz w:val="21"/>
    </w:rPr>
  </w:style>
  <w:style w:type="paragraph" w:customStyle="1" w:styleId="316">
    <w:name w:val="cat表格"/>
    <w:basedOn w:val="1"/>
    <w:link w:val="315"/>
    <w:qFormat/>
    <w:uiPriority w:val="0"/>
    <w:pPr>
      <w:spacing w:beforeLines="50"/>
    </w:pPr>
    <w:rPr>
      <w:kern w:val="0"/>
      <w:szCs w:val="20"/>
    </w:rPr>
  </w:style>
  <w:style w:type="paragraph" w:customStyle="1" w:styleId="317">
    <w:name w:val="【表格文字】"/>
    <w:link w:val="318"/>
    <w:qFormat/>
    <w:uiPriority w:val="0"/>
    <w:pPr>
      <w:jc w:val="center"/>
    </w:pPr>
    <w:rPr>
      <w:rFonts w:ascii="Times New Roman" w:hAnsi="Times New Roman" w:eastAsia="宋体" w:cs="Times New Roman"/>
      <w:sz w:val="21"/>
      <w:lang w:val="en-US" w:eastAsia="zh-CN" w:bidi="ar-SA"/>
    </w:rPr>
  </w:style>
  <w:style w:type="character" w:customStyle="1" w:styleId="318">
    <w:name w:val="【表格文字】 Char"/>
    <w:link w:val="317"/>
    <w:qFormat/>
    <w:uiPriority w:val="0"/>
    <w:rPr>
      <w:sz w:val="21"/>
      <w:lang w:bidi="ar-SA"/>
    </w:rPr>
  </w:style>
  <w:style w:type="character" w:customStyle="1" w:styleId="319">
    <w:name w:val="CAT正文 Char Char"/>
    <w:link w:val="320"/>
    <w:qFormat/>
    <w:locked/>
    <w:uiPriority w:val="0"/>
    <w:rPr>
      <w:sz w:val="24"/>
    </w:rPr>
  </w:style>
  <w:style w:type="paragraph" w:customStyle="1" w:styleId="320">
    <w:name w:val="CAT正文"/>
    <w:basedOn w:val="1"/>
    <w:link w:val="319"/>
    <w:qFormat/>
    <w:uiPriority w:val="0"/>
    <w:pPr>
      <w:spacing w:beforeLines="50" w:line="360" w:lineRule="auto"/>
      <w:ind w:firstLine="560" w:firstLineChars="200"/>
    </w:pPr>
    <w:rPr>
      <w:kern w:val="0"/>
      <w:sz w:val="24"/>
      <w:szCs w:val="20"/>
    </w:rPr>
  </w:style>
  <w:style w:type="character" w:customStyle="1" w:styleId="321">
    <w:name w:val="脚注文本 Char"/>
    <w:basedOn w:val="50"/>
    <w:link w:val="34"/>
    <w:qFormat/>
    <w:uiPriority w:val="0"/>
    <w:rPr>
      <w:kern w:val="2"/>
      <w:sz w:val="18"/>
      <w:szCs w:val="18"/>
    </w:rPr>
  </w:style>
  <w:style w:type="character" w:customStyle="1" w:styleId="322">
    <w:name w:val="脚注文本 Char1"/>
    <w:basedOn w:val="50"/>
    <w:link w:val="34"/>
    <w:qFormat/>
    <w:locked/>
    <w:uiPriority w:val="0"/>
    <w:rPr>
      <w:kern w:val="2"/>
      <w:sz w:val="18"/>
      <w:szCs w:val="18"/>
    </w:rPr>
  </w:style>
  <w:style w:type="character" w:customStyle="1" w:styleId="323">
    <w:name w:val="尾注文本 Char"/>
    <w:basedOn w:val="50"/>
    <w:link w:val="27"/>
    <w:qFormat/>
    <w:uiPriority w:val="99"/>
    <w:rPr>
      <w:kern w:val="2"/>
      <w:sz w:val="21"/>
      <w:szCs w:val="24"/>
    </w:rPr>
  </w:style>
  <w:style w:type="character" w:customStyle="1" w:styleId="324">
    <w:name w:val="尾注文本 Char1"/>
    <w:link w:val="27"/>
    <w:qFormat/>
    <w:locked/>
    <w:uiPriority w:val="0"/>
    <w:rPr>
      <w:color w:val="000000"/>
      <w:kern w:val="32"/>
      <w:sz w:val="24"/>
    </w:rPr>
  </w:style>
  <w:style w:type="character" w:customStyle="1" w:styleId="325">
    <w:name w:val="标题 Char"/>
    <w:basedOn w:val="50"/>
    <w:link w:val="42"/>
    <w:qFormat/>
    <w:uiPriority w:val="0"/>
    <w:rPr>
      <w:rFonts w:ascii="Cambria" w:hAnsi="Cambria" w:cs="Times New Roman"/>
      <w:b/>
      <w:bCs/>
      <w:kern w:val="2"/>
      <w:sz w:val="32"/>
      <w:szCs w:val="32"/>
    </w:rPr>
  </w:style>
  <w:style w:type="character" w:customStyle="1" w:styleId="326">
    <w:name w:val="标题 Char1"/>
    <w:basedOn w:val="50"/>
    <w:link w:val="42"/>
    <w:qFormat/>
    <w:locked/>
    <w:uiPriority w:val="0"/>
    <w:rPr>
      <w:rFonts w:ascii="Cambria" w:hAnsi="Cambria"/>
      <w:b/>
      <w:bCs/>
      <w:kern w:val="2"/>
      <w:sz w:val="32"/>
      <w:szCs w:val="32"/>
    </w:rPr>
  </w:style>
  <w:style w:type="character" w:customStyle="1" w:styleId="327">
    <w:name w:val="副标题 Char"/>
    <w:basedOn w:val="50"/>
    <w:link w:val="32"/>
    <w:qFormat/>
    <w:uiPriority w:val="11"/>
    <w:rPr>
      <w:rFonts w:ascii="Cambria" w:hAnsi="Cambria" w:cs="Times New Roman"/>
      <w:b/>
      <w:bCs/>
      <w:kern w:val="28"/>
      <w:sz w:val="32"/>
      <w:szCs w:val="32"/>
    </w:rPr>
  </w:style>
  <w:style w:type="character" w:customStyle="1" w:styleId="328">
    <w:name w:val="副标题 Char1"/>
    <w:basedOn w:val="50"/>
    <w:link w:val="32"/>
    <w:qFormat/>
    <w:locked/>
    <w:uiPriority w:val="11"/>
    <w:rPr>
      <w:rFonts w:ascii="Arial" w:hAnsi="Arial" w:cs="Arial"/>
      <w:b/>
      <w:bCs/>
      <w:kern w:val="28"/>
      <w:sz w:val="32"/>
      <w:szCs w:val="32"/>
    </w:rPr>
  </w:style>
  <w:style w:type="character" w:customStyle="1" w:styleId="329">
    <w:name w:val="正文首行缩进 2 Char"/>
    <w:basedOn w:val="72"/>
    <w:link w:val="45"/>
    <w:qFormat/>
    <w:uiPriority w:val="0"/>
    <w:rPr>
      <w:kern w:val="2"/>
      <w:sz w:val="21"/>
      <w:szCs w:val="24"/>
    </w:rPr>
  </w:style>
  <w:style w:type="character" w:customStyle="1" w:styleId="330">
    <w:name w:val="正文首行缩进 2 Char1"/>
    <w:basedOn w:val="72"/>
    <w:link w:val="45"/>
    <w:qFormat/>
    <w:locked/>
    <w:uiPriority w:val="0"/>
    <w:rPr>
      <w:rFonts w:ascii="Calibri" w:hAnsi="Calibri"/>
      <w:b/>
      <w:kern w:val="2"/>
      <w:sz w:val="21"/>
      <w:szCs w:val="22"/>
    </w:rPr>
  </w:style>
  <w:style w:type="character" w:customStyle="1" w:styleId="331">
    <w:name w:val="注释标题 Char"/>
    <w:basedOn w:val="50"/>
    <w:link w:val="12"/>
    <w:qFormat/>
    <w:uiPriority w:val="99"/>
    <w:rPr>
      <w:kern w:val="2"/>
      <w:sz w:val="21"/>
      <w:szCs w:val="24"/>
    </w:rPr>
  </w:style>
  <w:style w:type="character" w:customStyle="1" w:styleId="332">
    <w:name w:val="注释标题 Char1"/>
    <w:link w:val="12"/>
    <w:qFormat/>
    <w:locked/>
    <w:uiPriority w:val="0"/>
    <w:rPr>
      <w:kern w:val="2"/>
      <w:sz w:val="21"/>
      <w:szCs w:val="24"/>
    </w:rPr>
  </w:style>
  <w:style w:type="character" w:customStyle="1" w:styleId="333">
    <w:name w:val="无间隔 Char"/>
    <w:link w:val="334"/>
    <w:qFormat/>
    <w:locked/>
    <w:uiPriority w:val="1"/>
    <w:rPr>
      <w:rFonts w:ascii="Calibri" w:hAnsi="Calibri"/>
      <w:b/>
      <w:sz w:val="22"/>
      <w:szCs w:val="22"/>
      <w:lang w:val="en-US" w:eastAsia="zh-CN" w:bidi="ar-SA"/>
    </w:rPr>
  </w:style>
  <w:style w:type="paragraph" w:styleId="334">
    <w:name w:val="No Spacing"/>
    <w:link w:val="333"/>
    <w:qFormat/>
    <w:uiPriority w:val="1"/>
    <w:pPr>
      <w:widowControl w:val="0"/>
      <w:jc w:val="both"/>
    </w:pPr>
    <w:rPr>
      <w:rFonts w:ascii="Calibri" w:hAnsi="Calibri" w:eastAsia="宋体" w:cs="Times New Roman"/>
      <w:b/>
      <w:sz w:val="22"/>
      <w:szCs w:val="22"/>
      <w:lang w:val="en-US" w:eastAsia="zh-CN" w:bidi="ar-SA"/>
    </w:rPr>
  </w:style>
  <w:style w:type="character" w:customStyle="1" w:styleId="335">
    <w:name w:val="正文修改 Char"/>
    <w:link w:val="336"/>
    <w:qFormat/>
    <w:locked/>
    <w:uiPriority w:val="0"/>
    <w:rPr>
      <w:kern w:val="2"/>
      <w:sz w:val="24"/>
      <w:szCs w:val="24"/>
      <w:lang w:val="en-US" w:eastAsia="zh-CN" w:bidi="ar-SA"/>
    </w:rPr>
  </w:style>
  <w:style w:type="paragraph" w:customStyle="1" w:styleId="336">
    <w:name w:val="正文修改"/>
    <w:next w:val="1"/>
    <w:link w:val="335"/>
    <w:qFormat/>
    <w:uiPriority w:val="0"/>
    <w:pPr>
      <w:adjustRightIn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337">
    <w:name w:val="表文字 Char1"/>
    <w:link w:val="338"/>
    <w:qFormat/>
    <w:locked/>
    <w:uiPriority w:val="0"/>
    <w:rPr>
      <w:kern w:val="2"/>
      <w:sz w:val="21"/>
    </w:rPr>
  </w:style>
  <w:style w:type="paragraph" w:customStyle="1" w:styleId="338">
    <w:name w:val="表文字"/>
    <w:basedOn w:val="1"/>
    <w:link w:val="337"/>
    <w:qFormat/>
    <w:uiPriority w:val="0"/>
    <w:pPr>
      <w:widowControl/>
      <w:spacing w:line="480" w:lineRule="exact"/>
      <w:jc w:val="center"/>
    </w:pPr>
    <w:rPr>
      <w:szCs w:val="20"/>
    </w:rPr>
  </w:style>
  <w:style w:type="character" w:customStyle="1" w:styleId="339">
    <w:name w:val="表格正文 Char Char"/>
    <w:link w:val="340"/>
    <w:qFormat/>
    <w:locked/>
    <w:uiPriority w:val="0"/>
    <w:rPr>
      <w:rFonts w:ascii="宋体" w:hAnsi="宋体"/>
      <w:b/>
      <w:kern w:val="2"/>
      <w:sz w:val="24"/>
      <w:lang w:val="en-US" w:eastAsia="zh-CN" w:bidi="ar-SA"/>
    </w:rPr>
  </w:style>
  <w:style w:type="paragraph" w:customStyle="1" w:styleId="340">
    <w:name w:val="表格正文"/>
    <w:link w:val="339"/>
    <w:qFormat/>
    <w:uiPriority w:val="0"/>
    <w:pPr>
      <w:widowControl w:val="0"/>
      <w:spacing w:line="360" w:lineRule="exact"/>
      <w:jc w:val="center"/>
    </w:pPr>
    <w:rPr>
      <w:rFonts w:ascii="宋体" w:hAnsi="宋体" w:eastAsia="宋体" w:cs="Times New Roman"/>
      <w:b/>
      <w:kern w:val="2"/>
      <w:sz w:val="24"/>
      <w:lang w:val="en-US" w:eastAsia="zh-CN" w:bidi="ar-SA"/>
    </w:rPr>
  </w:style>
  <w:style w:type="character" w:customStyle="1" w:styleId="341">
    <w:name w:val="正文(首行缩进) Char"/>
    <w:link w:val="342"/>
    <w:qFormat/>
    <w:locked/>
    <w:uiPriority w:val="0"/>
    <w:rPr>
      <w:rFonts w:ascii="Calibri" w:hAnsi="Calibri"/>
      <w:b/>
      <w:snapToGrid w:val="0"/>
      <w:color w:val="000000"/>
      <w:sz w:val="24"/>
      <w:szCs w:val="22"/>
    </w:rPr>
  </w:style>
  <w:style w:type="paragraph" w:customStyle="1" w:styleId="342">
    <w:name w:val="正文(首行缩进)"/>
    <w:basedOn w:val="1"/>
    <w:link w:val="341"/>
    <w:qFormat/>
    <w:uiPriority w:val="0"/>
    <w:pPr>
      <w:snapToGrid w:val="0"/>
      <w:spacing w:line="360" w:lineRule="auto"/>
      <w:ind w:firstLine="540" w:firstLineChars="225"/>
    </w:pPr>
    <w:rPr>
      <w:rFonts w:ascii="Calibri" w:hAnsi="Calibri"/>
      <w:b/>
      <w:snapToGrid w:val="0"/>
      <w:color w:val="000000"/>
      <w:kern w:val="0"/>
      <w:sz w:val="24"/>
      <w:szCs w:val="22"/>
    </w:rPr>
  </w:style>
  <w:style w:type="character" w:customStyle="1" w:styleId="343">
    <w:name w:val="样式 正文缩进正文（首行缩进两字） Char Char Char Char Char Char Char文本正文缩进 Ch... Char"/>
    <w:link w:val="344"/>
    <w:qFormat/>
    <w:locked/>
    <w:uiPriority w:val="0"/>
    <w:rPr>
      <w:rFonts w:ascii="宋体" w:hAnsi="宋体"/>
      <w:b/>
      <w:bCs/>
      <w:kern w:val="2"/>
      <w:sz w:val="24"/>
      <w:szCs w:val="24"/>
    </w:rPr>
  </w:style>
  <w:style w:type="paragraph" w:customStyle="1" w:styleId="344">
    <w:name w:val="样式 正文缩进正文（首行缩进两字） Char Char Char Char Char Char Char文本正文缩进 Ch..."/>
    <w:basedOn w:val="14"/>
    <w:link w:val="343"/>
    <w:qFormat/>
    <w:uiPriority w:val="0"/>
    <w:pPr>
      <w:tabs>
        <w:tab w:val="left" w:pos="1800"/>
      </w:tabs>
      <w:adjustRightInd w:val="0"/>
      <w:snapToGrid w:val="0"/>
      <w:spacing w:line="460" w:lineRule="exact"/>
      <w:ind w:firstLine="200" w:firstLineChars="200"/>
    </w:pPr>
    <w:rPr>
      <w:rFonts w:ascii="宋体" w:hAnsi="宋体"/>
      <w:b/>
      <w:bCs/>
      <w:sz w:val="24"/>
      <w:szCs w:val="24"/>
    </w:rPr>
  </w:style>
  <w:style w:type="character" w:customStyle="1" w:styleId="345">
    <w:name w:val="表格内容5号 Char"/>
    <w:link w:val="346"/>
    <w:qFormat/>
    <w:locked/>
    <w:uiPriority w:val="0"/>
    <w:rPr>
      <w:kern w:val="2"/>
      <w:sz w:val="21"/>
      <w:szCs w:val="24"/>
      <w:lang w:val="en-US" w:eastAsia="zh-CN" w:bidi="ar-SA"/>
    </w:rPr>
  </w:style>
  <w:style w:type="paragraph" w:customStyle="1" w:styleId="346">
    <w:name w:val="表格内容5号"/>
    <w:link w:val="345"/>
    <w:qFormat/>
    <w:uiPriority w:val="0"/>
    <w:pPr>
      <w:widowControl w:val="0"/>
      <w:snapToGrid w:val="0"/>
      <w:spacing w:line="300" w:lineRule="atLeast"/>
      <w:jc w:val="center"/>
    </w:pPr>
    <w:rPr>
      <w:rFonts w:ascii="Times New Roman" w:hAnsi="Times New Roman" w:eastAsia="宋体" w:cs="Times New Roman"/>
      <w:kern w:val="2"/>
      <w:sz w:val="21"/>
      <w:szCs w:val="24"/>
      <w:lang w:val="en-US" w:eastAsia="zh-CN" w:bidi="ar-SA"/>
    </w:rPr>
  </w:style>
  <w:style w:type="character" w:customStyle="1" w:styleId="347">
    <w:name w:val="4级标题 Char"/>
    <w:link w:val="348"/>
    <w:qFormat/>
    <w:locked/>
    <w:uiPriority w:val="0"/>
    <w:rPr>
      <w:rFonts w:ascii="Arial" w:hAnsi="Arial" w:eastAsia="黑体" w:cs="Arial"/>
      <w:b/>
      <w:kern w:val="2"/>
      <w:sz w:val="24"/>
      <w:szCs w:val="24"/>
      <w:lang w:val="en-US" w:eastAsia="zh-CN" w:bidi="ar-SA"/>
    </w:rPr>
  </w:style>
  <w:style w:type="paragraph" w:customStyle="1" w:styleId="348">
    <w:name w:val="4级标题"/>
    <w:next w:val="307"/>
    <w:link w:val="347"/>
    <w:qFormat/>
    <w:uiPriority w:val="0"/>
    <w:pPr>
      <w:spacing w:line="480" w:lineRule="exact"/>
      <w:ind w:firstLine="880" w:firstLineChars="200"/>
      <w:outlineLvl w:val="3"/>
    </w:pPr>
    <w:rPr>
      <w:rFonts w:ascii="Arial" w:hAnsi="Arial" w:eastAsia="黑体" w:cs="Arial"/>
      <w:b/>
      <w:kern w:val="2"/>
      <w:sz w:val="24"/>
      <w:szCs w:val="24"/>
      <w:lang w:val="en-US" w:eastAsia="zh-CN" w:bidi="ar-SA"/>
    </w:rPr>
  </w:style>
  <w:style w:type="character" w:customStyle="1" w:styleId="349">
    <w:name w:val="图表标题 Char"/>
    <w:link w:val="350"/>
    <w:qFormat/>
    <w:locked/>
    <w:uiPriority w:val="0"/>
    <w:rPr>
      <w:rFonts w:ascii="楷体_GB2312" w:eastAsia="楷体_GB2312"/>
      <w:kern w:val="2"/>
      <w:szCs w:val="24"/>
      <w:lang w:val="en-US" w:eastAsia="zh-CN" w:bidi="ar-SA"/>
    </w:rPr>
  </w:style>
  <w:style w:type="paragraph" w:customStyle="1" w:styleId="350">
    <w:name w:val="图表标题"/>
    <w:link w:val="349"/>
    <w:qFormat/>
    <w:uiPriority w:val="0"/>
    <w:pPr>
      <w:snapToGrid w:val="0"/>
      <w:jc w:val="center"/>
    </w:pPr>
    <w:rPr>
      <w:rFonts w:ascii="楷体_GB2312" w:hAnsi="Times New Roman" w:eastAsia="楷体_GB2312" w:cs="Times New Roman"/>
      <w:kern w:val="2"/>
      <w:szCs w:val="24"/>
      <w:lang w:val="en-US" w:eastAsia="zh-CN" w:bidi="ar-SA"/>
    </w:rPr>
  </w:style>
  <w:style w:type="character" w:customStyle="1" w:styleId="351">
    <w:name w:val="a正文排版格式 Char Char"/>
    <w:link w:val="352"/>
    <w:qFormat/>
    <w:locked/>
    <w:uiPriority w:val="0"/>
    <w:rPr>
      <w:rFonts w:ascii="仿宋_GB2312" w:eastAsia="仿宋_GB2312"/>
      <w:sz w:val="28"/>
      <w:szCs w:val="28"/>
    </w:rPr>
  </w:style>
  <w:style w:type="paragraph" w:customStyle="1" w:styleId="352">
    <w:name w:val="a正文排版格式"/>
    <w:basedOn w:val="1"/>
    <w:link w:val="351"/>
    <w:qFormat/>
    <w:uiPriority w:val="0"/>
    <w:pPr>
      <w:tabs>
        <w:tab w:val="left" w:pos="2520"/>
      </w:tabs>
      <w:ind w:firstLine="560" w:firstLineChars="200"/>
    </w:pPr>
    <w:rPr>
      <w:rFonts w:ascii="仿宋_GB2312" w:eastAsia="仿宋_GB2312"/>
      <w:kern w:val="0"/>
      <w:sz w:val="28"/>
      <w:szCs w:val="28"/>
    </w:rPr>
  </w:style>
  <w:style w:type="character" w:customStyle="1" w:styleId="353">
    <w:name w:val="二铺正文 Char"/>
    <w:link w:val="354"/>
    <w:qFormat/>
    <w:locked/>
    <w:uiPriority w:val="0"/>
    <w:rPr>
      <w:rFonts w:ascii="宋体" w:hAnsi="Courier New" w:cs="Courier New"/>
      <w:b/>
      <w:kern w:val="2"/>
      <w:sz w:val="21"/>
      <w:szCs w:val="21"/>
    </w:rPr>
  </w:style>
  <w:style w:type="paragraph" w:customStyle="1" w:styleId="354">
    <w:name w:val="二铺正文"/>
    <w:basedOn w:val="1"/>
    <w:link w:val="353"/>
    <w:autoRedefine/>
    <w:qFormat/>
    <w:uiPriority w:val="0"/>
    <w:pPr>
      <w:spacing w:line="440" w:lineRule="exact"/>
      <w:ind w:firstLine="422" w:firstLineChars="200"/>
      <w:jc w:val="center"/>
    </w:pPr>
    <w:rPr>
      <w:rFonts w:ascii="宋体" w:hAnsi="Courier New"/>
      <w:b/>
      <w:szCs w:val="21"/>
    </w:rPr>
  </w:style>
  <w:style w:type="character" w:customStyle="1" w:styleId="355">
    <w:name w:val="正文28磅 Char Char Char"/>
    <w:link w:val="356"/>
    <w:qFormat/>
    <w:locked/>
    <w:uiPriority w:val="0"/>
    <w:rPr>
      <w:rFonts w:ascii="宋体" w:hAnsi="宋体" w:cs="宋体"/>
      <w:kern w:val="2"/>
      <w:sz w:val="24"/>
      <w:szCs w:val="28"/>
      <w:lang w:val="en-US" w:eastAsia="zh-CN" w:bidi="ar-SA"/>
    </w:rPr>
  </w:style>
  <w:style w:type="paragraph" w:customStyle="1" w:styleId="356">
    <w:name w:val="正文28磅 Char Char"/>
    <w:link w:val="355"/>
    <w:autoRedefine/>
    <w:qFormat/>
    <w:uiPriority w:val="0"/>
    <w:pPr>
      <w:widowControl w:val="0"/>
      <w:spacing w:line="460" w:lineRule="exact"/>
      <w:ind w:firstLine="480" w:firstLineChars="200"/>
    </w:pPr>
    <w:rPr>
      <w:rFonts w:ascii="宋体" w:hAnsi="宋体" w:eastAsia="宋体" w:cs="宋体"/>
      <w:kern w:val="2"/>
      <w:sz w:val="24"/>
      <w:szCs w:val="28"/>
      <w:lang w:val="en-US" w:eastAsia="zh-CN" w:bidi="ar-SA"/>
    </w:rPr>
  </w:style>
  <w:style w:type="character" w:customStyle="1" w:styleId="357">
    <w:name w:val="样式 (符号) 宋体 小四 首行缩进:  0.85 厘米 行距: 固定值 24 磅 Char"/>
    <w:link w:val="358"/>
    <w:qFormat/>
    <w:locked/>
    <w:uiPriority w:val="0"/>
    <w:rPr>
      <w:rFonts w:ascii="宋体" w:hAnsi="宋体" w:cs="宋体"/>
      <w:kern w:val="2"/>
      <w:sz w:val="24"/>
    </w:rPr>
  </w:style>
  <w:style w:type="paragraph" w:customStyle="1" w:styleId="358">
    <w:name w:val="样式 (符号) 宋体 小四 首行缩进:  0.85 厘米 行距: 固定值 24 磅"/>
    <w:basedOn w:val="1"/>
    <w:link w:val="357"/>
    <w:qFormat/>
    <w:uiPriority w:val="0"/>
    <w:pPr>
      <w:spacing w:line="480" w:lineRule="exact"/>
      <w:ind w:firstLine="200" w:firstLineChars="200"/>
    </w:pPr>
    <w:rPr>
      <w:rFonts w:ascii="宋体" w:hAnsi="宋体"/>
      <w:sz w:val="24"/>
      <w:szCs w:val="20"/>
    </w:rPr>
  </w:style>
  <w:style w:type="character" w:customStyle="1" w:styleId="359">
    <w:name w:val="采用正文格式 Char"/>
    <w:link w:val="360"/>
    <w:qFormat/>
    <w:locked/>
    <w:uiPriority w:val="0"/>
    <w:rPr>
      <w:rFonts w:ascii="宋体" w:hAnsi="宋体" w:cs="宋体"/>
      <w:kern w:val="2"/>
      <w:sz w:val="24"/>
    </w:rPr>
  </w:style>
  <w:style w:type="paragraph" w:customStyle="1" w:styleId="360">
    <w:name w:val="采用正文格式"/>
    <w:basedOn w:val="1"/>
    <w:link w:val="359"/>
    <w:qFormat/>
    <w:uiPriority w:val="0"/>
    <w:pPr>
      <w:spacing w:line="500" w:lineRule="exact"/>
      <w:ind w:firstLine="200" w:firstLineChars="200"/>
    </w:pPr>
    <w:rPr>
      <w:rFonts w:ascii="宋体" w:hAnsi="宋体"/>
      <w:sz w:val="24"/>
      <w:szCs w:val="20"/>
    </w:rPr>
  </w:style>
  <w:style w:type="character" w:customStyle="1" w:styleId="361">
    <w:name w:val="样式 正文文本缩进 + Char"/>
    <w:link w:val="362"/>
    <w:qFormat/>
    <w:locked/>
    <w:uiPriority w:val="0"/>
    <w:rPr>
      <w:rFonts w:ascii="宋体" w:hAnsi="宋体"/>
      <w:sz w:val="24"/>
      <w:szCs w:val="21"/>
    </w:rPr>
  </w:style>
  <w:style w:type="paragraph" w:customStyle="1" w:styleId="362">
    <w:name w:val="样式 正文文本缩进 +"/>
    <w:basedOn w:val="19"/>
    <w:link w:val="361"/>
    <w:qFormat/>
    <w:uiPriority w:val="0"/>
    <w:pPr>
      <w:widowControl/>
      <w:autoSpaceDE w:val="0"/>
      <w:autoSpaceDN w:val="0"/>
      <w:adjustRightInd w:val="0"/>
      <w:snapToGrid w:val="0"/>
      <w:spacing w:after="0" w:line="360" w:lineRule="auto"/>
      <w:ind w:left="0" w:leftChars="0" w:firstLine="192" w:firstLineChars="192"/>
      <w:jc w:val="left"/>
    </w:pPr>
    <w:rPr>
      <w:rFonts w:ascii="宋体" w:hAnsi="宋体"/>
      <w:szCs w:val="21"/>
    </w:rPr>
  </w:style>
  <w:style w:type="character" w:customStyle="1" w:styleId="363">
    <w:name w:val="表头一 Char"/>
    <w:link w:val="364"/>
    <w:qFormat/>
    <w:locked/>
    <w:uiPriority w:val="0"/>
    <w:rPr>
      <w:rFonts w:ascii="仿宋_GB2312" w:eastAsia="黑体"/>
      <w:b/>
      <w:color w:val="000000"/>
      <w:kern w:val="2"/>
      <w:sz w:val="24"/>
      <w:szCs w:val="28"/>
    </w:rPr>
  </w:style>
  <w:style w:type="paragraph" w:customStyle="1" w:styleId="364">
    <w:name w:val="表头一"/>
    <w:basedOn w:val="1"/>
    <w:link w:val="363"/>
    <w:qFormat/>
    <w:uiPriority w:val="0"/>
    <w:pPr>
      <w:spacing w:beforeLines="50" w:line="360" w:lineRule="auto"/>
      <w:jc w:val="center"/>
    </w:pPr>
    <w:rPr>
      <w:rFonts w:ascii="仿宋_GB2312" w:eastAsia="黑体"/>
      <w:b/>
      <w:color w:val="000000"/>
      <w:sz w:val="24"/>
      <w:szCs w:val="28"/>
    </w:rPr>
  </w:style>
  <w:style w:type="character" w:customStyle="1" w:styleId="365">
    <w:name w:val="应用正文 Char"/>
    <w:link w:val="366"/>
    <w:qFormat/>
    <w:locked/>
    <w:uiPriority w:val="0"/>
    <w:rPr>
      <w:rFonts w:ascii="仿宋_GB2312" w:eastAsia="仿宋_GB2312"/>
      <w:kern w:val="2"/>
      <w:sz w:val="28"/>
    </w:rPr>
  </w:style>
  <w:style w:type="paragraph" w:customStyle="1" w:styleId="366">
    <w:name w:val="应用正文"/>
    <w:basedOn w:val="1"/>
    <w:link w:val="365"/>
    <w:qFormat/>
    <w:uiPriority w:val="0"/>
    <w:pPr>
      <w:spacing w:line="360" w:lineRule="auto"/>
      <w:ind w:firstLine="560" w:firstLineChars="200"/>
    </w:pPr>
    <w:rPr>
      <w:rFonts w:ascii="仿宋_GB2312" w:eastAsia="仿宋_GB2312"/>
      <w:sz w:val="28"/>
      <w:szCs w:val="20"/>
    </w:rPr>
  </w:style>
  <w:style w:type="character" w:customStyle="1" w:styleId="367">
    <w:name w:val="正文文本最新 Char Char Char Char1 Char Char Char Char Char Char1 Char"/>
    <w:link w:val="368"/>
    <w:qFormat/>
    <w:locked/>
    <w:uiPriority w:val="0"/>
    <w:rPr>
      <w:bCs/>
      <w:kern w:val="2"/>
      <w:sz w:val="28"/>
      <w:szCs w:val="24"/>
    </w:rPr>
  </w:style>
  <w:style w:type="paragraph" w:customStyle="1" w:styleId="368">
    <w:name w:val="正文文本最新 Char Char Char Char1 Char Char Char Char Char Char1"/>
    <w:basedOn w:val="1"/>
    <w:link w:val="367"/>
    <w:qFormat/>
    <w:uiPriority w:val="0"/>
    <w:pPr>
      <w:spacing w:line="360" w:lineRule="auto"/>
      <w:ind w:firstLine="200" w:firstLineChars="200"/>
    </w:pPr>
    <w:rPr>
      <w:bCs/>
      <w:sz w:val="28"/>
    </w:rPr>
  </w:style>
  <w:style w:type="character" w:customStyle="1" w:styleId="369">
    <w:name w:val="表头常用 字符"/>
    <w:link w:val="370"/>
    <w:qFormat/>
    <w:locked/>
    <w:uiPriority w:val="0"/>
    <w:rPr>
      <w:rFonts w:ascii="黑体" w:hAnsi="黑体" w:eastAsia="黑体"/>
      <w:kern w:val="2"/>
      <w:sz w:val="21"/>
      <w:szCs w:val="21"/>
    </w:rPr>
  </w:style>
  <w:style w:type="paragraph" w:customStyle="1" w:styleId="370">
    <w:name w:val="表头常用"/>
    <w:basedOn w:val="1"/>
    <w:link w:val="369"/>
    <w:qFormat/>
    <w:uiPriority w:val="0"/>
    <w:pPr>
      <w:widowControl/>
      <w:spacing w:line="500" w:lineRule="exact"/>
      <w:jc w:val="center"/>
    </w:pPr>
    <w:rPr>
      <w:rFonts w:ascii="黑体" w:hAnsi="黑体" w:eastAsia="黑体"/>
      <w:szCs w:val="21"/>
    </w:rPr>
  </w:style>
  <w:style w:type="paragraph" w:customStyle="1" w:styleId="371">
    <w:name w:val="我的正文"/>
    <w:basedOn w:val="1"/>
    <w:link w:val="374"/>
    <w:qFormat/>
    <w:uiPriority w:val="0"/>
    <w:pPr>
      <w:spacing w:line="460" w:lineRule="exact"/>
      <w:ind w:firstLine="482"/>
    </w:pPr>
    <w:rPr>
      <w:sz w:val="24"/>
    </w:rPr>
  </w:style>
  <w:style w:type="paragraph" w:customStyle="1" w:styleId="372">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line="252" w:lineRule="auto"/>
      <w:jc w:val="left"/>
      <w:textAlignment w:val="top"/>
    </w:pPr>
    <w:rPr>
      <w:rFonts w:ascii="Arial Unicode MS" w:hAnsi="Arial Unicode MS" w:eastAsia="Arial Unicode MS" w:cs="Arial Unicode MS"/>
      <w:kern w:val="0"/>
      <w:sz w:val="24"/>
      <w:szCs w:val="22"/>
      <w:lang w:eastAsia="en-US" w:bidi="en-US"/>
    </w:rPr>
  </w:style>
  <w:style w:type="character" w:customStyle="1" w:styleId="373">
    <w:name w:val="电子邮件签名 Char"/>
    <w:basedOn w:val="50"/>
    <w:link w:val="13"/>
    <w:qFormat/>
    <w:uiPriority w:val="0"/>
    <w:rPr>
      <w:color w:val="000000"/>
      <w:kern w:val="21"/>
      <w:sz w:val="24"/>
      <w:lang w:val="de-DE"/>
    </w:rPr>
  </w:style>
  <w:style w:type="character" w:customStyle="1" w:styleId="374">
    <w:name w:val="我的正文 Char Char"/>
    <w:link w:val="371"/>
    <w:qFormat/>
    <w:uiPriority w:val="0"/>
    <w:rPr>
      <w:kern w:val="2"/>
      <w:sz w:val="24"/>
      <w:szCs w:val="24"/>
    </w:rPr>
  </w:style>
  <w:style w:type="character" w:customStyle="1" w:styleId="375">
    <w:name w:val="arr"/>
    <w:qFormat/>
    <w:uiPriority w:val="0"/>
    <w:rPr>
      <w:rFonts w:ascii="Times New Roman" w:hAnsi="Times New Roman" w:eastAsia="宋体" w:cs="Times New Roman"/>
    </w:rPr>
  </w:style>
  <w:style w:type="paragraph" w:customStyle="1" w:styleId="376">
    <w:name w:val="1表格"/>
    <w:qFormat/>
    <w:uiPriority w:val="0"/>
    <w:pPr>
      <w:widowControl w:val="0"/>
      <w:snapToGrid w:val="0"/>
      <w:jc w:val="center"/>
      <w:outlineLvl w:val="4"/>
    </w:pPr>
    <w:rPr>
      <w:rFonts w:ascii="Times New Roman" w:hAnsi="Times New Roman" w:eastAsia="宋体" w:cs="Times New Roman"/>
      <w:spacing w:val="4"/>
      <w:kern w:val="2"/>
      <w:sz w:val="21"/>
      <w:szCs w:val="24"/>
      <w:lang w:val="en-US" w:eastAsia="zh-CN" w:bidi="ar-SA"/>
    </w:rPr>
  </w:style>
  <w:style w:type="paragraph" w:customStyle="1" w:styleId="377">
    <w:name w:val="Char Char Char3 Char"/>
    <w:basedOn w:val="1"/>
    <w:qFormat/>
    <w:uiPriority w:val="0"/>
    <w:pPr>
      <w:spacing w:line="360" w:lineRule="auto"/>
      <w:ind w:firstLine="200" w:firstLineChars="200"/>
    </w:pPr>
    <w:rPr>
      <w:szCs w:val="22"/>
    </w:rPr>
  </w:style>
  <w:style w:type="paragraph" w:customStyle="1" w:styleId="378">
    <w:name w:val="Table Text"/>
    <w:basedOn w:val="1"/>
    <w:semiHidden/>
    <w:qFormat/>
    <w:uiPriority w:val="0"/>
    <w:rPr>
      <w:rFonts w:ascii="宋体" w:hAnsi="宋体" w:eastAsia="宋体" w:cs="宋体"/>
      <w:sz w:val="21"/>
      <w:szCs w:val="21"/>
      <w:lang w:val="en-US" w:eastAsia="en-US" w:bidi="ar-SA"/>
    </w:rPr>
  </w:style>
  <w:style w:type="table" w:customStyle="1" w:styleId="379">
    <w:name w:val="Table Normal"/>
    <w:semiHidden/>
    <w:unhideWhenUsed/>
    <w:qFormat/>
    <w:uiPriority w:val="0"/>
    <w:tblPr>
      <w:tblCellMar>
        <w:top w:w="0" w:type="dxa"/>
        <w:left w:w="0" w:type="dxa"/>
        <w:bottom w:w="0" w:type="dxa"/>
        <w:right w:w="0" w:type="dxa"/>
      </w:tblCellMar>
    </w:tblPr>
  </w:style>
  <w:style w:type="character" w:customStyle="1" w:styleId="380">
    <w:name w:val="font31"/>
    <w:basedOn w:val="50"/>
    <w:qFormat/>
    <w:uiPriority w:val="0"/>
    <w:rPr>
      <w:rFonts w:hint="eastAsia" w:ascii="宋体" w:hAnsi="宋体" w:eastAsia="宋体" w:cs="宋体"/>
      <w:color w:val="000000"/>
      <w:sz w:val="22"/>
      <w:szCs w:val="22"/>
      <w:u w:val="none"/>
    </w:rPr>
  </w:style>
  <w:style w:type="character" w:customStyle="1" w:styleId="381">
    <w:name w:val="font11"/>
    <w:basedOn w:val="50"/>
    <w:qFormat/>
    <w:uiPriority w:val="0"/>
    <w:rPr>
      <w:rFonts w:hint="default" w:ascii="Times New Roman Regular" w:hAnsi="Times New Roman Regular" w:eastAsia="Times New Roman Regular" w:cs="Times New Roman Regular"/>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footer" Target="footer4.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jpe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jpeg"/><Relationship Id="rId50" Type="http://schemas.openxmlformats.org/officeDocument/2006/relationships/image" Target="media/image38.jpeg"/><Relationship Id="rId5" Type="http://schemas.openxmlformats.org/officeDocument/2006/relationships/footer" Target="footer3.xml"/><Relationship Id="rId49" Type="http://schemas.openxmlformats.org/officeDocument/2006/relationships/image" Target="media/image37.jpe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jpe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jpeg"/><Relationship Id="rId4" Type="http://schemas.openxmlformats.org/officeDocument/2006/relationships/footer" Target="footer2.xml"/><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hyperlink" Target="http://www.biaozhi.net/eNews/news/200602/0029_0000000909.shtml" TargetMode="External"/><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er" Target="foot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8"/>
    <customShpInfo spid="_x0000_s2076"/>
    <customShpInfo spid="_x0000_s2080"/>
    <customShpInfo spid="_x0000_s2082"/>
    <customShpInfo spid="_x0000_s2084"/>
    <customShpInfo spid="_x0000_s2085"/>
    <customShpInfo spid="_x0000_s2086"/>
    <customShpInfo spid="_x0000_s2087"/>
    <customShpInfo spid="_x0000_s2088"/>
    <customShpInfo spid="_x0000_s2090"/>
    <customShpInfo spid="_x0000_s2092"/>
    <customShpInfo spid="_x0000_s2094"/>
    <customShpInfo spid="_x0000_s2096"/>
    <customShpInfo spid="_x0000_s2097"/>
    <customShpInfo spid="_x0000_s2098"/>
    <customShpInfo spid="_x0000_s2099"/>
    <customShpInfo spid="_x0000_s2100"/>
    <customShpInfo spid="_x0000_s2101"/>
    <customShpInfo spid="_x0000_s2102"/>
    <customShpInfo spid="_x0000_s2104"/>
    <customShpInfo spid="_x0000_s2105"/>
    <customShpInfo spid="_x0000_s2107"/>
    <customShpInfo spid="_x0000_s2118"/>
    <customShpInfo spid="_x0000_s2119"/>
    <customShpInfo spid="_x0000_s2131"/>
    <customShpInfo spid="_x0000_s2070"/>
    <customShpInfo spid="_x0000_s2069"/>
    <customShpInfo spid="_x0000_s2063"/>
    <customShpInfo spid="_x0000_s2071"/>
    <customShpInfo spid="_x0000_s2072"/>
    <customShpInfo spid="_x0000_s2073"/>
    <customShpInfo spid="_x0000_s2074"/>
    <customShpInfo spid="_x0000_s2075"/>
    <customShpInfo spid="_x0000_s2077"/>
    <customShpInfo spid="_x0000_s2078"/>
    <customShpInfo spid="_x0000_s2079"/>
    <customShpInfo spid="_x0000_s2081"/>
    <customShpInfo spid="_x0000_s2095"/>
    <customShpInfo spid="_x0000_s2083"/>
    <customShpInfo spid="_x0000_s2093"/>
    <customShpInfo spid="_x0000_s2091"/>
    <customShpInfo spid="_x0000_s2089"/>
    <customShpInfo spid="_x0000_s2110"/>
    <customShpInfo spid="_x0000_s2112"/>
    <customShpInfo spid="_x0000_s2109"/>
    <customShpInfo spid="_x0000_s2103"/>
    <customShpInfo spid="_x0000_s2111"/>
    <customShpInfo spid="_x0000_s2115"/>
    <customShpInfo spid="_x0000_s2114"/>
    <customShpInfo spid="_x0000_s2113"/>
    <customShpInfo spid="_x0000_s2108"/>
    <customShpInfo spid="_x0000_s2106"/>
    <customShpInfo spid="_x0000_s2116"/>
    <customShpInfo spid="_x0000_s2117"/>
    <customShpInfo spid="_x0000_s2120"/>
    <customShpInfo spid="_x0000_s2121"/>
    <customShpInfo spid="_x0000_s2123"/>
    <customShpInfo spid="_x0000_s2124"/>
    <customShpInfo spid="_x0000_s2125"/>
    <customShpInfo spid="_x0000_s2134"/>
    <customShpInfo spid="_x0000_s2136"/>
    <customShpInfo spid="_x0000_s2137"/>
    <customShpInfo spid="_x0000_s2140"/>
    <customShpInfo spid="_x0000_s2143"/>
    <customShpInfo spid="_x0000_s2144"/>
    <customShpInfo spid="_x0000_s2145"/>
    <customShpInfo spid="_x0000_s2146"/>
    <customShpInfo spid="_x0000_s2147"/>
    <customShpInfo spid="_x0000_s2148"/>
    <customShpInfo spid="_x0000_s2151"/>
    <customShpInfo spid="_x0000_s2152"/>
    <customShpInfo spid="_x0000_s2153"/>
    <customShpInfo spid="_x0000_s2154"/>
    <customShpInfo spid="_x0000_s2155"/>
    <customShpInfo spid="_x0000_s2163"/>
    <customShpInfo spid="_x0000_s2164"/>
    <customShpInfo spid="_x0000_s2171"/>
    <customShpInfo spid="_x0000_s2172"/>
    <customShpInfo spid="_x0000_s2177"/>
    <customShpInfo spid="_x0000_s2178"/>
    <customShpInfo spid="_x0000_s2184"/>
    <customShpInfo spid="_x0000_s2192"/>
    <customShpInfo spid="_x0000_s2232"/>
    <customShpInfo spid="_x0000_s2233"/>
    <customShpInfo spid="_x0000_s2374"/>
    <customShpInfo spid="_x0000_s2246"/>
    <customShpInfo spid="_x0000_s2249"/>
    <customShpInfo spid="_x0000_s2240"/>
    <customShpInfo spid="_x0000_s2245"/>
    <customShpInfo spid="_x0000_s2248"/>
    <customShpInfo spid="_x0000_s2244"/>
    <customShpInfo spid="_x0000_s2247"/>
    <customShpInfo spid="_x0000_s2241"/>
    <customShpInfo spid="_x0000_s2242"/>
    <customShpInfo spid="_x0000_s2243"/>
    <customShpInfo spid="_x0000_s2250"/>
    <customShpInfo spid="_x0000_s2251"/>
    <customShpInfo spid="_x0000_s2252"/>
    <customShpInfo spid="_x0000_s2253"/>
    <customShpInfo spid="_x0000_s2254"/>
    <customShpInfo spid="_x0000_s2256"/>
    <customShpInfo spid="_x0000_s2255"/>
    <customShpInfo spid="_x0000_s2258"/>
    <customShpInfo spid="_x0000_s2257"/>
    <customShpInfo spid="_x0000_s2260"/>
    <customShpInfo spid="_x0000_s2259"/>
    <customShpInfo spid="_x0000_s2261"/>
    <customShpInfo spid="_x0000_s2262"/>
    <customShpInfo spid="_x0000_s2263"/>
    <customShpInfo spid="_x0000_s2264"/>
    <customShpInfo spid="_x0000_s2266"/>
    <customShpInfo spid="_x0000_s2265"/>
    <customShpInfo spid="_x0000_s2375"/>
    <customShpInfo spid="_x0000_s2273"/>
    <customShpInfo spid="_x0000_s2276"/>
    <customShpInfo spid="_x0000_s2268"/>
    <customShpInfo spid="_x0000_s2272"/>
    <customShpInfo spid="_x0000_s2275"/>
    <customShpInfo spid="_x0000_s2277"/>
    <customShpInfo spid="_x0000_s2274"/>
    <customShpInfo spid="_x0000_s2269"/>
    <customShpInfo spid="_x0000_s2267"/>
    <customShpInfo spid="_x0000_s2270"/>
    <customShpInfo spid="_x0000_s2271"/>
    <customShpInfo spid="_x0000_s2278"/>
    <customShpInfo spid="_x0000_s2285"/>
    <customShpInfo spid="_x0000_s2291"/>
    <customShpInfo spid="_x0000_s2286"/>
    <customShpInfo spid="_x0000_s2283"/>
    <customShpInfo spid="_x0000_s2284"/>
    <customShpInfo spid="_x0000_s2290"/>
    <customShpInfo spid="_x0000_s2282"/>
    <customShpInfo spid="_x0000_s2280"/>
    <customShpInfo spid="_x0000_s2281"/>
    <customShpInfo spid="_x0000_s2279"/>
    <customShpInfo spid="_x0000_s2287"/>
    <customShpInfo spid="_x0000_s2289"/>
    <customShpInfo spid="_x0000_s2288"/>
    <customShpInfo spid="_x0000_s2292"/>
    <customShpInfo spid="_x0000_s2294"/>
    <customShpInfo spid="_x0000_s2295"/>
    <customShpInfo spid="_x0000_s2296"/>
    <customShpInfo spid="_x0000_s2297"/>
    <customShpInfo spid="_x0000_s2298"/>
    <customShpInfo spid="_x0000_s2299"/>
    <customShpInfo spid="_x0000_s2300"/>
    <customShpInfo spid="_x0000_s2302"/>
    <customShpInfo spid="_x0000_s2301"/>
    <customShpInfo spid="_x0000_s2303"/>
    <customShpInfo spid="_x0000_s2304"/>
    <customShpInfo spid="_x0000_s2067"/>
    <customShpInfo spid="_x0000_s2122"/>
    <customShpInfo spid="_x0000_s2126"/>
    <customShpInfo spid="_x0000_s2127"/>
    <customShpInfo spid="_x0000_s2128"/>
    <customShpInfo spid="_x0000_s2313"/>
    <customShpInfo spid="_x0000_s2317"/>
    <customShpInfo spid="_x0000_s2307"/>
    <customShpInfo spid="_x0000_s2312"/>
    <customShpInfo spid="_x0000_s2316"/>
    <customShpInfo spid="_x0000_s2314"/>
    <customShpInfo spid="_x0000_s2315"/>
    <customShpInfo spid="_x0000_s2309"/>
    <customShpInfo spid="_x0000_s2305"/>
    <customShpInfo spid="_x0000_s2310"/>
    <customShpInfo spid="_x0000_s2311"/>
    <customShpInfo spid="_x0000_s2318"/>
    <customShpInfo spid="_x0000_s2323"/>
    <customShpInfo spid="_x0000_s2328"/>
    <customShpInfo spid="_x0000_s2326"/>
    <customShpInfo spid="_x0000_s2321"/>
    <customShpInfo spid="_x0000_s2322"/>
    <customShpInfo spid="_x0000_s2327"/>
    <customShpInfo spid="_x0000_s2325"/>
    <customShpInfo spid="_x0000_s2319"/>
    <customShpInfo spid="_x0000_s2320"/>
    <customShpInfo spid="_x0000_s2324"/>
    <customShpInfo spid="_x0000_s2332"/>
    <customShpInfo spid="_x0000_s2330"/>
    <customShpInfo spid="_x0000_s2308"/>
    <customShpInfo spid="_x0000_s2306"/>
    <customShpInfo spid="_x0000_s2339"/>
    <customShpInfo spid="_x0000_s2377"/>
    <customShpInfo spid="_x0000_s2348"/>
    <customShpInfo spid="_x0000_s2352"/>
    <customShpInfo spid="_x0000_s2342"/>
    <customShpInfo spid="_x0000_s2347"/>
    <customShpInfo spid="_x0000_s2351"/>
    <customShpInfo spid="_x0000_s2349"/>
    <customShpInfo spid="_x0000_s2350"/>
    <customShpInfo spid="_x0000_s2344"/>
    <customShpInfo spid="_x0000_s2340"/>
    <customShpInfo spid="_x0000_s2345"/>
    <customShpInfo spid="_x0000_s2353"/>
    <customShpInfo spid="_x0000_s2356"/>
    <customShpInfo spid="_x0000_s2364"/>
    <customShpInfo spid="_x0000_s2362"/>
    <customShpInfo spid="_x0000_s2355"/>
    <customShpInfo spid="_x0000_s2357"/>
    <customShpInfo spid="_x0000_s2363"/>
    <customShpInfo spid="_x0000_s2361"/>
    <customShpInfo spid="_x0000_s2354"/>
    <customShpInfo spid="_x0000_s2358"/>
    <customShpInfo spid="_x0000_s2360"/>
    <customShpInfo spid="_x0000_s2359"/>
    <customShpInfo spid="_x0000_s2366"/>
    <customShpInfo spid="_x0000_s2343"/>
    <customShpInfo spid="_x0000_s2341"/>
    <customShpInfo spid="_x0000_s2370"/>
    <customShpInfo spid="_x0000_s2367"/>
    <customShpInfo spid="_x0000_s2369"/>
    <customShpInfo spid="_x0000_s2365"/>
    <customShpInfo spid="_x0000_s2346"/>
    <customShpInfo spid="_x0000_s2371"/>
    <customShpInfo spid="_x0000_s2373"/>
    <customShpInfo spid="_x0000_s2372"/>
    <customShpInfo spid="_x0000_s2378"/>
    <customShpInfo spid="_x0000_s2051"/>
    <customShpInfo spid="_x0000_s2052"/>
    <customShpInfo spid="_x0000_s2050"/>
    <customShpInfo spid="_x0000_s2054"/>
    <customShpInfo spid="_x0000_s2055"/>
    <customShpInfo spid="_x0000_s2056"/>
    <customShpInfo spid="_x0000_s2057"/>
    <customShpInfo spid="_x0000_s2058"/>
    <customShpInfo spid="_x0000_s2059"/>
    <customShpInfo spid="_x0000_s2060"/>
    <customShpInfo spid="_x0000_s2061"/>
    <customShpInfo spid="_x0000_s2053"/>
    <customShpInfo spid="_x0000_s2064"/>
    <customShpInfo spid="_x0000_s2142"/>
    <customShpInfo spid="_x0000_s2065"/>
    <customShpInfo spid="_x0000_s2066"/>
    <customShpInfo spid="_x0000_s2062"/>
    <customShpInfo spid="_x0000_s2150"/>
    <customShpInfo spid="_x0000_s2181"/>
    <customShpInfo spid="_x0000_s2182"/>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398"/>
    <customShpInfo spid="_x0000_s2399"/>
    <customShpInfo spid="_x0000_s2400"/>
    <customShpInfo spid="_x0000_s2214"/>
    <customShpInfo spid="_x0000_s2216"/>
    <customShpInfo spid="_x0000_s2217"/>
    <customShpInfo spid="_x0000_s2215"/>
    <customShpInfo spid="_x0000_s2219"/>
    <customShpInfo spid="_x0000_s2220"/>
    <customShpInfo spid="_x0000_s2218"/>
    <customShpInfo spid="_x0000_s2222"/>
    <customShpInfo spid="_x0000_s2223"/>
    <customShpInfo spid="_x0000_s2221"/>
    <customShpInfo spid="_x0000_s2225"/>
    <customShpInfo spid="_x0000_s2226"/>
    <customShpInfo spid="_x0000_s2227"/>
    <customShpInfo spid="_x0000_s2224"/>
    <customShpInfo spid="_x0000_s2228"/>
    <customShpInfo spid="_x0000_s2133"/>
    <customShpInfo spid="_x0000_s2234"/>
    <customShpInfo spid="_x0000_s2229"/>
    <customShpInfo spid="_x0000_s2230"/>
    <customShpInfo spid="_x0000_s2231"/>
    <customShpInfo spid="_x0000_s2235"/>
    <customShpInfo spid="_x0000_s2237"/>
    <customShpInfo spid="_x0000_s2236"/>
    <customShpInfo spid="_x0000_s2238"/>
    <customShpInfo spid="_x0000_s2239"/>
    <customShpInfo spid="_x0000_s2329"/>
    <customShpInfo spid="_x0000_s2293"/>
    <customShpInfo spid="_x0000_s2331"/>
    <customShpInfo spid="_x0000_s2333"/>
    <customShpInfo spid="_x0000_s2334"/>
    <customShpInfo spid="_x0000_s2335"/>
    <customShpInfo spid="_x0000_s2336"/>
    <customShpInfo spid="_x0000_s2380"/>
    <customShpInfo spid="_x0000_s2337"/>
    <customShpInfo spid="_x0000_s2338"/>
    <customShpInfo spid="_x0000_s2368"/>
    <customShpInfo spid="_x0000_s2379"/>
    <customShpInfo spid="_x0000_s2381"/>
    <customShpInfo spid="_x0000_s2383"/>
    <customShpInfo spid="_x0000_s2382"/>
    <customShpInfo spid="_x0000_s2384"/>
    <customShpInfo spid="_x0000_s2385"/>
    <customShpInfo spid="_x0000_s2386"/>
    <customShpInfo spid="_x0000_s2387"/>
    <customShpInfo spid="_x0000_s2388"/>
    <customShpInfo spid="_x0000_s2389"/>
    <customShpInfo spid="_x0000_s2391"/>
    <customShpInfo spid="_x0000_s2390"/>
    <customShpInfo spid="_x0000_s2393"/>
    <customShpInfo spid="_x0000_s2392"/>
    <customShpInfo spid="_x0000_s2394"/>
    <customShpInfo spid="_x0000_s2395"/>
    <customShpInfo spid="_x0000_s2396"/>
    <customShpInfo spid="_x0000_s23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101</Pages>
  <Words>47242</Words>
  <Characters>55012</Characters>
  <Lines>322</Lines>
  <Paragraphs>90</Paragraphs>
  <TotalTime>6</TotalTime>
  <ScaleCrop>false</ScaleCrop>
  <LinksUpToDate>false</LinksUpToDate>
  <CharactersWithSpaces>55525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轩</cp:lastModifiedBy>
  <cp:lastPrinted>2021-08-17T03:49:00Z</cp:lastPrinted>
  <dcterms:modified xsi:type="dcterms:W3CDTF">2026-09-24T01:09:18Z</dcterms:modified>
  <dc:title>附件2</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eyJoZGlkIjoiOTkwNWU4YjU5MTZkNTM0ZjdmOGNiMjRkNzk2ZDY4ZjIiLCJ1c2VySWQiOiI2MDEyMzk5MDUifQ==</vt:lpwstr>
  </property>
  <property fmtid="{D5CDD505-2E9C-101B-9397-08002B2CF9AE}" pid="4" name="ICV">
    <vt:lpwstr>512C49176EF64A04B0BF16C6ED7CB647_12</vt:lpwstr>
  </property>
</Properties>
</file>