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68C9FE">
      <w:pPr>
        <w:wordWrap w:val="0"/>
        <w:jc w:val="right"/>
        <w:rPr>
          <w:rFonts w:hint="eastAsia" w:ascii="仿宋_GB2312" w:eastAsia="仿宋_GB2312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                                                                                                                                   </w:t>
      </w:r>
    </w:p>
    <w:p w14:paraId="567C5BB3">
      <w:pPr>
        <w:wordWrap w:val="0"/>
        <w:jc w:val="right"/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同</w:t>
      </w:r>
      <w:r>
        <w:rPr>
          <w:rFonts w:hint="eastAsia" w:asci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开</w:t>
      </w:r>
      <w:r>
        <w:rPr>
          <w:rFonts w:hint="eastAsia" w:ascii="仿宋_GB2312" w:eastAsia="仿宋_GB2312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审批</w:t>
      </w:r>
      <w:r>
        <w:rPr>
          <w:rFonts w:hint="eastAsia" w:asci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环函〔20</w:t>
      </w:r>
      <w:r>
        <w:rPr>
          <w:rFonts w:hint="eastAsia" w:ascii="仿宋_GB2312" w:eastAsia="仿宋_GB2312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24</w:t>
      </w:r>
      <w:r>
        <w:rPr>
          <w:rFonts w:hint="eastAsia" w:asci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〕</w:t>
      </w:r>
      <w:r>
        <w:rPr>
          <w:rFonts w:hint="eastAsia" w:ascii="仿宋_GB2312" w:eastAsia="仿宋_GB2312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号</w:t>
      </w:r>
    </w:p>
    <w:p w14:paraId="4CE6BB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000000"/>
          <w:sz w:val="44"/>
          <w:szCs w:val="44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 w:val="0"/>
          <w:color w:val="2B2B2B"/>
          <w:kern w:val="0"/>
          <w:sz w:val="44"/>
          <w:szCs w:val="44"/>
        </w:rPr>
        <w:t>关于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国药威奇达药业有限公司</w:t>
      </w:r>
      <w:r>
        <w:rPr>
          <w:rFonts w:hint="eastAsia" w:ascii="宋体" w:hAnsi="宋体" w:eastAsia="宋体" w:cs="宋体"/>
          <w:b/>
          <w:bCs/>
          <w:color w:val="000000"/>
          <w:sz w:val="44"/>
          <w:szCs w:val="44"/>
          <w:lang w:eastAsia="zh-CN"/>
        </w:rPr>
        <w:t>制剂</w:t>
      </w:r>
    </w:p>
    <w:p w14:paraId="12BC6F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仿宋" w:hAnsi="仿宋" w:eastAsia="仿宋" w:cs="仿宋"/>
          <w:b/>
          <w:bCs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44"/>
          <w:szCs w:val="44"/>
          <w:lang w:eastAsia="zh-CN"/>
        </w:rPr>
        <w:t>生产线综合提升项目</w:t>
      </w:r>
      <w:r>
        <w:rPr>
          <w:rFonts w:hint="eastAsia" w:asciiTheme="minorEastAsia" w:hAnsiTheme="minorEastAsia" w:eastAsiaTheme="minorEastAsia" w:cstheme="minorEastAsia"/>
          <w:b/>
          <w:bCs w:val="0"/>
          <w:sz w:val="44"/>
          <w:szCs w:val="44"/>
        </w:rPr>
        <w:t>环境影响</w:t>
      </w:r>
      <w:r>
        <w:rPr>
          <w:rFonts w:hint="eastAsia" w:asciiTheme="minorEastAsia" w:hAnsiTheme="minorEastAsia" w:eastAsiaTheme="minorEastAsia" w:cstheme="minorEastAsia"/>
          <w:b/>
          <w:bCs w:val="0"/>
          <w:color w:val="2B2B2B"/>
          <w:kern w:val="0"/>
          <w:sz w:val="44"/>
          <w:szCs w:val="44"/>
        </w:rPr>
        <w:t>报告</w:t>
      </w:r>
      <w:r>
        <w:rPr>
          <w:rFonts w:hint="eastAsia" w:asciiTheme="minorEastAsia" w:hAnsiTheme="minorEastAsia" w:eastAsiaTheme="minorEastAsia" w:cstheme="minorEastAsia"/>
          <w:b/>
          <w:bCs w:val="0"/>
          <w:color w:val="2B2B2B"/>
          <w:kern w:val="0"/>
          <w:sz w:val="44"/>
          <w:szCs w:val="44"/>
          <w:lang w:val="en-US" w:eastAsia="zh-CN"/>
        </w:rPr>
        <w:t>表</w:t>
      </w:r>
      <w:r>
        <w:rPr>
          <w:rFonts w:hint="eastAsia" w:asciiTheme="minorEastAsia" w:hAnsiTheme="minorEastAsia" w:eastAsiaTheme="minorEastAsia" w:cstheme="minorEastAsia"/>
          <w:b/>
          <w:bCs w:val="0"/>
          <w:color w:val="2B2B2B"/>
          <w:kern w:val="0"/>
          <w:sz w:val="44"/>
          <w:szCs w:val="44"/>
        </w:rPr>
        <w:t>的批复</w:t>
      </w:r>
    </w:p>
    <w:p w14:paraId="31D2A00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</w:rPr>
      </w:pPr>
    </w:p>
    <w:p w14:paraId="721A6D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国药威奇达药业有限公司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 w14:paraId="5ECD01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你公司报送的《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国药威奇达药业有限公司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制剂生产线综合提升项目</w:t>
      </w:r>
      <w:r>
        <w:rPr>
          <w:rFonts w:hint="eastAsia" w:ascii="仿宋" w:hAnsi="仿宋" w:eastAsia="仿宋" w:cs="仿宋"/>
          <w:sz w:val="32"/>
          <w:szCs w:val="32"/>
        </w:rPr>
        <w:t>环境影响报告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表</w:t>
      </w:r>
      <w:r>
        <w:rPr>
          <w:rFonts w:hint="eastAsia" w:ascii="仿宋" w:hAnsi="仿宋" w:eastAsia="仿宋" w:cs="仿宋"/>
          <w:sz w:val="32"/>
          <w:szCs w:val="32"/>
        </w:rPr>
        <w:t>》（以下简称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“</w:t>
      </w:r>
      <w:r>
        <w:rPr>
          <w:rFonts w:hint="eastAsia" w:ascii="仿宋" w:hAnsi="仿宋" w:eastAsia="仿宋" w:cs="仿宋"/>
          <w:sz w:val="32"/>
          <w:szCs w:val="32"/>
        </w:rPr>
        <w:t>报告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”</w:t>
      </w:r>
      <w:r>
        <w:rPr>
          <w:rFonts w:hint="eastAsia" w:ascii="仿宋" w:hAnsi="仿宋" w:eastAsia="仿宋" w:cs="仿宋"/>
          <w:sz w:val="32"/>
          <w:szCs w:val="32"/>
        </w:rPr>
        <w:t>）收悉，经研究，批复如下：</w:t>
      </w:r>
    </w:p>
    <w:p w14:paraId="7A0273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一、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国药威奇达药业有限公司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制剂生产线综合提升项目</w:t>
      </w:r>
      <w:r>
        <w:rPr>
          <w:rFonts w:hint="eastAsia" w:ascii="仿宋" w:hAnsi="仿宋" w:eastAsia="仿宋" w:cs="仿宋"/>
          <w:sz w:val="32"/>
          <w:szCs w:val="32"/>
        </w:rPr>
        <w:t>位于大同经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济技术</w:t>
      </w:r>
      <w:r>
        <w:rPr>
          <w:rFonts w:hint="eastAsia" w:ascii="仿宋" w:hAnsi="仿宋" w:eastAsia="仿宋" w:cs="仿宋"/>
          <w:sz w:val="32"/>
          <w:szCs w:val="32"/>
        </w:rPr>
        <w:t>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发</w:t>
      </w:r>
      <w:r>
        <w:rPr>
          <w:rFonts w:hint="eastAsia" w:ascii="仿宋" w:hAnsi="仿宋" w:eastAsia="仿宋" w:cs="仿宋"/>
          <w:sz w:val="32"/>
          <w:szCs w:val="32"/>
        </w:rPr>
        <w:t>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高新技术产业基地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大同经济技术开发区行政审批局于202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6月</w:t>
      </w: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以同开审批函【2021】31号</w:t>
      </w:r>
      <w:r>
        <w:rPr>
          <w:rFonts w:hint="eastAsia" w:ascii="仿宋" w:hAnsi="仿宋" w:eastAsia="仿宋" w:cs="仿宋"/>
          <w:sz w:val="32"/>
          <w:szCs w:val="32"/>
        </w:rPr>
        <w:t>对本项目进行了备案，项目代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2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106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-140251-89-0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-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403194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项目总投资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1632.9</w:t>
      </w:r>
      <w:r>
        <w:rPr>
          <w:rFonts w:hint="eastAsia" w:ascii="仿宋" w:hAnsi="仿宋" w:eastAsia="仿宋" w:cs="仿宋"/>
          <w:sz w:val="32"/>
          <w:szCs w:val="32"/>
        </w:rPr>
        <w:t>万元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其中环保投资3.5万元。主要建设内容及规模：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新增一套十列螺杆充填包装机，一台辊版式铝塑铝泡罩包装机、一套高效包衣机清洗系统、一套高效包衣机自动加浆系统、一套高效包衣机自动加料系统及配套相关设备设施，新增青霉素干混悬剂产能约8700万袋/年。</w:t>
      </w:r>
    </w:p>
    <w:p w14:paraId="14E2CE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在严格落实“报告表”提出的各项环境保护对策措施的情况下，做到污染物达标排放，满足污染物排放总量控制指标的前提下，我局原则同意该项目按专家评审意见修改后的“报告表”及评估报告所确认的项目性质、规模、地点、采取的生产工艺、污染防治措施进行建设。                   </w:t>
      </w:r>
    </w:p>
    <w:p w14:paraId="18425A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二、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在</w:t>
      </w:r>
      <w:r>
        <w:rPr>
          <w:rFonts w:hint="eastAsia" w:ascii="仿宋" w:hAnsi="仿宋" w:eastAsia="仿宋" w:cs="仿宋"/>
          <w:sz w:val="32"/>
          <w:szCs w:val="32"/>
        </w:rPr>
        <w:t>项目设计、建设和运行管理中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要</w:t>
      </w:r>
      <w:r>
        <w:rPr>
          <w:rFonts w:hint="eastAsia" w:ascii="仿宋" w:hAnsi="仿宋" w:eastAsia="仿宋" w:cs="仿宋"/>
          <w:sz w:val="32"/>
          <w:szCs w:val="32"/>
        </w:rPr>
        <w:t>重点做好以下工作：</w:t>
      </w:r>
    </w:p>
    <w:p w14:paraId="6D132A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（1）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认真做好施工期环境保护工作，加强环境管理，落实</w:t>
      </w:r>
      <w:r>
        <w:rPr>
          <w:rFonts w:hint="eastAsia" w:ascii="仿宋" w:hAnsi="仿宋" w:eastAsia="仿宋" w:cs="仿宋"/>
          <w:sz w:val="32"/>
          <w:szCs w:val="32"/>
        </w:rPr>
        <w:t>“报告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表</w:t>
      </w:r>
      <w:r>
        <w:rPr>
          <w:rFonts w:hint="eastAsia" w:ascii="仿宋" w:hAnsi="仿宋" w:eastAsia="仿宋" w:cs="仿宋"/>
          <w:sz w:val="32"/>
          <w:szCs w:val="32"/>
        </w:rPr>
        <w:t>”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提出的各项污染防治措施，降低对周边环境的影响。</w:t>
      </w:r>
    </w:p>
    <w:p w14:paraId="6A6B5B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2）大气污染治理措施。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粉碎过筛、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分装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工序产生的粉尘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分别经2套覆膜除尘器处理，处理后废气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通过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2根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20m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排气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筒排放。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废气中颗粒物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排放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执行《制药工业大气污染物排放标准》（GB37823-2019）表2大气污染物特别排放限值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 </w:t>
      </w:r>
    </w:p>
    <w:p w14:paraId="4509D3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68" w:firstLineChars="209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（3）水污染治理措施。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纯水装置浓水、设备、地面清洁废水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采取“企业自行处理+园区集中处理”的方式，经现有污水处理站处理后进入园区污水管网，最终进入大同市御东污水处理有限责任公司集中处理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废水排放标准执行《大同市御东污水处理有限责任公司污水处理协议》中的相关标准要求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</w:p>
    <w:p w14:paraId="5D550F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（4）固体废弃物污染治理措施。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废包装材料在一般工业固废库房暂存后外售；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除尘器药尘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收集后在危险废物贮存库暂存，定期送大同冀东水泥有限责任公司处置。一般固体废物执行《一般工业固体废物贮存和填埋污染控制标准》(GB 18599-2020)；危险废物执行《危险废物贮存污染控制标准》（GB18597-2023）。</w:t>
      </w:r>
    </w:p>
    <w:p w14:paraId="65894D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68" w:firstLineChars="209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（5）噪声污染治理措施。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选用低噪声设备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；处理车间密闭，并对噪声进行减振处理；加强厂区绿化，减少噪声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对周围环境的影响。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/>
          <w:sz w:val="32"/>
          <w:szCs w:val="32"/>
        </w:rPr>
        <w:t>噪声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东、西、北三侧厂界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执行《工业企业厂界环境噪声排放标准》（GB12348-2008）中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类标准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南侧厂界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执行《工业企业厂界环境噪声排放标准》（GB12348-2008）中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类标准。</w:t>
      </w:r>
    </w:p>
    <w:p w14:paraId="0D0D92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三、严格落实“报告表”提出的环境管理和环境监测计划，加强区域环境质量的监测。</w:t>
      </w:r>
    </w:p>
    <w:p w14:paraId="3437A4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四、</w:t>
      </w:r>
      <w:r>
        <w:rPr>
          <w:rFonts w:hint="eastAsia" w:ascii="仿宋" w:hAnsi="仿宋" w:eastAsia="仿宋" w:cs="仿宋"/>
          <w:sz w:val="32"/>
          <w:szCs w:val="32"/>
        </w:rPr>
        <w:t>建立健全项目信息公开机制，按照《建设项目环境影响评价信息公开机制方案》等要求，及时、如实向社会公开项目相关信息，并主动接受社会监督。</w:t>
      </w:r>
    </w:p>
    <w:p w14:paraId="12F620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五</w:t>
      </w:r>
      <w:r>
        <w:rPr>
          <w:rFonts w:hint="eastAsia" w:ascii="仿宋" w:hAnsi="仿宋" w:eastAsia="仿宋" w:cs="仿宋"/>
          <w:sz w:val="32"/>
          <w:szCs w:val="32"/>
        </w:rPr>
        <w:t>、应将以上意见和“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报告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表</w:t>
      </w:r>
      <w:r>
        <w:rPr>
          <w:rFonts w:hint="eastAsia" w:ascii="仿宋" w:hAnsi="仿宋" w:eastAsia="仿宋" w:cs="仿宋"/>
          <w:sz w:val="32"/>
          <w:szCs w:val="32"/>
        </w:rPr>
        <w:t>”规定的保护措施落实到设计与施工中。严格执行环境保护“三同时”制度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按照国家排污许可有关管理规定，申请排污许可证，按证排污；须按照国家规定的标准和程序实施竣工环境保护验收，验收合格后方可投入生产或者使用；如项目的性质、规模、地点、工艺或者防治污染、防止生态破坏的措施发生重大变动的，应当重新报批建设项目环境影响评价文件。</w:t>
      </w:r>
    </w:p>
    <w:p w14:paraId="1F5CBF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六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大同市生态环境局开发区分局</w:t>
      </w:r>
      <w:r>
        <w:rPr>
          <w:rFonts w:hint="eastAsia" w:ascii="仿宋" w:hAnsi="仿宋" w:eastAsia="仿宋" w:cs="仿宋"/>
          <w:sz w:val="32"/>
          <w:szCs w:val="32"/>
        </w:rPr>
        <w:t>负责本项目的日常监督、管理工作。</w:t>
      </w:r>
    </w:p>
    <w:p w14:paraId="30F1F4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 w14:paraId="5296BA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 w14:paraId="29804C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2880" w:firstLineChars="9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大同经济技术开发区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行政审批服务管理局     </w:t>
      </w:r>
    </w:p>
    <w:p w14:paraId="0A0FF6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2024年10月16日</w:t>
      </w:r>
    </w:p>
    <w:p w14:paraId="085B86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10D57C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6E6ED1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0649CB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7406E8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0FB2AC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25400</wp:posOffset>
                </wp:positionH>
                <wp:positionV relativeFrom="paragraph">
                  <wp:posOffset>308610</wp:posOffset>
                </wp:positionV>
                <wp:extent cx="5958205" cy="31750"/>
                <wp:effectExtent l="0" t="4445" r="4445" b="2095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875030" y="8623935"/>
                          <a:ext cx="5958205" cy="317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pt;margin-top:24.3pt;height:2.5pt;width:469.15pt;z-index:251659264;mso-width-relative:page;mso-height-relative:page;" filled="f" stroked="t" coordsize="21600,21600" o:gfxdata="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y5T0GNcAAAAHAQAADwAAAAAAAAABACAAAAAiAAAAZHJzL2Rv&#10;d25yZXYueG1sUEsBAhQAFAAAAAgAh07iQPbexocCAgAA4gMAAA4AAAAAAAAAAQAgAAAAJgEAAGRy&#10;cy9lMm9Eb2MueG1sUEsFBgAAAAAGAAYAWQEAAJoFAAAAAA==&#10;">
                <v:fill on="f" focussize="0,0"/>
                <v:stroke weight="0.5pt" color="#000000 [3204]" miterlimit="8" joinstyle="miter"/>
                <v:imagedata o:title=""/>
                <o:lock v:ext="edit" aspectratio="f"/>
              </v:line>
            </w:pict>
          </mc:Fallback>
        </mc:AlternateContent>
      </w:r>
    </w:p>
    <w:p w14:paraId="17B1FE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-51435</wp:posOffset>
                </wp:positionH>
                <wp:positionV relativeFrom="paragraph">
                  <wp:posOffset>697230</wp:posOffset>
                </wp:positionV>
                <wp:extent cx="6029325" cy="38100"/>
                <wp:effectExtent l="0" t="4445" r="9525" b="1460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884555" y="9233535"/>
                          <a:ext cx="6029325" cy="381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>
                              <a:lumMod val="85000"/>
                              <a:lumOff val="1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4.05pt;margin-top:54.9pt;height:3pt;width:474.75pt;z-index:251660288;mso-width-relative:page;mso-height-relative:page;" filled="f" stroked="t" coordsize="21600,21600" o:gfxdata="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AFMiIF1AAAAAoB&#10;AAAPAAAAAAAAAAEAIAAAACIAAABkcnMvZG93bnJldi54bWxQSwECFAAUAAAACACHTuJA6h4+Eh8C&#10;AAAaBAAADgAAAAAAAAABACAAAAAjAQAAZHJzL2Uyb0RvYy54bWxQSwUGAAAAAAYABgBZAQAAtAUA&#10;AAAA&#10;">
                <v:fill on="f" focussize="0,0"/>
                <v:stroke weight="0.5pt" color="#262626 [274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抄送：大同市生态环境局开发区分局、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山西同力鑫创环保技术有限公司</w:t>
      </w:r>
    </w:p>
    <w:sectPr>
      <w:pgSz w:w="11906" w:h="16838"/>
      <w:pgMar w:top="1270" w:right="1349" w:bottom="1723" w:left="134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82B1156"/>
    <w:multiLevelType w:val="multilevel"/>
    <w:tmpl w:val="382B1156"/>
    <w:lvl w:ilvl="0" w:tentative="0">
      <w:start w:val="1"/>
      <w:numFmt w:val="none"/>
      <w:suff w:val="nothing"/>
      <w:lvlText w:val="第一章"/>
      <w:lvlJc w:val="left"/>
      <w:pPr>
        <w:ind w:left="0" w:firstLine="397"/>
      </w:pPr>
      <w:rPr>
        <w:rFonts w:hint="eastAsia"/>
      </w:rPr>
    </w:lvl>
    <w:lvl w:ilvl="1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2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3" w:tentative="0">
      <w:start w:val="1"/>
      <w:numFmt w:val="none"/>
      <w:pStyle w:val="2"/>
      <w:suff w:val="nothing"/>
      <w:lvlText w:val=""/>
      <w:lvlJc w:val="left"/>
      <w:pPr>
        <w:ind w:left="0" w:firstLine="0"/>
      </w:pPr>
      <w:rPr>
        <w:rFonts w:hint="eastAsia"/>
      </w:rPr>
    </w:lvl>
    <w:lvl w:ilvl="4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3ODEyZGMxODYyMTM1OGM4NmE0YTY0YTk1ODVlMGEifQ=="/>
  </w:docVars>
  <w:rsids>
    <w:rsidRoot w:val="2C90281C"/>
    <w:rsid w:val="00621C19"/>
    <w:rsid w:val="006B4EF0"/>
    <w:rsid w:val="00DA3EA5"/>
    <w:rsid w:val="025D59DB"/>
    <w:rsid w:val="0281296F"/>
    <w:rsid w:val="03D177E1"/>
    <w:rsid w:val="043C56EE"/>
    <w:rsid w:val="04850FDB"/>
    <w:rsid w:val="051C790C"/>
    <w:rsid w:val="05E7263A"/>
    <w:rsid w:val="07C9227E"/>
    <w:rsid w:val="07F7533D"/>
    <w:rsid w:val="081A1ACF"/>
    <w:rsid w:val="08761E35"/>
    <w:rsid w:val="0A5D3F16"/>
    <w:rsid w:val="0A8A65A2"/>
    <w:rsid w:val="0AF251F0"/>
    <w:rsid w:val="0B0977D5"/>
    <w:rsid w:val="0B592171"/>
    <w:rsid w:val="0D666226"/>
    <w:rsid w:val="0DB03F54"/>
    <w:rsid w:val="14BB0D3C"/>
    <w:rsid w:val="14C94ACE"/>
    <w:rsid w:val="162C249A"/>
    <w:rsid w:val="16732E22"/>
    <w:rsid w:val="168F6E32"/>
    <w:rsid w:val="18062417"/>
    <w:rsid w:val="186B3909"/>
    <w:rsid w:val="1A835237"/>
    <w:rsid w:val="1AB9499C"/>
    <w:rsid w:val="1B2C5DD7"/>
    <w:rsid w:val="1B636B19"/>
    <w:rsid w:val="1BF336DB"/>
    <w:rsid w:val="1F240CB5"/>
    <w:rsid w:val="1F457924"/>
    <w:rsid w:val="1F8B4890"/>
    <w:rsid w:val="21442F49"/>
    <w:rsid w:val="21FF1070"/>
    <w:rsid w:val="22A145FC"/>
    <w:rsid w:val="22CD2531"/>
    <w:rsid w:val="24C121EE"/>
    <w:rsid w:val="25585215"/>
    <w:rsid w:val="26BC17D3"/>
    <w:rsid w:val="26FF6A0B"/>
    <w:rsid w:val="277F4CDB"/>
    <w:rsid w:val="28186EDD"/>
    <w:rsid w:val="299746FB"/>
    <w:rsid w:val="29D67050"/>
    <w:rsid w:val="2B78314D"/>
    <w:rsid w:val="2B82123D"/>
    <w:rsid w:val="2C90281C"/>
    <w:rsid w:val="2D7F56A6"/>
    <w:rsid w:val="2E650DC8"/>
    <w:rsid w:val="2E690493"/>
    <w:rsid w:val="2E6E3B6C"/>
    <w:rsid w:val="2FAD64C4"/>
    <w:rsid w:val="30E45858"/>
    <w:rsid w:val="31A84EB5"/>
    <w:rsid w:val="31C21DB1"/>
    <w:rsid w:val="32AB29E5"/>
    <w:rsid w:val="33736619"/>
    <w:rsid w:val="337C208F"/>
    <w:rsid w:val="33864572"/>
    <w:rsid w:val="374A2560"/>
    <w:rsid w:val="37A95DA4"/>
    <w:rsid w:val="399C04ED"/>
    <w:rsid w:val="3CD63197"/>
    <w:rsid w:val="3EC126C5"/>
    <w:rsid w:val="3F3E4AED"/>
    <w:rsid w:val="405D067C"/>
    <w:rsid w:val="430F61D6"/>
    <w:rsid w:val="43750C3B"/>
    <w:rsid w:val="43FC693C"/>
    <w:rsid w:val="443072E8"/>
    <w:rsid w:val="44423B1B"/>
    <w:rsid w:val="4605689B"/>
    <w:rsid w:val="467A1AED"/>
    <w:rsid w:val="47AF4D0E"/>
    <w:rsid w:val="4BDC78E9"/>
    <w:rsid w:val="4C094875"/>
    <w:rsid w:val="4C1641DB"/>
    <w:rsid w:val="4C4D2E3A"/>
    <w:rsid w:val="4E1D31E0"/>
    <w:rsid w:val="4E402B66"/>
    <w:rsid w:val="4EE12D46"/>
    <w:rsid w:val="53B45A28"/>
    <w:rsid w:val="53C65D8A"/>
    <w:rsid w:val="54AE0421"/>
    <w:rsid w:val="54D33FDA"/>
    <w:rsid w:val="55965E0C"/>
    <w:rsid w:val="55D53AE1"/>
    <w:rsid w:val="570B1838"/>
    <w:rsid w:val="58BE0AA7"/>
    <w:rsid w:val="5A5A5CCE"/>
    <w:rsid w:val="5AE43736"/>
    <w:rsid w:val="5D704AEA"/>
    <w:rsid w:val="5E2D414A"/>
    <w:rsid w:val="5F881C77"/>
    <w:rsid w:val="5FBE1F35"/>
    <w:rsid w:val="60AD6BBE"/>
    <w:rsid w:val="60C278C3"/>
    <w:rsid w:val="61002705"/>
    <w:rsid w:val="643001A7"/>
    <w:rsid w:val="64C93A93"/>
    <w:rsid w:val="64DF4A2F"/>
    <w:rsid w:val="65354C0E"/>
    <w:rsid w:val="65A70401"/>
    <w:rsid w:val="669C5A34"/>
    <w:rsid w:val="66C832A1"/>
    <w:rsid w:val="69005735"/>
    <w:rsid w:val="69056444"/>
    <w:rsid w:val="6C353D3B"/>
    <w:rsid w:val="6D472CAD"/>
    <w:rsid w:val="6FE0340A"/>
    <w:rsid w:val="71E67BAB"/>
    <w:rsid w:val="738C151C"/>
    <w:rsid w:val="73C27A32"/>
    <w:rsid w:val="74275AAB"/>
    <w:rsid w:val="752C6F04"/>
    <w:rsid w:val="75C43404"/>
    <w:rsid w:val="77143A5D"/>
    <w:rsid w:val="78063B24"/>
    <w:rsid w:val="78760DAF"/>
    <w:rsid w:val="78762B5D"/>
    <w:rsid w:val="79081668"/>
    <w:rsid w:val="7AB011BF"/>
    <w:rsid w:val="7B83645A"/>
    <w:rsid w:val="7BEB54C7"/>
    <w:rsid w:val="7CD61CB4"/>
    <w:rsid w:val="7CE3382C"/>
    <w:rsid w:val="7F09156C"/>
    <w:rsid w:val="7F2B28E3"/>
    <w:rsid w:val="7F6E0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widowControl/>
      <w:numPr>
        <w:ilvl w:val="3"/>
        <w:numId w:val="1"/>
      </w:numPr>
      <w:ind w:firstLineChars="0"/>
      <w:outlineLvl w:val="3"/>
    </w:pPr>
    <w:rPr>
      <w:bCs/>
      <w:color w:val="000000"/>
      <w:szCs w:val="28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qFormat/>
    <w:uiPriority w:val="0"/>
    <w:pPr>
      <w:widowControl w:val="0"/>
      <w:spacing w:line="540" w:lineRule="exact"/>
      <w:jc w:val="center"/>
    </w:pPr>
    <w:rPr>
      <w:rFonts w:ascii="Times New Roman" w:hAnsi="Times New Roman" w:eastAsia="华文中宋" w:cs="Times New Roman"/>
      <w:kern w:val="2"/>
      <w:sz w:val="40"/>
      <w:szCs w:val="24"/>
      <w:lang w:val="en-US" w:eastAsia="zh-CN" w:bidi="ar-SA"/>
    </w:r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Body Text First Indent"/>
    <w:basedOn w:val="1"/>
    <w:qFormat/>
    <w:uiPriority w:val="99"/>
    <w:pPr>
      <w:ind w:firstLine="420" w:firstLineChars="100"/>
    </w:pPr>
  </w:style>
  <w:style w:type="paragraph" w:styleId="6">
    <w:name w:val="Body Text First Indent 2"/>
    <w:basedOn w:val="4"/>
    <w:next w:val="7"/>
    <w:qFormat/>
    <w:uiPriority w:val="0"/>
    <w:pPr>
      <w:widowControl w:val="0"/>
      <w:spacing w:after="120" w:line="240" w:lineRule="auto"/>
      <w:ind w:left="420" w:leftChars="200" w:firstLine="42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7">
    <w:name w:val="Default"/>
    <w:basedOn w:val="8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8">
    <w:name w:val="批注文字1"/>
    <w:qFormat/>
    <w:uiPriority w:val="0"/>
    <w:pPr>
      <w:widowControl w:val="0"/>
    </w:pPr>
    <w:rPr>
      <w:rFonts w:ascii="Times New Roman" w:hAnsi="Times New Roman" w:eastAsia="宋体" w:cs="Times New Roman"/>
      <w:color w:val="000000"/>
      <w:kern w:val="2"/>
      <w:sz w:val="21"/>
      <w:szCs w:val="24"/>
      <w:lang w:val="en-US" w:eastAsia="zh-CN" w:bidi="ar-SA"/>
    </w:rPr>
  </w:style>
  <w:style w:type="paragraph" w:customStyle="1" w:styleId="11">
    <w:name w:val="报告正文"/>
    <w:basedOn w:val="1"/>
    <w:qFormat/>
    <w:uiPriority w:val="0"/>
    <w:pPr>
      <w:autoSpaceDE w:val="0"/>
      <w:autoSpaceDN w:val="0"/>
      <w:adjustRightInd w:val="0"/>
      <w:spacing w:line="560" w:lineRule="atLeast"/>
      <w:ind w:firstLine="200" w:firstLineChars="200"/>
      <w:textAlignment w:val="baseline"/>
    </w:pPr>
    <w:rPr>
      <w:rFonts w:ascii="宋体"/>
      <w:kern w:val="0"/>
      <w:sz w:val="24"/>
      <w:szCs w:val="20"/>
    </w:rPr>
  </w:style>
  <w:style w:type="paragraph" w:customStyle="1" w:styleId="12">
    <w:name w:val="封面-3"/>
    <w:basedOn w:val="1"/>
    <w:qFormat/>
    <w:uiPriority w:val="99"/>
    <w:pPr>
      <w:spacing w:line="360" w:lineRule="auto"/>
      <w:jc w:val="center"/>
    </w:pPr>
    <w:rPr>
      <w:rFonts w:eastAsia="黑体"/>
      <w:bCs/>
      <w:spacing w:val="-20"/>
      <w:sz w:val="32"/>
      <w:szCs w:val="32"/>
    </w:rPr>
  </w:style>
  <w:style w:type="character" w:customStyle="1" w:styleId="13">
    <w:name w:val="NormalCharacter"/>
    <w:semiHidden/>
    <w:qFormat/>
    <w:uiPriority w:val="0"/>
  </w:style>
  <w:style w:type="paragraph" w:styleId="14">
    <w:name w:val="List Paragraph"/>
    <w:basedOn w:val="1"/>
    <w:qFormat/>
    <w:uiPriority w:val="1"/>
    <w:pPr>
      <w:ind w:left="1290" w:hanging="314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1386</Words>
  <Characters>1493</Characters>
  <Lines>0</Lines>
  <Paragraphs>0</Paragraphs>
  <TotalTime>5</TotalTime>
  <ScaleCrop>false</ScaleCrop>
  <LinksUpToDate>false</LinksUpToDate>
  <CharactersWithSpaces>1719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2022-01-13T06:51:00Z</dcterms:created>
  <dc:creator>lenovo</dc:creator>
  <cp:lastModifiedBy>lenovo</cp:lastModifiedBy>
  <cp:lastPrinted>2024-09-29T00:12:00Z</cp:lastPrinted>
  <dcterms:modified xsi:type="dcterms:W3CDTF">2024-10-15T06:51:44Z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55CCB84A68354B4DAB69BCAC69D83637</vt:lpwstr>
  </property>
  <property fmtid="{D5CDD505-2E9C-101B-9397-08002B2CF9AE}" pid="4" name="commondata">
    <vt:lpwstr>eyJoZGlkIjoiZTBmNmE3YjQ3MjE4YzE2YmJiNGUzZDUwNTc4N2JhYzgifQ==</vt:lpwstr>
  </property>
</Properties>
</file>