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AC74AA">
      <w:pPr>
        <w:wordWrap w:val="0"/>
        <w:jc w:val="right"/>
        <w:rPr>
          <w:rFonts w:hint="eastAsia" w:ascii="仿宋_GB2312" w:eastAsia="仿宋_GB2312"/>
          <w:color w:val="000000" w:themeColor="text1"/>
          <w:sz w:val="32"/>
          <w:lang w:val="en-US" w:eastAsia="zh-CN"/>
          <w14:textFill>
            <w14:solidFill>
              <w14:schemeClr w14:val="tx1"/>
            </w14:solidFill>
          </w14:textFill>
        </w:rPr>
      </w:pPr>
      <w:r>
        <w:rPr>
          <w:rFonts w:hint="eastAsia" w:ascii="仿宋_GB2312" w:eastAsia="仿宋_GB2312"/>
          <w:color w:val="000000" w:themeColor="text1"/>
          <w:sz w:val="32"/>
          <w:lang w:val="en-US" w:eastAsia="zh-CN"/>
          <w14:textFill>
            <w14:solidFill>
              <w14:schemeClr w14:val="tx1"/>
            </w14:solidFill>
          </w14:textFill>
        </w:rPr>
        <w:t xml:space="preserve">                                             </w:t>
      </w:r>
    </w:p>
    <w:p w14:paraId="5C68C9FE">
      <w:pPr>
        <w:wordWrap w:val="0"/>
        <w:jc w:val="right"/>
        <w:rPr>
          <w:rFonts w:hint="eastAsia" w:ascii="仿宋_GB2312" w:eastAsia="仿宋_GB2312"/>
          <w:color w:val="000000" w:themeColor="text1"/>
          <w:sz w:val="32"/>
          <w:lang w:eastAsia="zh-CN"/>
          <w14:textFill>
            <w14:solidFill>
              <w14:schemeClr w14:val="tx1"/>
            </w14:solidFill>
          </w14:textFill>
        </w:rPr>
      </w:pPr>
      <w:r>
        <w:rPr>
          <w:rFonts w:hint="eastAsia" w:ascii="仿宋_GB2312" w:eastAsia="仿宋_GB2312"/>
          <w:color w:val="000000" w:themeColor="text1"/>
          <w:sz w:val="32"/>
          <w:lang w:val="en-US" w:eastAsia="zh-CN"/>
          <w14:textFill>
            <w14:solidFill>
              <w14:schemeClr w14:val="tx1"/>
            </w14:solidFill>
          </w14:textFill>
        </w:rPr>
        <w:t xml:space="preserve">                </w:t>
      </w:r>
    </w:p>
    <w:p w14:paraId="58B7E7C2">
      <w:pPr>
        <w:wordWrap w:val="0"/>
        <w:jc w:val="right"/>
        <w:rPr>
          <w:rFonts w:hint="eastAsia" w:ascii="仿宋_GB2312" w:eastAsia="仿宋_GB2312"/>
          <w:color w:val="000000" w:themeColor="text1"/>
          <w:sz w:val="32"/>
          <w:lang w:eastAsia="zh-CN"/>
          <w14:textFill>
            <w14:solidFill>
              <w14:schemeClr w14:val="tx1"/>
            </w14:solidFill>
          </w14:textFill>
        </w:rPr>
      </w:pPr>
    </w:p>
    <w:p w14:paraId="567C5BB3">
      <w:pPr>
        <w:wordWrap w:val="0"/>
        <w:jc w:val="right"/>
        <w:rPr>
          <w:rFonts w:hint="eastAsia" w:ascii="仿宋_GB2312" w:eastAsia="仿宋_GB2312"/>
          <w:color w:val="000000" w:themeColor="text1"/>
          <w:sz w:val="28"/>
          <w:szCs w:val="28"/>
          <w14:textFill>
            <w14:solidFill>
              <w14:schemeClr w14:val="tx1"/>
            </w14:solidFill>
          </w14:textFill>
        </w:rPr>
      </w:pPr>
      <w:r>
        <w:rPr>
          <w:rFonts w:hint="eastAsia" w:ascii="仿宋_GB2312" w:eastAsia="仿宋_GB2312"/>
          <w:color w:val="000000" w:themeColor="text1"/>
          <w:sz w:val="32"/>
          <w:lang w:eastAsia="zh-CN"/>
          <w14:textFill>
            <w14:solidFill>
              <w14:schemeClr w14:val="tx1"/>
            </w14:solidFill>
          </w14:textFill>
        </w:rPr>
        <w:t>同</w:t>
      </w:r>
      <w:r>
        <w:rPr>
          <w:rFonts w:hint="eastAsia" w:ascii="仿宋_GB2312" w:eastAsia="仿宋_GB2312"/>
          <w:color w:val="000000" w:themeColor="text1"/>
          <w:sz w:val="32"/>
          <w14:textFill>
            <w14:solidFill>
              <w14:schemeClr w14:val="tx1"/>
            </w14:solidFill>
          </w14:textFill>
        </w:rPr>
        <w:t>开</w:t>
      </w:r>
      <w:r>
        <w:rPr>
          <w:rFonts w:hint="eastAsia" w:ascii="仿宋_GB2312" w:eastAsia="仿宋_GB2312"/>
          <w:color w:val="000000" w:themeColor="text1"/>
          <w:sz w:val="32"/>
          <w:lang w:val="en-US" w:eastAsia="zh-CN"/>
          <w14:textFill>
            <w14:solidFill>
              <w14:schemeClr w14:val="tx1"/>
            </w14:solidFill>
          </w14:textFill>
        </w:rPr>
        <w:t>审批</w:t>
      </w:r>
      <w:r>
        <w:rPr>
          <w:rFonts w:hint="eastAsia" w:ascii="仿宋_GB2312" w:eastAsia="仿宋_GB2312"/>
          <w:color w:val="000000" w:themeColor="text1"/>
          <w:sz w:val="32"/>
          <w14:textFill>
            <w14:solidFill>
              <w14:schemeClr w14:val="tx1"/>
            </w14:solidFill>
          </w14:textFill>
        </w:rPr>
        <w:t>环函〔20</w:t>
      </w:r>
      <w:r>
        <w:rPr>
          <w:rFonts w:hint="eastAsia" w:ascii="仿宋_GB2312" w:eastAsia="仿宋_GB2312"/>
          <w:color w:val="000000" w:themeColor="text1"/>
          <w:sz w:val="32"/>
          <w:lang w:val="en-US" w:eastAsia="zh-CN"/>
          <w14:textFill>
            <w14:solidFill>
              <w14:schemeClr w14:val="tx1"/>
            </w14:solidFill>
          </w14:textFill>
        </w:rPr>
        <w:t>26</w:t>
      </w:r>
      <w:r>
        <w:rPr>
          <w:rFonts w:hint="eastAsia" w:ascii="仿宋_GB2312" w:eastAsia="仿宋_GB2312"/>
          <w:color w:val="000000" w:themeColor="text1"/>
          <w:sz w:val="32"/>
          <w14:textFill>
            <w14:solidFill>
              <w14:schemeClr w14:val="tx1"/>
            </w14:solidFill>
          </w14:textFill>
        </w:rPr>
        <w:t>〕</w:t>
      </w:r>
      <w:r>
        <w:rPr>
          <w:rFonts w:hint="eastAsia" w:ascii="仿宋_GB2312" w:eastAsia="仿宋_GB2312"/>
          <w:color w:val="000000" w:themeColor="text1"/>
          <w:sz w:val="32"/>
          <w:lang w:val="en-US" w:eastAsia="zh-CN"/>
          <w14:textFill>
            <w14:solidFill>
              <w14:schemeClr w14:val="tx1"/>
            </w14:solidFill>
          </w14:textFill>
        </w:rPr>
        <w:t>6</w:t>
      </w:r>
      <w:r>
        <w:rPr>
          <w:rFonts w:hint="eastAsia" w:ascii="仿宋_GB2312" w:eastAsia="仿宋_GB2312"/>
          <w:color w:val="000000" w:themeColor="text1"/>
          <w:sz w:val="32"/>
          <w14:textFill>
            <w14:solidFill>
              <w14:schemeClr w14:val="tx1"/>
            </w14:solidFill>
          </w14:textFill>
        </w:rPr>
        <w:t>号</w:t>
      </w:r>
    </w:p>
    <w:p w14:paraId="5C7C08C0">
      <w:pPr>
        <w:keepNext w:val="0"/>
        <w:keepLines w:val="0"/>
        <w:widowControl/>
        <w:suppressLineNumbers w:val="0"/>
        <w:jc w:val="center"/>
        <w:rPr>
          <w:rFonts w:hint="eastAsia" w:ascii="宋体" w:hAnsi="宋体" w:eastAsia="宋体" w:cs="宋体"/>
          <w:b/>
          <w:bCs w:val="0"/>
          <w:i w:val="0"/>
          <w:iCs w:val="0"/>
          <w:color w:val="2B2B2B"/>
          <w:kern w:val="0"/>
          <w:sz w:val="44"/>
          <w:szCs w:val="44"/>
        </w:rPr>
      </w:pPr>
      <w:r>
        <w:rPr>
          <w:rFonts w:hint="eastAsia" w:ascii="宋体" w:hAnsi="宋体" w:eastAsia="宋体" w:cs="宋体"/>
          <w:b/>
          <w:bCs w:val="0"/>
          <w:i w:val="0"/>
          <w:iCs w:val="0"/>
          <w:color w:val="2B2B2B"/>
          <w:kern w:val="0"/>
          <w:sz w:val="44"/>
          <w:szCs w:val="44"/>
        </w:rPr>
        <w:t>关于大同喜相逢饮品有限公司4万吨/年</w:t>
      </w:r>
    </w:p>
    <w:p w14:paraId="12BC6F17">
      <w:pPr>
        <w:keepNext w:val="0"/>
        <w:keepLines w:val="0"/>
        <w:widowControl/>
        <w:suppressLineNumbers w:val="0"/>
        <w:jc w:val="center"/>
        <w:rPr>
          <w:rFonts w:hint="eastAsia" w:ascii="宋体" w:hAnsi="宋体" w:eastAsia="宋体" w:cs="宋体"/>
          <w:b/>
          <w:bCs w:val="0"/>
          <w:i w:val="0"/>
          <w:iCs w:val="0"/>
          <w:sz w:val="44"/>
          <w:szCs w:val="44"/>
          <w:lang w:val="en-US" w:eastAsia="zh-CN"/>
        </w:rPr>
      </w:pPr>
      <w:r>
        <w:rPr>
          <w:rFonts w:hint="eastAsia" w:ascii="宋体" w:hAnsi="宋体" w:eastAsia="宋体" w:cs="宋体"/>
          <w:b/>
          <w:bCs w:val="0"/>
          <w:i w:val="0"/>
          <w:iCs w:val="0"/>
          <w:color w:val="2B2B2B"/>
          <w:kern w:val="0"/>
          <w:sz w:val="44"/>
          <w:szCs w:val="44"/>
        </w:rPr>
        <w:t>纯净水生产线建设项目</w:t>
      </w:r>
      <w:r>
        <w:rPr>
          <w:rFonts w:hint="eastAsia" w:ascii="宋体" w:hAnsi="宋体" w:eastAsia="宋体" w:cs="宋体"/>
          <w:b/>
          <w:bCs w:val="0"/>
          <w:i w:val="0"/>
          <w:iCs w:val="0"/>
          <w:sz w:val="44"/>
          <w:szCs w:val="44"/>
        </w:rPr>
        <w:t>环境影响</w:t>
      </w:r>
      <w:r>
        <w:rPr>
          <w:rFonts w:hint="eastAsia" w:ascii="宋体" w:hAnsi="宋体" w:eastAsia="宋体" w:cs="宋体"/>
          <w:b/>
          <w:bCs w:val="0"/>
          <w:i w:val="0"/>
          <w:iCs w:val="0"/>
          <w:color w:val="2B2B2B"/>
          <w:kern w:val="0"/>
          <w:sz w:val="44"/>
          <w:szCs w:val="44"/>
        </w:rPr>
        <w:t>报告</w:t>
      </w:r>
      <w:r>
        <w:rPr>
          <w:rFonts w:hint="eastAsia" w:ascii="宋体" w:hAnsi="宋体" w:eastAsia="宋体" w:cs="宋体"/>
          <w:b/>
          <w:bCs w:val="0"/>
          <w:i w:val="0"/>
          <w:iCs w:val="0"/>
          <w:color w:val="2B2B2B"/>
          <w:kern w:val="0"/>
          <w:sz w:val="44"/>
          <w:szCs w:val="44"/>
          <w:lang w:val="en-US" w:eastAsia="zh-CN"/>
        </w:rPr>
        <w:t>表</w:t>
      </w:r>
      <w:r>
        <w:rPr>
          <w:rFonts w:hint="eastAsia" w:ascii="宋体" w:hAnsi="宋体" w:eastAsia="宋体" w:cs="宋体"/>
          <w:b/>
          <w:bCs w:val="0"/>
          <w:i w:val="0"/>
          <w:iCs w:val="0"/>
          <w:color w:val="2B2B2B"/>
          <w:kern w:val="0"/>
          <w:sz w:val="44"/>
          <w:szCs w:val="44"/>
        </w:rPr>
        <w:t>的批复</w:t>
      </w:r>
    </w:p>
    <w:p w14:paraId="31D2A005">
      <w:pPr>
        <w:keepNext w:val="0"/>
        <w:keepLines w:val="0"/>
        <w:pageBreakBefore w:val="0"/>
        <w:widowControl w:val="0"/>
        <w:kinsoku/>
        <w:wordWrap w:val="0"/>
        <w:overflowPunct/>
        <w:topLinePunct w:val="0"/>
        <w:autoSpaceDE/>
        <w:autoSpaceDN/>
        <w:bidi w:val="0"/>
        <w:adjustRightInd/>
        <w:snapToGrid/>
        <w:spacing w:line="560" w:lineRule="exact"/>
        <w:textAlignment w:val="auto"/>
        <w:rPr>
          <w:rFonts w:hint="eastAsia" w:ascii="仿宋" w:hAnsi="仿宋" w:eastAsia="仿宋" w:cs="仿宋"/>
          <w:b w:val="0"/>
          <w:bCs/>
          <w:sz w:val="32"/>
          <w:szCs w:val="32"/>
        </w:rPr>
      </w:pPr>
    </w:p>
    <w:p w14:paraId="721A6D4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b w:val="0"/>
          <w:bCs w:val="0"/>
          <w:color w:val="auto"/>
          <w:kern w:val="0"/>
          <w:sz w:val="32"/>
          <w:szCs w:val="32"/>
        </w:rPr>
        <w:t>大同喜相逢饮品有限公司</w:t>
      </w:r>
      <w:r>
        <w:rPr>
          <w:rFonts w:hint="eastAsia" w:ascii="仿宋" w:hAnsi="仿宋" w:eastAsia="仿宋" w:cs="仿宋"/>
          <w:sz w:val="32"/>
          <w:szCs w:val="32"/>
        </w:rPr>
        <w:t>：</w:t>
      </w:r>
    </w:p>
    <w:p w14:paraId="5ECD01C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你公司报送的《</w:t>
      </w:r>
      <w:r>
        <w:rPr>
          <w:rFonts w:hint="eastAsia" w:ascii="仿宋" w:hAnsi="仿宋" w:eastAsia="仿宋" w:cs="仿宋"/>
          <w:b w:val="0"/>
          <w:bCs w:val="0"/>
          <w:color w:val="auto"/>
          <w:kern w:val="0"/>
          <w:sz w:val="32"/>
          <w:szCs w:val="32"/>
        </w:rPr>
        <w:t>大同喜相逢饮品有限公司4万吨/年纯净水生产线建设项目</w:t>
      </w:r>
      <w:r>
        <w:rPr>
          <w:rFonts w:hint="eastAsia" w:ascii="仿宋" w:hAnsi="仿宋" w:eastAsia="仿宋" w:cs="仿宋"/>
          <w:sz w:val="32"/>
          <w:szCs w:val="32"/>
        </w:rPr>
        <w:t>环境影响报告</w:t>
      </w:r>
      <w:r>
        <w:rPr>
          <w:rFonts w:hint="eastAsia" w:ascii="仿宋" w:hAnsi="仿宋" w:eastAsia="仿宋" w:cs="仿宋"/>
          <w:sz w:val="32"/>
          <w:szCs w:val="32"/>
          <w:lang w:val="en-US" w:eastAsia="zh-CN"/>
        </w:rPr>
        <w:t>表</w:t>
      </w:r>
      <w:r>
        <w:rPr>
          <w:rFonts w:hint="eastAsia" w:ascii="仿宋" w:hAnsi="仿宋" w:eastAsia="仿宋" w:cs="仿宋"/>
          <w:sz w:val="32"/>
          <w:szCs w:val="32"/>
        </w:rPr>
        <w:t>》（以下简称</w:t>
      </w:r>
      <w:r>
        <w:rPr>
          <w:rFonts w:hint="eastAsia" w:ascii="仿宋" w:hAnsi="仿宋" w:eastAsia="仿宋" w:cs="仿宋"/>
          <w:sz w:val="32"/>
          <w:szCs w:val="32"/>
          <w:lang w:eastAsia="zh-CN"/>
        </w:rPr>
        <w:t>“</w:t>
      </w:r>
      <w:r>
        <w:rPr>
          <w:rFonts w:hint="eastAsia" w:ascii="仿宋" w:hAnsi="仿宋" w:eastAsia="仿宋" w:cs="仿宋"/>
          <w:sz w:val="32"/>
          <w:szCs w:val="32"/>
        </w:rPr>
        <w:t>报告</w:t>
      </w:r>
      <w:r>
        <w:rPr>
          <w:rFonts w:hint="eastAsia" w:ascii="仿宋" w:hAnsi="仿宋" w:eastAsia="仿宋" w:cs="仿宋"/>
          <w:sz w:val="32"/>
          <w:szCs w:val="32"/>
          <w:lang w:val="en-US" w:eastAsia="zh-CN"/>
        </w:rPr>
        <w:t>表</w:t>
      </w:r>
      <w:r>
        <w:rPr>
          <w:rFonts w:hint="eastAsia" w:ascii="仿宋" w:hAnsi="仿宋" w:eastAsia="仿宋" w:cs="仿宋"/>
          <w:sz w:val="32"/>
          <w:szCs w:val="32"/>
          <w:lang w:eastAsia="zh-CN"/>
        </w:rPr>
        <w:t>”</w:t>
      </w:r>
      <w:r>
        <w:rPr>
          <w:rFonts w:hint="eastAsia" w:ascii="仿宋" w:hAnsi="仿宋" w:eastAsia="仿宋" w:cs="仿宋"/>
          <w:sz w:val="32"/>
          <w:szCs w:val="32"/>
        </w:rPr>
        <w:t>）收悉，经研究，批复如下：</w:t>
      </w:r>
      <w:r>
        <w:rPr>
          <w:rFonts w:hint="eastAsia" w:ascii="仿宋" w:hAnsi="仿宋" w:eastAsia="仿宋" w:cs="仿宋"/>
          <w:sz w:val="32"/>
          <w:szCs w:val="32"/>
          <w:lang w:val="en-US" w:eastAsia="zh-CN"/>
        </w:rPr>
        <w:t xml:space="preserve">                                                                                                                                                                                                                                                                                                                                                                                                                                                                                                                                                                                                                                                                                                                                                                                                                                                                                                                                                                                                                                                                                                                                                                                                                                                                                                                                                                                                                                                                                                                </w:t>
      </w:r>
    </w:p>
    <w:p w14:paraId="14E2CE9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w:t>
      </w:r>
      <w:r>
        <w:rPr>
          <w:rFonts w:hint="eastAsia" w:ascii="仿宋" w:hAnsi="仿宋" w:eastAsia="仿宋" w:cs="仿宋"/>
          <w:b w:val="0"/>
          <w:bCs w:val="0"/>
          <w:color w:val="auto"/>
          <w:kern w:val="0"/>
          <w:sz w:val="32"/>
          <w:szCs w:val="32"/>
        </w:rPr>
        <w:t>大同喜相逢饮品有限公司4万吨/年纯净水生产线建设项目</w:t>
      </w:r>
      <w:r>
        <w:rPr>
          <w:rFonts w:hint="eastAsia" w:ascii="仿宋" w:hAnsi="仿宋" w:eastAsia="仿宋" w:cs="仿宋"/>
          <w:sz w:val="32"/>
          <w:szCs w:val="32"/>
        </w:rPr>
        <w:t>位于</w:t>
      </w:r>
      <w:r>
        <w:rPr>
          <w:rFonts w:hint="eastAsia" w:ascii="仿宋" w:hAnsi="仿宋" w:eastAsia="仿宋" w:cs="仿宋"/>
          <w:color w:val="auto"/>
          <w:kern w:val="0"/>
          <w:sz w:val="32"/>
          <w:szCs w:val="32"/>
          <w:lang w:val="en-US" w:eastAsia="zh-CN"/>
        </w:rPr>
        <w:t>大同经济技术开发区</w:t>
      </w:r>
      <w:r>
        <w:rPr>
          <w:rFonts w:hint="eastAsia" w:ascii="仿宋" w:hAnsi="仿宋" w:eastAsia="仿宋" w:cs="仿宋"/>
          <w:sz w:val="32"/>
          <w:szCs w:val="32"/>
        </w:rPr>
        <w:t>装备制造产业基地园通街365号</w:t>
      </w:r>
      <w:r>
        <w:rPr>
          <w:rFonts w:hint="eastAsia" w:ascii="仿宋" w:hAnsi="仿宋" w:eastAsia="仿宋" w:cs="仿宋"/>
          <w:sz w:val="32"/>
          <w:szCs w:val="32"/>
          <w:lang w:eastAsia="zh-CN"/>
        </w:rPr>
        <w:t>。</w:t>
      </w:r>
      <w:r>
        <w:rPr>
          <w:rFonts w:hint="eastAsia" w:ascii="仿宋" w:hAnsi="仿宋" w:eastAsia="仿宋" w:cs="仿宋"/>
          <w:color w:val="auto"/>
          <w:kern w:val="0"/>
          <w:sz w:val="32"/>
          <w:szCs w:val="32"/>
          <w:lang w:val="en-US" w:eastAsia="zh-CN"/>
        </w:rPr>
        <w:t>大同经济技术开发区发展与行政审批部于2026年7月30日</w:t>
      </w:r>
      <w:r>
        <w:rPr>
          <w:rFonts w:hint="eastAsia" w:ascii="仿宋" w:hAnsi="仿宋" w:eastAsia="仿宋" w:cs="仿宋"/>
          <w:sz w:val="32"/>
          <w:szCs w:val="32"/>
          <w:lang w:val="en-US" w:eastAsia="zh-CN"/>
        </w:rPr>
        <w:t>对该项目</w:t>
      </w:r>
      <w:r>
        <w:rPr>
          <w:rFonts w:hint="eastAsia" w:ascii="仿宋" w:hAnsi="仿宋" w:eastAsia="仿宋" w:cs="仿宋"/>
          <w:sz w:val="32"/>
          <w:szCs w:val="32"/>
        </w:rPr>
        <w:t>进行了备案，项目代码：</w:t>
      </w:r>
      <w:r>
        <w:rPr>
          <w:rFonts w:hint="eastAsia" w:ascii="仿宋" w:hAnsi="仿宋" w:eastAsia="仿宋" w:cs="仿宋"/>
          <w:color w:val="auto"/>
          <w:sz w:val="32"/>
          <w:szCs w:val="32"/>
          <w:lang w:val="en-US" w:eastAsia="zh-CN"/>
        </w:rPr>
        <w:t>2607-140251-89-05-833321</w:t>
      </w:r>
      <w:r>
        <w:rPr>
          <w:rFonts w:hint="eastAsia" w:ascii="仿宋" w:hAnsi="仿宋" w:eastAsia="仿宋" w:cs="仿宋"/>
          <w:sz w:val="32"/>
          <w:szCs w:val="32"/>
        </w:rPr>
        <w:t>。项目总投资</w:t>
      </w:r>
      <w:r>
        <w:rPr>
          <w:rFonts w:hint="eastAsia" w:ascii="仿宋" w:hAnsi="仿宋" w:eastAsia="仿宋" w:cs="仿宋"/>
          <w:b w:val="0"/>
          <w:bCs/>
          <w:sz w:val="32"/>
          <w:szCs w:val="32"/>
          <w:lang w:val="en-US" w:eastAsia="zh-CN"/>
        </w:rPr>
        <w:t>500</w:t>
      </w:r>
      <w:r>
        <w:rPr>
          <w:rFonts w:hint="eastAsia" w:ascii="仿宋" w:hAnsi="仿宋" w:eastAsia="仿宋" w:cs="仿宋"/>
          <w:sz w:val="32"/>
          <w:szCs w:val="32"/>
        </w:rPr>
        <w:t>万元</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其中环保投资75万元。主要建设内容及</w:t>
      </w:r>
      <w:r>
        <w:rPr>
          <w:rFonts w:hint="eastAsia" w:ascii="仿宋" w:hAnsi="仿宋" w:eastAsia="仿宋" w:cs="仿宋"/>
          <w:b w:val="0"/>
          <w:bCs w:val="0"/>
          <w:sz w:val="32"/>
          <w:szCs w:val="32"/>
          <w:lang w:val="en-US" w:eastAsia="zh-CN"/>
        </w:rPr>
        <w:t>规模：租用现有空置厂房作为生产车间，建设3条纯净水生产线，主要购置注塑机、制盖机、吹瓶机、压缩机、罐装机及水处理设备等，建设相关生产线及其他相关配套设施；项目年产纯净水4万吨。</w:t>
      </w:r>
      <w:r>
        <w:rPr>
          <w:rFonts w:hint="eastAsia" w:ascii="仿宋" w:hAnsi="仿宋" w:eastAsia="仿宋" w:cs="仿宋"/>
          <w:sz w:val="32"/>
          <w:szCs w:val="32"/>
          <w:lang w:val="en-US" w:eastAsia="zh-CN"/>
        </w:rPr>
        <w:t xml:space="preserve">在严格落实“报告表”提出的各项环境保护对策措施的情况下，做到污染物达标排放，满足污染物排放总量控制指标的前提下，我单位原则同意该项目按专家评审意见修改后的“报告表”及评估报告所确认的项目性质、规模、地点、采取的生产工艺、污染防治措施进行建设。                   </w:t>
      </w:r>
    </w:p>
    <w:p w14:paraId="18425AF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二、</w:t>
      </w:r>
      <w:r>
        <w:rPr>
          <w:rFonts w:hint="eastAsia" w:ascii="仿宋" w:hAnsi="仿宋" w:eastAsia="仿宋" w:cs="仿宋"/>
          <w:sz w:val="32"/>
          <w:szCs w:val="32"/>
          <w:lang w:val="en-US" w:eastAsia="zh-CN"/>
        </w:rPr>
        <w:t>在</w:t>
      </w:r>
      <w:r>
        <w:rPr>
          <w:rFonts w:hint="eastAsia" w:ascii="仿宋" w:hAnsi="仿宋" w:eastAsia="仿宋" w:cs="仿宋"/>
          <w:sz w:val="32"/>
          <w:szCs w:val="32"/>
        </w:rPr>
        <w:t>项目设计、建设和运行管理中</w:t>
      </w:r>
      <w:r>
        <w:rPr>
          <w:rFonts w:hint="eastAsia" w:ascii="仿宋" w:hAnsi="仿宋" w:eastAsia="仿宋" w:cs="仿宋"/>
          <w:sz w:val="32"/>
          <w:szCs w:val="32"/>
          <w:lang w:val="en-US" w:eastAsia="zh-CN"/>
        </w:rPr>
        <w:t>要</w:t>
      </w:r>
      <w:r>
        <w:rPr>
          <w:rFonts w:hint="eastAsia" w:ascii="仿宋" w:hAnsi="仿宋" w:eastAsia="仿宋" w:cs="仿宋"/>
          <w:sz w:val="32"/>
          <w:szCs w:val="32"/>
        </w:rPr>
        <w:t>重点做好以下工作：</w:t>
      </w:r>
    </w:p>
    <w:p w14:paraId="6D132A6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（1）</w:t>
      </w:r>
      <w:r>
        <w:rPr>
          <w:rFonts w:hint="eastAsia" w:ascii="仿宋" w:hAnsi="仿宋" w:eastAsia="仿宋" w:cs="仿宋"/>
          <w:sz w:val="32"/>
          <w:szCs w:val="32"/>
          <w:lang w:eastAsia="zh-CN"/>
        </w:rPr>
        <w:t>认真做好施工期环境保护工作，加强环境管理，落实</w:t>
      </w:r>
      <w:r>
        <w:rPr>
          <w:rFonts w:hint="eastAsia" w:ascii="仿宋" w:hAnsi="仿宋" w:eastAsia="仿宋" w:cs="仿宋"/>
          <w:sz w:val="32"/>
          <w:szCs w:val="32"/>
        </w:rPr>
        <w:t>“报告</w:t>
      </w:r>
      <w:r>
        <w:rPr>
          <w:rFonts w:hint="eastAsia" w:ascii="仿宋" w:hAnsi="仿宋" w:eastAsia="仿宋" w:cs="仿宋"/>
          <w:sz w:val="32"/>
          <w:szCs w:val="32"/>
          <w:lang w:val="en-US" w:eastAsia="zh-CN"/>
        </w:rPr>
        <w:t>表</w:t>
      </w:r>
      <w:r>
        <w:rPr>
          <w:rFonts w:hint="eastAsia" w:ascii="仿宋" w:hAnsi="仿宋" w:eastAsia="仿宋" w:cs="仿宋"/>
          <w:sz w:val="32"/>
          <w:szCs w:val="32"/>
        </w:rPr>
        <w:t>”</w:t>
      </w:r>
      <w:r>
        <w:rPr>
          <w:rFonts w:hint="eastAsia" w:ascii="仿宋" w:hAnsi="仿宋" w:eastAsia="仿宋" w:cs="仿宋"/>
          <w:sz w:val="32"/>
          <w:szCs w:val="32"/>
          <w:lang w:eastAsia="zh-CN"/>
        </w:rPr>
        <w:t>提出的各项污染防治措施，降低对周边环境的影响。</w:t>
      </w:r>
    </w:p>
    <w:p w14:paraId="6A6B5BD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b w:val="0"/>
          <w:bCs/>
          <w:sz w:val="32"/>
          <w:szCs w:val="32"/>
          <w:lang w:val="en-US"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 xml:space="preserve">2）大气污染治理措施。吹瓶机配套密闭腔体负压收集废气，注塑机、制盖机上方0.2m处设置集气罩并配备阻燃软帘，包装机进出口0.25m处设置侧吸集气罩，吹瓶、制盖、包装、贴标产生的废气经密闭集气罩收集后排入一套两级活性炭吸附装置处理后15m 高排气筒排放；厨房炉灶燃用液化天然气及电磁灶，厨房油烟经静电式油烟净化器处理后通过专用烟道排放。吹瓶、制盖及包装过程产生的有组织非甲烷总烃排放执行《合成树脂工业污染物排放标准》（GB31572-2015，含2024 年修改单）中大气污染物特别排放限值；厂区内无组织非甲烷总烃执行《挥发性有机物无组织排放控制标准》（GB37822-2019）。食堂油烟执行《饮食业油烟排放标准（试行）》（GB18483-2001）小型规模标准。       </w:t>
      </w:r>
      <w:r>
        <w:rPr>
          <w:rFonts w:hint="eastAsia" w:ascii="仿宋" w:hAnsi="仿宋" w:eastAsia="仿宋" w:cs="仿宋"/>
          <w:b w:val="0"/>
          <w:bCs w:val="0"/>
          <w:sz w:val="32"/>
          <w:szCs w:val="32"/>
          <w:lang w:val="en-US" w:eastAsia="zh-CN"/>
        </w:rPr>
        <w:t xml:space="preserve">    </w:t>
      </w:r>
    </w:p>
    <w:p w14:paraId="6CAAA184">
      <w:pPr>
        <w:keepNext w:val="0"/>
        <w:keepLines w:val="0"/>
        <w:pageBreakBefore w:val="0"/>
        <w:widowControl/>
        <w:suppressLineNumbers w:val="0"/>
        <w:kinsoku/>
        <w:wordWrap w:val="0"/>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3）水污染治理措施。废水主要为职工生活污水、纯净水制备废水、反冲洗废水、瓶桶冲洗废水、化验废水及地面冲洗废水。生活废水排至园区污水管网；生产废水非采暖期排至厂区沉淀池用于厂区绿化及道路冲洗用水，不可利用部分排入市政污水管网，采暖期排至市政管网，最终生产废水及生活污水经市政管网排至大同市御东污水处理厂。污水排放执行《污水排入城镇下水道水质标准（GB/T31962-2015）》的 B 级标准及污水处理厂入厂标准限值。     （4）噪声污染治理措施。选用低噪声设备，将产噪声设备尽量置于室内，风机采用围挡隔声、基础减振、柔性接头等措施；空压机安装消声器；加强绿化，车间周围种植绿化带等减少噪声对周围环境的影响。运营期工业企业厂界噪声执行《工业企业厂界环境噪声排放标准》（GB12348-2008）中3类标准。     </w:t>
      </w:r>
    </w:p>
    <w:p w14:paraId="4DE892D8">
      <w:pPr>
        <w:keepNext w:val="0"/>
        <w:keepLines w:val="0"/>
        <w:widowControl/>
        <w:suppressLineNumbers w:val="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固体废弃物污染治理措施。运营期固体废物为废活性炭、不合格品、废滤膜、废滤芯、废机油及职工生活垃圾。不合格品外售再生塑料生产企业利用；废过滤膜由专门的物资回收单位回收；废滤芯外售物资回收单位</w:t>
      </w:r>
      <w:r>
        <w:rPr>
          <w:rFonts w:hint="eastAsia" w:ascii="宋体" w:hAnsi="宋体" w:eastAsia="宋体" w:cs="宋体"/>
          <w:kern w:val="0"/>
          <w:sz w:val="24"/>
          <w:szCs w:val="24"/>
          <w:lang w:val="en-US" w:eastAsia="zh-CN" w:bidi="ar"/>
        </w:rPr>
        <w:t>；</w:t>
      </w:r>
      <w:r>
        <w:rPr>
          <w:rFonts w:hint="eastAsia" w:ascii="仿宋" w:hAnsi="仿宋" w:eastAsia="仿宋" w:cs="仿宋"/>
          <w:sz w:val="32"/>
          <w:szCs w:val="32"/>
          <w:lang w:val="en-US" w:eastAsia="zh-CN"/>
        </w:rPr>
        <w:t>水处理废活性炭由滤料供应厂家回收再生；废机油、废气处理废活性炭分区暂存于危废贮存库（10㎡）内，定期委托有资质单位处置；生活垃圾集中收集后委托环卫部门定期清运。一般固废执行《一般工业固体废物贮存和填埋污染控制标准》（GB18599-2020）；危险废物贮存执行《危险废物贮存污染控制标准》（GB18597-2023）。</w:t>
      </w:r>
    </w:p>
    <w:p w14:paraId="4A10604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三、严格落实“报告表”提出的环境管理和环境监测计划，加强区域环境质量的监测。落实</w:t>
      </w:r>
      <w:r>
        <w:rPr>
          <w:rFonts w:hint="eastAsia" w:ascii="仿宋" w:hAnsi="仿宋" w:eastAsia="仿宋" w:cs="仿宋"/>
          <w:sz w:val="32"/>
          <w:szCs w:val="32"/>
        </w:rPr>
        <w:t>地下水、土壤污染防治措施</w:t>
      </w:r>
      <w:r>
        <w:rPr>
          <w:rFonts w:hint="eastAsia" w:ascii="仿宋" w:hAnsi="仿宋" w:eastAsia="仿宋" w:cs="仿宋"/>
          <w:sz w:val="32"/>
          <w:szCs w:val="32"/>
          <w:lang w:eastAsia="zh-CN"/>
        </w:rPr>
        <w:t>，</w:t>
      </w:r>
      <w:r>
        <w:rPr>
          <w:rFonts w:hint="eastAsia" w:ascii="仿宋" w:hAnsi="仿宋" w:eastAsia="仿宋" w:cs="仿宋"/>
          <w:sz w:val="32"/>
          <w:szCs w:val="32"/>
        </w:rPr>
        <w:t>制定环境保护</w:t>
      </w:r>
      <w:r>
        <w:rPr>
          <w:rFonts w:hint="eastAsia" w:ascii="仿宋" w:hAnsi="仿宋" w:eastAsia="仿宋" w:cs="仿宋"/>
          <w:sz w:val="32"/>
          <w:szCs w:val="32"/>
          <w:lang w:val="en-US" w:eastAsia="zh-CN"/>
        </w:rPr>
        <w:t>相关</w:t>
      </w:r>
      <w:r>
        <w:rPr>
          <w:rFonts w:hint="eastAsia" w:ascii="仿宋" w:hAnsi="仿宋" w:eastAsia="仿宋" w:cs="仿宋"/>
          <w:sz w:val="32"/>
          <w:szCs w:val="32"/>
        </w:rPr>
        <w:t>制度和防止污染事故应急措施</w:t>
      </w:r>
      <w:r>
        <w:rPr>
          <w:rFonts w:hint="eastAsia" w:ascii="仿宋" w:hAnsi="仿宋" w:eastAsia="仿宋" w:cs="仿宋"/>
          <w:sz w:val="32"/>
          <w:szCs w:val="32"/>
          <w:lang w:eastAsia="zh-CN"/>
        </w:rPr>
        <w:t>，</w:t>
      </w:r>
      <w:r>
        <w:rPr>
          <w:rFonts w:hint="eastAsia" w:ascii="仿宋" w:hAnsi="仿宋" w:eastAsia="仿宋" w:cs="仿宋"/>
          <w:sz w:val="32"/>
          <w:szCs w:val="32"/>
          <w:lang w:val="zh-CN"/>
        </w:rPr>
        <w:t>确保环境风险降至最低。</w:t>
      </w:r>
      <w:r>
        <w:rPr>
          <w:rFonts w:hint="eastAsia" w:ascii="仿宋" w:hAnsi="仿宋" w:eastAsia="仿宋" w:cs="仿宋"/>
          <w:sz w:val="32"/>
          <w:szCs w:val="32"/>
          <w:lang w:val="en-US" w:eastAsia="zh-CN"/>
        </w:rPr>
        <w:t xml:space="preserve">  </w:t>
      </w:r>
    </w:p>
    <w:p w14:paraId="176FCA5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四、本项目主要污染物排放总量控制指标为：</w:t>
      </w:r>
      <w:r>
        <w:rPr>
          <w:rFonts w:hint="eastAsia" w:ascii="仿宋" w:hAnsi="仿宋" w:eastAsia="仿宋" w:cs="仿宋"/>
          <w:color w:val="000000"/>
          <w:spacing w:val="0"/>
          <w:kern w:val="0"/>
          <w:position w:val="0"/>
          <w:sz w:val="32"/>
          <w:szCs w:val="32"/>
          <w:lang w:val="en-US" w:eastAsia="zh-CN" w:bidi="ar"/>
        </w:rPr>
        <w:t>挥发性有机物0.179t/a。</w:t>
      </w:r>
      <w:r>
        <w:rPr>
          <w:rFonts w:hint="eastAsia" w:ascii="仿宋" w:hAnsi="仿宋" w:eastAsia="仿宋" w:cs="仿宋"/>
          <w:kern w:val="0"/>
          <w:sz w:val="32"/>
          <w:szCs w:val="32"/>
          <w:lang w:val="en-US" w:eastAsia="zh-CN" w:bidi="ar"/>
        </w:rPr>
        <w:t xml:space="preserve"> </w:t>
      </w:r>
    </w:p>
    <w:p w14:paraId="3437A4F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w:t>
      </w:r>
      <w:r>
        <w:rPr>
          <w:rFonts w:hint="eastAsia" w:ascii="仿宋" w:hAnsi="仿宋" w:eastAsia="仿宋" w:cs="仿宋"/>
          <w:sz w:val="32"/>
          <w:szCs w:val="32"/>
        </w:rPr>
        <w:t>建立健全项目信息公开机制，按照《建设项目环境影响评价信息公开机制方案》等要求，及时、如实向社会公开项目相关信息，并主动接受社会监督。</w:t>
      </w:r>
    </w:p>
    <w:p w14:paraId="12F6204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六</w:t>
      </w:r>
      <w:r>
        <w:rPr>
          <w:rFonts w:hint="eastAsia" w:ascii="仿宋" w:hAnsi="仿宋" w:eastAsia="仿宋" w:cs="仿宋"/>
          <w:sz w:val="32"/>
          <w:szCs w:val="32"/>
        </w:rPr>
        <w:t>、应将以上意见和“</w:t>
      </w:r>
      <w:r>
        <w:rPr>
          <w:rFonts w:hint="eastAsia" w:ascii="仿宋" w:hAnsi="仿宋" w:eastAsia="仿宋" w:cs="仿宋"/>
          <w:sz w:val="32"/>
          <w:szCs w:val="32"/>
          <w:lang w:eastAsia="zh-CN"/>
        </w:rPr>
        <w:t>报告</w:t>
      </w:r>
      <w:r>
        <w:rPr>
          <w:rFonts w:hint="eastAsia" w:ascii="仿宋" w:hAnsi="仿宋" w:eastAsia="仿宋" w:cs="仿宋"/>
          <w:sz w:val="32"/>
          <w:szCs w:val="32"/>
          <w:lang w:val="en-US" w:eastAsia="zh-CN"/>
        </w:rPr>
        <w:t>表</w:t>
      </w:r>
      <w:r>
        <w:rPr>
          <w:rFonts w:hint="eastAsia" w:ascii="仿宋" w:hAnsi="仿宋" w:eastAsia="仿宋" w:cs="仿宋"/>
          <w:sz w:val="32"/>
          <w:szCs w:val="32"/>
        </w:rPr>
        <w:t>”规定的保护措施落实到设计与施工中。严格执行环境保护“三同时”制度</w:t>
      </w:r>
      <w:r>
        <w:rPr>
          <w:rFonts w:hint="eastAsia" w:ascii="仿宋" w:hAnsi="仿宋" w:eastAsia="仿宋" w:cs="仿宋"/>
          <w:sz w:val="32"/>
          <w:szCs w:val="32"/>
          <w:lang w:eastAsia="zh-CN"/>
        </w:rPr>
        <w:t>，</w:t>
      </w:r>
      <w:r>
        <w:rPr>
          <w:rFonts w:hint="eastAsia" w:ascii="仿宋" w:hAnsi="仿宋" w:eastAsia="仿宋" w:cs="仿宋"/>
          <w:sz w:val="32"/>
          <w:szCs w:val="32"/>
        </w:rPr>
        <w:t>按照国家排污许可有关管理规定，申请排污许可证，按证排污；须按照国家规定的标准和程序实施竣工环境保护验收，验收合格后方可投入生产或者使用；如项目的性质、规模、地点、工艺或者防治污染、防止生态破坏的措施发生重大变动的，应当重新报批建设项目环境影响评价文件。</w:t>
      </w:r>
    </w:p>
    <w:p w14:paraId="1F5CBF2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七</w:t>
      </w:r>
      <w:r>
        <w:rPr>
          <w:rFonts w:hint="eastAsia" w:ascii="仿宋" w:hAnsi="仿宋" w:eastAsia="仿宋" w:cs="仿宋"/>
          <w:sz w:val="32"/>
          <w:szCs w:val="32"/>
        </w:rPr>
        <w:t>、</w:t>
      </w:r>
      <w:r>
        <w:rPr>
          <w:rFonts w:hint="eastAsia" w:ascii="仿宋" w:hAnsi="仿宋" w:eastAsia="仿宋" w:cs="仿宋"/>
          <w:sz w:val="32"/>
          <w:szCs w:val="32"/>
          <w:lang w:val="en-US" w:eastAsia="zh-CN"/>
        </w:rPr>
        <w:t>依据《关于大同市装备制造产业园区监管权限的复函》（同环函【2022】208号）文件精神</w:t>
      </w:r>
      <w:bookmarkStart w:id="0" w:name="_GoBack"/>
      <w:bookmarkEnd w:id="0"/>
      <w:r>
        <w:rPr>
          <w:rFonts w:hint="eastAsia" w:ascii="仿宋" w:hAnsi="仿宋" w:eastAsia="仿宋" w:cs="仿宋"/>
          <w:sz w:val="32"/>
          <w:szCs w:val="32"/>
          <w:lang w:val="en-US" w:eastAsia="zh-CN"/>
        </w:rPr>
        <w:t>，大同市生态环境局云州分局</w:t>
      </w:r>
      <w:r>
        <w:rPr>
          <w:rFonts w:hint="eastAsia" w:ascii="仿宋" w:hAnsi="仿宋" w:eastAsia="仿宋" w:cs="仿宋"/>
          <w:sz w:val="32"/>
          <w:szCs w:val="32"/>
        </w:rPr>
        <w:t>负责本项目的日常监督、管理工作。</w:t>
      </w:r>
    </w:p>
    <w:p w14:paraId="30F1F45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sz w:val="32"/>
          <w:szCs w:val="32"/>
          <w:lang w:eastAsia="zh-CN"/>
        </w:rPr>
      </w:pPr>
    </w:p>
    <w:p w14:paraId="5296BA4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sz w:val="32"/>
          <w:szCs w:val="32"/>
          <w:lang w:eastAsia="zh-CN"/>
        </w:rPr>
      </w:pPr>
    </w:p>
    <w:p w14:paraId="29804CBA">
      <w:pPr>
        <w:keepNext w:val="0"/>
        <w:keepLines w:val="0"/>
        <w:pageBreakBefore w:val="0"/>
        <w:widowControl w:val="0"/>
        <w:kinsoku/>
        <w:wordWrap/>
        <w:overflowPunct/>
        <w:topLinePunct w:val="0"/>
        <w:autoSpaceDE/>
        <w:autoSpaceDN/>
        <w:bidi w:val="0"/>
        <w:adjustRightInd/>
        <w:snapToGrid/>
        <w:spacing w:line="560" w:lineRule="exact"/>
        <w:ind w:left="0" w:leftChars="0" w:firstLine="2880" w:firstLineChars="9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eastAsia="zh-CN"/>
        </w:rPr>
        <w:t>大同经济技术开发区</w:t>
      </w:r>
      <w:r>
        <w:rPr>
          <w:rFonts w:hint="eastAsia" w:ascii="仿宋" w:hAnsi="仿宋" w:eastAsia="仿宋" w:cs="仿宋"/>
          <w:sz w:val="32"/>
          <w:szCs w:val="32"/>
          <w:lang w:val="en-US" w:eastAsia="zh-CN"/>
        </w:rPr>
        <w:t xml:space="preserve">发展与行政审批部     </w:t>
      </w:r>
    </w:p>
    <w:p w14:paraId="7406E88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2026年9月23日                                                                                                                                   </w:t>
      </w:r>
    </w:p>
    <w:p w14:paraId="7E842FE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sz w:val="32"/>
          <w:szCs w:val="32"/>
          <w:lang w:val="en-US" w:eastAsia="zh-CN"/>
        </w:rPr>
      </w:pPr>
    </w:p>
    <w:p w14:paraId="6F31A6E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val="en-US" w:eastAsia="zh-CN"/>
        </w:rPr>
      </w:pPr>
    </w:p>
    <w:p w14:paraId="13B573D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val="en-US" w:eastAsia="zh-CN"/>
        </w:rPr>
      </w:pPr>
    </w:p>
    <w:p w14:paraId="04E5B19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val="en-US" w:eastAsia="zh-CN"/>
        </w:rPr>
      </w:pPr>
    </w:p>
    <w:p w14:paraId="5475FAF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val="en-US" w:eastAsia="zh-CN"/>
        </w:rPr>
      </w:pPr>
    </w:p>
    <w:p w14:paraId="67D12D9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val="en-US" w:eastAsia="zh-CN"/>
        </w:rPr>
      </w:pPr>
    </w:p>
    <w:p w14:paraId="0B51587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val="en-US" w:eastAsia="zh-CN"/>
        </w:rPr>
      </w:pPr>
    </w:p>
    <w:p w14:paraId="444C32F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val="en-US" w:eastAsia="zh-CN"/>
        </w:rPr>
      </w:pPr>
    </w:p>
    <w:p w14:paraId="63E9AB4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val="en-US" w:eastAsia="zh-CN"/>
        </w:rPr>
      </w:pPr>
    </w:p>
    <w:p w14:paraId="3BE11FF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val="en-US" w:eastAsia="zh-CN"/>
        </w:rPr>
      </w:pPr>
    </w:p>
    <w:p w14:paraId="035F235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val="en-US" w:eastAsia="zh-CN"/>
        </w:rPr>
      </w:pPr>
    </w:p>
    <w:p w14:paraId="19E92A7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val="en-US" w:eastAsia="zh-CN"/>
        </w:rPr>
      </w:pPr>
    </w:p>
    <w:p w14:paraId="08A7A96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val="en-US" w:eastAsia="zh-CN"/>
        </w:rPr>
      </w:pPr>
    </w:p>
    <w:p w14:paraId="4A7048A9">
      <w:pPr>
        <w:pStyle w:val="2"/>
        <w:rPr>
          <w:rFonts w:hint="eastAsia" w:ascii="仿宋" w:hAnsi="仿宋" w:eastAsia="仿宋" w:cs="仿宋"/>
          <w:sz w:val="32"/>
          <w:szCs w:val="32"/>
          <w:lang w:val="en-US" w:eastAsia="zh-CN"/>
        </w:rPr>
      </w:pPr>
    </w:p>
    <w:p w14:paraId="0FB2ACD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val="en-US" w:eastAsia="zh-CN"/>
        </w:rPr>
      </w:pPr>
      <w:r>
        <w:rPr>
          <w:rFonts w:hint="eastAsia" w:ascii="仿宋" w:hAnsi="仿宋" w:eastAsia="仿宋" w:cs="仿宋"/>
          <w:sz w:val="32"/>
          <w:szCs w:val="32"/>
        </w:rPr>
        <mc:AlternateContent>
          <mc:Choice Requires="wps">
            <w:drawing>
              <wp:anchor distT="0" distB="0" distL="114300" distR="114300" simplePos="0" relativeHeight="251659264" behindDoc="0" locked="0" layoutInCell="1" allowOverlap="1">
                <wp:simplePos x="0" y="0"/>
                <wp:positionH relativeFrom="column">
                  <wp:posOffset>25400</wp:posOffset>
                </wp:positionH>
                <wp:positionV relativeFrom="paragraph">
                  <wp:posOffset>308610</wp:posOffset>
                </wp:positionV>
                <wp:extent cx="5958205" cy="31750"/>
                <wp:effectExtent l="0" t="4445" r="4445" b="20955"/>
                <wp:wrapNone/>
                <wp:docPr id="1" name="直接连接符 1"/>
                <wp:cNvGraphicFramePr/>
                <a:graphic xmlns:a="http://schemas.openxmlformats.org/drawingml/2006/main">
                  <a:graphicData uri="http://schemas.microsoft.com/office/word/2010/wordprocessingShape">
                    <wps:wsp>
                      <wps:cNvCnPr/>
                      <wps:spPr>
                        <a:xfrm>
                          <a:off x="875030" y="8623935"/>
                          <a:ext cx="5958205" cy="31750"/>
                        </a:xfrm>
                        <a:prstGeom prst="line">
                          <a:avLst/>
                        </a:prstGeom>
                        <a:noFill/>
                        <a:ln w="6350" cap="flat" cmpd="sng" algn="ctr">
                          <a:solidFill>
                            <a:sysClr val="windowText" lastClr="000000"/>
                          </a:solidFill>
                          <a:prstDash val="solid"/>
                          <a:miter lim="800000"/>
                        </a:ln>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2pt;margin-top:24.3pt;height:2.5pt;width:469.15pt;z-index:251659264;mso-width-relative:page;mso-height-relative:page;" filled="f" stroked="t" coordsize="21600,21600" o:gfxdata="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y5T0GNcAAAAHAQAADwAAAAAAAAABACAAAAAiAAAAZHJzL2Rv&#10;d25yZXYueG1sUEsBAhQAFAAAAAgAh07iQPbexocCAgAA4gMAAA4AAAAAAAAAAQAgAAAAJgEAAGRy&#10;cy9lMm9Eb2MueG1sUEsFBgAAAAAGAAYAWQEAAJoFAAAAAA==&#10;">
                <v:fill on="f" focussize="0,0"/>
                <v:stroke weight="0.5pt" color="#000000 [3204]" miterlimit="8" joinstyle="miter"/>
                <v:imagedata o:title=""/>
                <o:lock v:ext="edit" aspectratio="f"/>
              </v:line>
            </w:pict>
          </mc:Fallback>
        </mc:AlternateContent>
      </w:r>
    </w:p>
    <w:p w14:paraId="17B1FEDA">
      <w:pPr>
        <w:keepNext w:val="0"/>
        <w:keepLines w:val="0"/>
        <w:pageBreakBefore w:val="0"/>
        <w:widowControl w:val="0"/>
        <w:kinsoku/>
        <w:wordWrap/>
        <w:overflowPunct/>
        <w:topLinePunct w:val="0"/>
        <w:autoSpaceDE/>
        <w:autoSpaceDN/>
        <w:bidi w:val="0"/>
        <w:adjustRightInd/>
        <w:snapToGrid/>
        <w:spacing w:line="560" w:lineRule="exact"/>
        <w:ind w:left="960" w:hanging="960" w:hangingChars="3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mc:AlternateContent>
          <mc:Choice Requires="wps">
            <w:drawing>
              <wp:anchor distT="0" distB="0" distL="114300" distR="114300" simplePos="0" relativeHeight="251660288" behindDoc="0" locked="0" layoutInCell="1" allowOverlap="1">
                <wp:simplePos x="0" y="0"/>
                <wp:positionH relativeFrom="column">
                  <wp:posOffset>-70485</wp:posOffset>
                </wp:positionH>
                <wp:positionV relativeFrom="paragraph">
                  <wp:posOffset>706755</wp:posOffset>
                </wp:positionV>
                <wp:extent cx="6029325" cy="38100"/>
                <wp:effectExtent l="0" t="4445" r="9525" b="14605"/>
                <wp:wrapNone/>
                <wp:docPr id="2" name="直接连接符 2"/>
                <wp:cNvGraphicFramePr/>
                <a:graphic xmlns:a="http://schemas.openxmlformats.org/drawingml/2006/main">
                  <a:graphicData uri="http://schemas.microsoft.com/office/word/2010/wordprocessingShape">
                    <wps:wsp>
                      <wps:cNvCnPr/>
                      <wps:spPr>
                        <a:xfrm>
                          <a:off x="884555" y="9233535"/>
                          <a:ext cx="6029325" cy="38100"/>
                        </a:xfrm>
                        <a:prstGeom prst="line">
                          <a:avLst/>
                        </a:prstGeom>
                        <a:noFill/>
                        <a:ln w="6350" cap="flat" cmpd="sng" algn="ctr">
                          <a:solidFill>
                            <a:sysClr val="windowText" lastClr="000000">
                              <a:lumMod val="85000"/>
                              <a:lumOff val="15000"/>
                            </a:sysClr>
                          </a:solidFill>
                          <a:prstDash val="solid"/>
                          <a:miter lim="800000"/>
                        </a:ln>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55pt;margin-top:55.65pt;height:3pt;width:474.75pt;z-index:251660288;mso-width-relative:page;mso-height-relative:page;" filled="f" stroked="t" coordsize="21600,21600" o:gfxdata="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NirwtNUAAAAL&#10;AQAADwAAAAAAAAABACAAAAAiAAAAZHJzL2Rvd25yZXYueG1sUEsBAhQAFAAAAAgAh07iQOoePhIf&#10;AgAAGgQAAA4AAAAAAAAAAQAgAAAAJAEAAGRycy9lMm9Eb2MueG1sUEsFBgAAAAAGAAYAWQEAALUF&#10;AAAAAA==&#10;">
                <v:fill on="f" focussize="0,0"/>
                <v:stroke weight="0.5pt" color="#262626 [2740]" miterlimit="8" joinstyle="miter"/>
                <v:imagedata o:title=""/>
                <o:lock v:ext="edit" aspectratio="f"/>
              </v:line>
            </w:pict>
          </mc:Fallback>
        </mc:AlternateContent>
      </w:r>
      <w:r>
        <w:rPr>
          <w:rFonts w:hint="eastAsia" w:ascii="仿宋" w:hAnsi="仿宋" w:eastAsia="仿宋" w:cs="仿宋"/>
          <w:sz w:val="32"/>
          <w:szCs w:val="32"/>
          <w:lang w:val="en-US" w:eastAsia="zh-CN"/>
        </w:rPr>
        <w:t>抄送：大同市生态环境局云州分局、大同市生态环境局开发区分局、山西邑洁环保咨询服务有限公司</w:t>
      </w:r>
    </w:p>
    <w:sectPr>
      <w:pgSz w:w="11906" w:h="16838"/>
      <w:pgMar w:top="1270" w:right="1349" w:bottom="1553" w:left="1349"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2B1156"/>
    <w:multiLevelType w:val="multilevel"/>
    <w:tmpl w:val="382B1156"/>
    <w:lvl w:ilvl="0" w:tentative="0">
      <w:start w:val="1"/>
      <w:numFmt w:val="none"/>
      <w:suff w:val="nothing"/>
      <w:lvlText w:val="第一章"/>
      <w:lvlJc w:val="left"/>
      <w:pPr>
        <w:ind w:left="0" w:firstLine="397"/>
      </w:pPr>
      <w:rPr>
        <w:rFonts w:hint="eastAsia"/>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pStyle w:val="4"/>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A3ODEyZGMxODYyMTM1OGM4NmE0YTY0YTk1ODVlMGEifQ=="/>
  </w:docVars>
  <w:rsids>
    <w:rsidRoot w:val="2C90281C"/>
    <w:rsid w:val="00621C19"/>
    <w:rsid w:val="006B4EF0"/>
    <w:rsid w:val="00D42B17"/>
    <w:rsid w:val="00DA3EA5"/>
    <w:rsid w:val="025D59DB"/>
    <w:rsid w:val="0281296F"/>
    <w:rsid w:val="035C1123"/>
    <w:rsid w:val="03D177E1"/>
    <w:rsid w:val="043C56EE"/>
    <w:rsid w:val="04850FDB"/>
    <w:rsid w:val="051C790C"/>
    <w:rsid w:val="056B5B59"/>
    <w:rsid w:val="05E7263A"/>
    <w:rsid w:val="062F259D"/>
    <w:rsid w:val="06722CA9"/>
    <w:rsid w:val="07C9227E"/>
    <w:rsid w:val="07F7533D"/>
    <w:rsid w:val="081A1ACF"/>
    <w:rsid w:val="08761E35"/>
    <w:rsid w:val="089115F1"/>
    <w:rsid w:val="0A5D3F16"/>
    <w:rsid w:val="0A8A65A2"/>
    <w:rsid w:val="0AF251F0"/>
    <w:rsid w:val="0B0977D5"/>
    <w:rsid w:val="0B592171"/>
    <w:rsid w:val="0C5C1C12"/>
    <w:rsid w:val="0CC021A1"/>
    <w:rsid w:val="0D300A35"/>
    <w:rsid w:val="0D666226"/>
    <w:rsid w:val="0DB03F54"/>
    <w:rsid w:val="0FAD5171"/>
    <w:rsid w:val="113472CA"/>
    <w:rsid w:val="12134EEA"/>
    <w:rsid w:val="13A9398F"/>
    <w:rsid w:val="14BB0D3C"/>
    <w:rsid w:val="14C94ACE"/>
    <w:rsid w:val="162C249A"/>
    <w:rsid w:val="16732E22"/>
    <w:rsid w:val="168F6E32"/>
    <w:rsid w:val="18062417"/>
    <w:rsid w:val="186B3909"/>
    <w:rsid w:val="18AE37F5"/>
    <w:rsid w:val="19761A25"/>
    <w:rsid w:val="1A746132"/>
    <w:rsid w:val="1A835237"/>
    <w:rsid w:val="1AB9499C"/>
    <w:rsid w:val="1B2C5DD7"/>
    <w:rsid w:val="1B636B19"/>
    <w:rsid w:val="1BF336DB"/>
    <w:rsid w:val="1DB4365C"/>
    <w:rsid w:val="1E1A1D78"/>
    <w:rsid w:val="1F240CB5"/>
    <w:rsid w:val="1F400B94"/>
    <w:rsid w:val="1F457924"/>
    <w:rsid w:val="1F8B4890"/>
    <w:rsid w:val="21442F49"/>
    <w:rsid w:val="21FF1070"/>
    <w:rsid w:val="22A145FC"/>
    <w:rsid w:val="22CD2531"/>
    <w:rsid w:val="23930DF5"/>
    <w:rsid w:val="24C121EE"/>
    <w:rsid w:val="24DA1C09"/>
    <w:rsid w:val="25585215"/>
    <w:rsid w:val="255B11BF"/>
    <w:rsid w:val="259124D5"/>
    <w:rsid w:val="266556CC"/>
    <w:rsid w:val="26904FA2"/>
    <w:rsid w:val="26BC17D3"/>
    <w:rsid w:val="26FF6A0B"/>
    <w:rsid w:val="27330FC0"/>
    <w:rsid w:val="277F4CDB"/>
    <w:rsid w:val="27E160ED"/>
    <w:rsid w:val="28186EDD"/>
    <w:rsid w:val="299746FB"/>
    <w:rsid w:val="29D67050"/>
    <w:rsid w:val="2A317143"/>
    <w:rsid w:val="2A3873C3"/>
    <w:rsid w:val="2B6D4AE8"/>
    <w:rsid w:val="2B78314D"/>
    <w:rsid w:val="2B82123D"/>
    <w:rsid w:val="2C90281C"/>
    <w:rsid w:val="2D7F56A6"/>
    <w:rsid w:val="2E650DC8"/>
    <w:rsid w:val="2E690493"/>
    <w:rsid w:val="2E6E3B6C"/>
    <w:rsid w:val="2FAD64C4"/>
    <w:rsid w:val="30E45858"/>
    <w:rsid w:val="31A84EB5"/>
    <w:rsid w:val="31C21DB1"/>
    <w:rsid w:val="32AB29E5"/>
    <w:rsid w:val="337128DE"/>
    <w:rsid w:val="33736619"/>
    <w:rsid w:val="337C208F"/>
    <w:rsid w:val="33864572"/>
    <w:rsid w:val="35514304"/>
    <w:rsid w:val="35EA3BFF"/>
    <w:rsid w:val="36A77B5D"/>
    <w:rsid w:val="374A2560"/>
    <w:rsid w:val="37A95DA4"/>
    <w:rsid w:val="399C04ED"/>
    <w:rsid w:val="3AC16F61"/>
    <w:rsid w:val="3CD63197"/>
    <w:rsid w:val="3CF82637"/>
    <w:rsid w:val="3EC126C5"/>
    <w:rsid w:val="3F3E4AED"/>
    <w:rsid w:val="3FBD419A"/>
    <w:rsid w:val="3FF22557"/>
    <w:rsid w:val="405D067C"/>
    <w:rsid w:val="406311E6"/>
    <w:rsid w:val="4144538C"/>
    <w:rsid w:val="41784501"/>
    <w:rsid w:val="41FD6B3E"/>
    <w:rsid w:val="430F61D6"/>
    <w:rsid w:val="43750C3B"/>
    <w:rsid w:val="43FC693C"/>
    <w:rsid w:val="443072E8"/>
    <w:rsid w:val="44423B1B"/>
    <w:rsid w:val="4605689B"/>
    <w:rsid w:val="467A1AED"/>
    <w:rsid w:val="47AF4D0E"/>
    <w:rsid w:val="48AF34FD"/>
    <w:rsid w:val="4A39348C"/>
    <w:rsid w:val="4A72164F"/>
    <w:rsid w:val="4B842010"/>
    <w:rsid w:val="4BDC78E9"/>
    <w:rsid w:val="4C094875"/>
    <w:rsid w:val="4C1641DB"/>
    <w:rsid w:val="4C4D2E3A"/>
    <w:rsid w:val="4D2E0486"/>
    <w:rsid w:val="4E1D31E0"/>
    <w:rsid w:val="4E402B66"/>
    <w:rsid w:val="4EE12D46"/>
    <w:rsid w:val="50291321"/>
    <w:rsid w:val="51137A77"/>
    <w:rsid w:val="519F7BA4"/>
    <w:rsid w:val="53B45A28"/>
    <w:rsid w:val="53C65D8A"/>
    <w:rsid w:val="547075D6"/>
    <w:rsid w:val="54AE0421"/>
    <w:rsid w:val="54D33FDA"/>
    <w:rsid w:val="554A7E27"/>
    <w:rsid w:val="55965E0C"/>
    <w:rsid w:val="55D53AE1"/>
    <w:rsid w:val="56BD287A"/>
    <w:rsid w:val="570B1838"/>
    <w:rsid w:val="57EF2F07"/>
    <w:rsid w:val="58BB52C0"/>
    <w:rsid w:val="58BE0AA7"/>
    <w:rsid w:val="59376914"/>
    <w:rsid w:val="5A5A5CCE"/>
    <w:rsid w:val="5AA224B3"/>
    <w:rsid w:val="5AE43736"/>
    <w:rsid w:val="5BE55298"/>
    <w:rsid w:val="5BEF731F"/>
    <w:rsid w:val="5D465377"/>
    <w:rsid w:val="5D704AEA"/>
    <w:rsid w:val="5E2D414A"/>
    <w:rsid w:val="5E337FF2"/>
    <w:rsid w:val="5F49114F"/>
    <w:rsid w:val="5F881C77"/>
    <w:rsid w:val="5FBE1F35"/>
    <w:rsid w:val="60AD6BBE"/>
    <w:rsid w:val="60C278C3"/>
    <w:rsid w:val="61002705"/>
    <w:rsid w:val="617D1584"/>
    <w:rsid w:val="63744BDA"/>
    <w:rsid w:val="643001A7"/>
    <w:rsid w:val="648135D1"/>
    <w:rsid w:val="64C93A93"/>
    <w:rsid w:val="64DF4A2F"/>
    <w:rsid w:val="65354C0E"/>
    <w:rsid w:val="65A70401"/>
    <w:rsid w:val="669C5A34"/>
    <w:rsid w:val="66C832A1"/>
    <w:rsid w:val="69005735"/>
    <w:rsid w:val="69056444"/>
    <w:rsid w:val="6BC12154"/>
    <w:rsid w:val="6C353D3B"/>
    <w:rsid w:val="6CCD6BD4"/>
    <w:rsid w:val="6CD52274"/>
    <w:rsid w:val="6CEA224A"/>
    <w:rsid w:val="6D472CAD"/>
    <w:rsid w:val="6DA560EA"/>
    <w:rsid w:val="6E080427"/>
    <w:rsid w:val="6FE0340A"/>
    <w:rsid w:val="700A0487"/>
    <w:rsid w:val="71E67BAB"/>
    <w:rsid w:val="738C151C"/>
    <w:rsid w:val="73C27A32"/>
    <w:rsid w:val="74275AAB"/>
    <w:rsid w:val="752C6F04"/>
    <w:rsid w:val="758111EB"/>
    <w:rsid w:val="75C43404"/>
    <w:rsid w:val="77143A5D"/>
    <w:rsid w:val="78063B24"/>
    <w:rsid w:val="78760DAF"/>
    <w:rsid w:val="78762B5D"/>
    <w:rsid w:val="79081668"/>
    <w:rsid w:val="7A342CD0"/>
    <w:rsid w:val="7AB011BF"/>
    <w:rsid w:val="7B02237B"/>
    <w:rsid w:val="7B83645A"/>
    <w:rsid w:val="7BEB54C7"/>
    <w:rsid w:val="7C184D80"/>
    <w:rsid w:val="7CD61CB4"/>
    <w:rsid w:val="7CE3382C"/>
    <w:rsid w:val="7F09156C"/>
    <w:rsid w:val="7F2B28E3"/>
    <w:rsid w:val="7F6E0A32"/>
    <w:rsid w:val="7FE24F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4"/>
    <w:basedOn w:val="1"/>
    <w:next w:val="1"/>
    <w:qFormat/>
    <w:uiPriority w:val="0"/>
    <w:pPr>
      <w:keepNext/>
      <w:keepLines/>
      <w:widowControl/>
      <w:numPr>
        <w:ilvl w:val="3"/>
        <w:numId w:val="1"/>
      </w:numPr>
      <w:ind w:firstLineChars="0"/>
      <w:outlineLvl w:val="3"/>
    </w:pPr>
    <w:rPr>
      <w:bCs/>
      <w:color w:val="000000"/>
      <w:szCs w:val="28"/>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customStyle="1" w:styleId="2">
    <w:name w:val="Default"/>
    <w:basedOn w:val="3"/>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
    <w:name w:val="批注文字1"/>
    <w:qFormat/>
    <w:uiPriority w:val="0"/>
    <w:pPr>
      <w:widowControl w:val="0"/>
    </w:pPr>
    <w:rPr>
      <w:rFonts w:ascii="Times New Roman" w:hAnsi="Times New Roman" w:eastAsia="宋体" w:cs="Times New Roman"/>
      <w:color w:val="000000"/>
      <w:kern w:val="2"/>
      <w:sz w:val="21"/>
      <w:szCs w:val="24"/>
      <w:lang w:val="en-US" w:eastAsia="zh-CN" w:bidi="ar-SA"/>
    </w:rPr>
  </w:style>
  <w:style w:type="paragraph" w:styleId="5">
    <w:name w:val="Body Text"/>
    <w:qFormat/>
    <w:uiPriority w:val="0"/>
    <w:pPr>
      <w:widowControl w:val="0"/>
      <w:spacing w:line="540" w:lineRule="exact"/>
      <w:jc w:val="center"/>
    </w:pPr>
    <w:rPr>
      <w:rFonts w:ascii="Times New Roman" w:hAnsi="Times New Roman" w:eastAsia="华文中宋" w:cs="Times New Roman"/>
      <w:kern w:val="2"/>
      <w:sz w:val="40"/>
      <w:szCs w:val="24"/>
      <w:lang w:val="en-US" w:eastAsia="zh-CN" w:bidi="ar-SA"/>
    </w:rPr>
  </w:style>
  <w:style w:type="paragraph" w:styleId="6">
    <w:name w:val="Body Text Indent"/>
    <w:basedOn w:val="1"/>
    <w:qFormat/>
    <w:uiPriority w:val="0"/>
    <w:pPr>
      <w:spacing w:after="120"/>
      <w:ind w:left="420" w:leftChars="200"/>
    </w:pPr>
  </w:style>
  <w:style w:type="paragraph" w:styleId="7">
    <w:name w:val="Normal (Web)"/>
    <w:basedOn w:val="1"/>
    <w:uiPriority w:val="0"/>
    <w:pPr>
      <w:spacing w:before="0" w:beforeAutospacing="1" w:after="0" w:afterAutospacing="1"/>
      <w:ind w:left="0" w:right="0"/>
      <w:jc w:val="left"/>
    </w:pPr>
    <w:rPr>
      <w:kern w:val="0"/>
      <w:sz w:val="24"/>
      <w:lang w:val="en-US" w:eastAsia="zh-CN" w:bidi="ar"/>
    </w:rPr>
  </w:style>
  <w:style w:type="paragraph" w:styleId="8">
    <w:name w:val="Body Text First Indent"/>
    <w:basedOn w:val="1"/>
    <w:qFormat/>
    <w:uiPriority w:val="99"/>
    <w:pPr>
      <w:ind w:firstLine="420" w:firstLineChars="100"/>
    </w:pPr>
  </w:style>
  <w:style w:type="paragraph" w:styleId="9">
    <w:name w:val="Body Text First Indent 2"/>
    <w:basedOn w:val="6"/>
    <w:next w:val="2"/>
    <w:qFormat/>
    <w:uiPriority w:val="0"/>
    <w:pPr>
      <w:widowControl w:val="0"/>
      <w:spacing w:after="120" w:line="240" w:lineRule="auto"/>
      <w:ind w:left="420" w:leftChars="200" w:firstLine="420"/>
      <w:jc w:val="both"/>
    </w:pPr>
    <w:rPr>
      <w:rFonts w:ascii="Times New Roman" w:hAnsi="Times New Roman" w:eastAsia="宋体" w:cs="Times New Roman"/>
      <w:kern w:val="2"/>
      <w:sz w:val="21"/>
      <w:szCs w:val="24"/>
      <w:lang w:val="en-US" w:eastAsia="zh-CN" w:bidi="ar-SA"/>
    </w:rPr>
  </w:style>
  <w:style w:type="paragraph" w:customStyle="1" w:styleId="12">
    <w:name w:val="报告正文"/>
    <w:basedOn w:val="1"/>
    <w:qFormat/>
    <w:uiPriority w:val="0"/>
    <w:pPr>
      <w:autoSpaceDE w:val="0"/>
      <w:autoSpaceDN w:val="0"/>
      <w:adjustRightInd w:val="0"/>
      <w:spacing w:line="560" w:lineRule="atLeast"/>
      <w:ind w:firstLine="200" w:firstLineChars="200"/>
      <w:textAlignment w:val="baseline"/>
    </w:pPr>
    <w:rPr>
      <w:rFonts w:ascii="宋体"/>
      <w:kern w:val="0"/>
      <w:sz w:val="24"/>
      <w:szCs w:val="20"/>
    </w:rPr>
  </w:style>
  <w:style w:type="paragraph" w:customStyle="1" w:styleId="13">
    <w:name w:val="封面-3"/>
    <w:basedOn w:val="1"/>
    <w:qFormat/>
    <w:uiPriority w:val="99"/>
    <w:pPr>
      <w:spacing w:line="360" w:lineRule="auto"/>
      <w:jc w:val="center"/>
    </w:pPr>
    <w:rPr>
      <w:rFonts w:eastAsia="黑体"/>
      <w:bCs/>
      <w:spacing w:val="-20"/>
      <w:sz w:val="32"/>
      <w:szCs w:val="32"/>
    </w:rPr>
  </w:style>
  <w:style w:type="character" w:customStyle="1" w:styleId="14">
    <w:name w:val="NormalCharacter"/>
    <w:semiHidden/>
    <w:qFormat/>
    <w:uiPriority w:val="0"/>
  </w:style>
  <w:style w:type="paragraph" w:styleId="15">
    <w:name w:val="List Paragraph"/>
    <w:basedOn w:val="1"/>
    <w:qFormat/>
    <w:uiPriority w:val="1"/>
    <w:pPr>
      <w:ind w:left="1290" w:hanging="314"/>
    </w:pPr>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1832</Words>
  <Characters>1970</Characters>
  <Lines>0</Lines>
  <Paragraphs>0</Paragraphs>
  <TotalTime>72</TotalTime>
  <ScaleCrop>false</ScaleCrop>
  <LinksUpToDate>false</LinksUpToDate>
  <CharactersWithSpaces>3695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2022-01-13T06:51:00Z</dcterms:created>
  <dc:creator>lenovo</dc:creator>
  <cp:lastModifiedBy>呂师</cp:lastModifiedBy>
  <cp:lastPrinted>2025-01-10T00:44:00Z</cp:lastPrinted>
  <dcterms:modified xsi:type="dcterms:W3CDTF">2026-09-21T02:05:57Z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55CCB84A68354B4DAB69BCAC69D83637</vt:lpwstr>
  </property>
  <property fmtid="{D5CDD505-2E9C-101B-9397-08002B2CF9AE}" pid="4" name="commondata">
    <vt:lpwstr>eyJoZGlkIjoiZTBmNmE3YjQ3MjE4YzE2YmJiNGUzZDUwNTc4N2JhYzgifQ==</vt:lpwstr>
  </property>
  <property fmtid="{D5CDD505-2E9C-101B-9397-08002B2CF9AE}" pid="5" name="KSOTemplateDocerSaveRecord">
    <vt:lpwstr>eyJoZGlkIjoiNzA3ODEyZGMxODYyMTM1OGM4NmE0YTY0YTk1ODVlMGEiLCJ1c2VySWQiOiI2NTUxODU5MDkifQ==</vt:lpwstr>
  </property>
</Properties>
</file>